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DA314">
      <w:pPr>
        <w:pStyle w:val="8"/>
        <w:widowControl/>
        <w:spacing w:beforeAutospacing="0" w:afterAutospacing="0" w:line="600" w:lineRule="exact"/>
        <w:ind w:firstLine="0" w:firstLineChars="0"/>
        <w:jc w:val="center"/>
        <w:rPr>
          <w:rStyle w:val="11"/>
          <w:rFonts w:ascii="Times New Roman" w:hAnsi="Times New Roman" w:eastAsia="方正小标宋_GBK"/>
          <w:b w:val="0"/>
          <w:bCs/>
          <w:sz w:val="44"/>
          <w:szCs w:val="44"/>
        </w:rPr>
      </w:pPr>
      <w:r>
        <w:rPr>
          <w:rStyle w:val="11"/>
          <w:rFonts w:hint="eastAsia" w:ascii="Times New Roman" w:hAnsi="Times New Roman" w:eastAsia="方正小标宋_GBK"/>
          <w:b w:val="0"/>
          <w:bCs/>
          <w:sz w:val="44"/>
          <w:szCs w:val="44"/>
        </w:rPr>
        <w:t>德宏州2026年度住房发展年度计划</w:t>
      </w:r>
    </w:p>
    <w:p w14:paraId="66274886">
      <w:pPr>
        <w:pStyle w:val="8"/>
        <w:widowControl/>
        <w:spacing w:beforeAutospacing="0" w:afterAutospacing="0" w:line="600" w:lineRule="exact"/>
        <w:ind w:firstLine="0" w:firstLineChars="0"/>
        <w:jc w:val="center"/>
        <w:rPr>
          <w:rStyle w:val="11"/>
          <w:rFonts w:ascii="Times New Roman" w:hAnsi="Times New Roman" w:eastAsia="方正小标宋_GBK"/>
          <w:b w:val="0"/>
          <w:bCs/>
          <w:sz w:val="36"/>
          <w:szCs w:val="36"/>
        </w:rPr>
      </w:pPr>
    </w:p>
    <w:p w14:paraId="01413895">
      <w:pPr>
        <w:spacing w:line="600" w:lineRule="exact"/>
        <w:rPr>
          <w:rFonts w:ascii="Times New Roman" w:hAnsi="Times New Roman" w:cs="Times New Roman"/>
        </w:rPr>
      </w:pPr>
      <w:bookmarkStart w:id="0" w:name="OLE_LINK10"/>
      <w:bookmarkStart w:id="1" w:name="OLE_LINK11"/>
      <w:r>
        <w:rPr>
          <w:rFonts w:ascii="Times New Roman" w:hAnsi="Times New Roman" w:cs="Times New Roman"/>
          <w:szCs w:val="32"/>
        </w:rPr>
        <w:t>202</w:t>
      </w:r>
      <w:r>
        <w:rPr>
          <w:rFonts w:hint="eastAsia" w:ascii="Times New Roman" w:hAnsi="Times New Roman" w:cs="Times New Roman"/>
          <w:szCs w:val="32"/>
        </w:rPr>
        <w:t>5</w:t>
      </w:r>
      <w:r>
        <w:rPr>
          <w:rFonts w:ascii="Times New Roman" w:hAnsi="Times New Roman" w:cs="Times New Roman"/>
          <w:szCs w:val="32"/>
        </w:rPr>
        <w:t>年以来，全州认真贯彻落实党中央、国务院和省委省政府决策部署，适应我州房地产市场供求关系发生重大变化的新形势，促进房地产市场止跌回稳、平稳健康发展。为促进我州供需匹配，稳定市场预期，加快建立“人房地钱”要素联动新机制，构建房地产发展新模式，推动房地产高质量发展，</w:t>
      </w:r>
      <w:r>
        <w:rPr>
          <w:rFonts w:hint="eastAsia" w:ascii="Times New Roman" w:hAnsi="Times New Roman" w:cs="Times New Roman"/>
          <w:szCs w:val="32"/>
        </w:rPr>
        <w:t>为制定年度土地供应计划提供依据，引导房地产领域各类资金精准配置</w:t>
      </w:r>
      <w:r>
        <w:rPr>
          <w:rFonts w:ascii="Times New Roman" w:hAnsi="Times New Roman" w:cs="Times New Roman"/>
          <w:szCs w:val="32"/>
        </w:rPr>
        <w:t>，</w:t>
      </w:r>
      <w:r>
        <w:rPr>
          <w:rFonts w:ascii="Times New Roman" w:hAnsi="Times New Roman" w:cs="Times New Roman"/>
        </w:rPr>
        <w:t>按照住房和城乡建设部《关于做好住房发展规划和年度计划编制工作的通知》要求，结合我州实际，制定本计划。</w:t>
      </w:r>
    </w:p>
    <w:bookmarkEnd w:id="0"/>
    <w:bookmarkEnd w:id="1"/>
    <w:p w14:paraId="7B5DDBC2">
      <w:pPr>
        <w:pStyle w:val="2"/>
        <w:keepNext w:val="0"/>
        <w:keepLines w:val="0"/>
        <w:widowControl/>
        <w:numPr>
          <w:ilvl w:val="0"/>
          <w:numId w:val="1"/>
        </w:numPr>
        <w:shd w:val="clear" w:color="auto" w:fill="FFFFFF"/>
        <w:spacing w:before="0" w:after="0" w:line="600" w:lineRule="exact"/>
        <w:ind w:firstLineChars="0"/>
        <w:jc w:val="left"/>
        <w:rPr>
          <w:rFonts w:ascii="Times New Roman" w:hAnsi="Times New Roman" w:eastAsia="方正黑体_GBK" w:cs="Times New Roman"/>
          <w:b w:val="0"/>
          <w:sz w:val="32"/>
          <w:szCs w:val="32"/>
          <w:shd w:val="clear" w:color="auto" w:fill="FFFFFF"/>
        </w:rPr>
      </w:pPr>
      <w:r>
        <w:rPr>
          <w:rFonts w:ascii="Times New Roman" w:hAnsi="Times New Roman" w:eastAsia="方正黑体_GBK" w:cs="Times New Roman"/>
          <w:b w:val="0"/>
          <w:sz w:val="32"/>
          <w:szCs w:val="32"/>
          <w:shd w:val="clear" w:color="auto" w:fill="FFFFFF"/>
        </w:rPr>
        <w:t>城市住房发展规划执行进度评估</w:t>
      </w:r>
    </w:p>
    <w:p w14:paraId="7A4403FA">
      <w:pPr>
        <w:pStyle w:val="3"/>
        <w:numPr>
          <w:ilvl w:val="0"/>
          <w:numId w:val="2"/>
        </w:numPr>
        <w:ind w:firstLineChars="0"/>
        <w:rPr>
          <w:rFonts w:ascii="Times New Roman" w:hAnsi="Times New Roman" w:cs="Times New Roman"/>
        </w:rPr>
      </w:pPr>
      <w:r>
        <w:rPr>
          <w:rFonts w:ascii="Times New Roman" w:hAnsi="Times New Roman" w:cs="Times New Roman"/>
        </w:rPr>
        <w:t>现状评估</w:t>
      </w:r>
    </w:p>
    <w:p w14:paraId="2DB3BB4E">
      <w:pPr>
        <w:pStyle w:val="4"/>
        <w:numPr>
          <w:ilvl w:val="0"/>
          <w:numId w:val="3"/>
        </w:numPr>
        <w:ind w:left="5" w:firstLine="636" w:firstLineChars="198"/>
        <w:rPr>
          <w:rFonts w:ascii="Times New Roman" w:hAnsi="Times New Roman" w:cs="Times New Roman"/>
        </w:rPr>
      </w:pPr>
      <w:r>
        <w:rPr>
          <w:rFonts w:ascii="Times New Roman" w:hAnsi="Times New Roman" w:cs="Times New Roman"/>
        </w:rPr>
        <w:t>202</w:t>
      </w:r>
      <w:r>
        <w:rPr>
          <w:rFonts w:hint="eastAsia" w:ascii="Times New Roman" w:hAnsi="Times New Roman" w:cs="Times New Roman"/>
        </w:rPr>
        <w:t>5</w:t>
      </w:r>
      <w:r>
        <w:rPr>
          <w:rFonts w:ascii="Times New Roman" w:hAnsi="Times New Roman" w:cs="Times New Roman"/>
        </w:rPr>
        <w:t>年主要工作进展</w:t>
      </w:r>
    </w:p>
    <w:p w14:paraId="1CB77ECE">
      <w:pPr>
        <w:spacing w:line="600" w:lineRule="exact"/>
        <w:rPr>
          <w:rFonts w:ascii="Times New Roman" w:hAnsi="Times New Roman" w:cs="Times New Roman"/>
        </w:rPr>
      </w:pPr>
      <w:r>
        <w:rPr>
          <w:rFonts w:ascii="Times New Roman" w:hAnsi="Times New Roman" w:cs="Times New Roman"/>
        </w:rPr>
        <w:t>房地产市场。完成房地产开发投资</w:t>
      </w:r>
      <w:r>
        <w:rPr>
          <w:rFonts w:hint="eastAsia" w:ascii="Times New Roman" w:hAnsi="Times New Roman" w:cs="Times New Roman"/>
        </w:rPr>
        <w:t>39.40</w:t>
      </w:r>
      <w:r>
        <w:rPr>
          <w:rFonts w:ascii="Times New Roman" w:hAnsi="Times New Roman" w:cs="Times New Roman"/>
        </w:rPr>
        <w:t>亿元，占全州固定资产投资的</w:t>
      </w:r>
      <w:r>
        <w:rPr>
          <w:rFonts w:hint="eastAsia" w:ascii="Times New Roman" w:hAnsi="Times New Roman" w:cs="Times New Roman"/>
        </w:rPr>
        <w:t>17.6</w:t>
      </w:r>
      <w:r>
        <w:rPr>
          <w:rFonts w:ascii="Times New Roman" w:hAnsi="Times New Roman" w:cs="Times New Roman"/>
        </w:rPr>
        <w:t>%。商品房销售面积</w:t>
      </w:r>
      <w:r>
        <w:rPr>
          <w:rFonts w:hint="eastAsia" w:ascii="Times New Roman" w:hAnsi="Times New Roman" w:cs="Times New Roman"/>
        </w:rPr>
        <w:t>81.36</w:t>
      </w:r>
      <w:r>
        <w:rPr>
          <w:rFonts w:ascii="Times New Roman" w:hAnsi="Times New Roman" w:cs="Times New Roman"/>
        </w:rPr>
        <w:t>万平方米，外地购房者占比</w:t>
      </w:r>
      <w:r>
        <w:rPr>
          <w:rFonts w:hint="eastAsia" w:ascii="Times New Roman" w:hAnsi="Times New Roman" w:cs="Times New Roman"/>
        </w:rPr>
        <w:t>45.88</w:t>
      </w:r>
      <w:r>
        <w:rPr>
          <w:rFonts w:ascii="Times New Roman" w:hAnsi="Times New Roman" w:cs="Times New Roman"/>
        </w:rPr>
        <w:t>%。保障性租赁住房开工</w:t>
      </w:r>
      <w:r>
        <w:rPr>
          <w:rFonts w:hint="eastAsia" w:ascii="Times New Roman" w:hAnsi="Times New Roman" w:cs="Times New Roman"/>
        </w:rPr>
        <w:t>2510</w:t>
      </w:r>
      <w:r>
        <w:rPr>
          <w:rFonts w:ascii="Times New Roman" w:hAnsi="Times New Roman" w:cs="Times New Roman"/>
        </w:rPr>
        <w:t>套，完成年度任务。</w:t>
      </w:r>
    </w:p>
    <w:p w14:paraId="5FFE7535">
      <w:pPr>
        <w:spacing w:line="600" w:lineRule="exact"/>
        <w:rPr>
          <w:rFonts w:ascii="Times New Roman" w:hAnsi="Times New Roman" w:cs="Times New Roman"/>
        </w:rPr>
      </w:pPr>
      <w:r>
        <w:rPr>
          <w:rFonts w:ascii="Times New Roman" w:hAnsi="Times New Roman" w:cs="Times New Roman"/>
        </w:rPr>
        <w:t>住房保障。</w:t>
      </w:r>
      <w:r>
        <w:rPr>
          <w:rFonts w:hint="eastAsia" w:ascii="Times New Roman" w:hAnsi="Times New Roman" w:cs="Times New Roman"/>
        </w:rPr>
        <w:t>完成</w:t>
      </w:r>
      <w:r>
        <w:rPr>
          <w:rFonts w:ascii="Times New Roman" w:hAnsi="Times New Roman" w:cs="Times New Roman"/>
        </w:rPr>
        <w:t>城镇老旧小区改造</w:t>
      </w:r>
      <w:r>
        <w:rPr>
          <w:rFonts w:hint="eastAsia" w:ascii="Times New Roman" w:hAnsi="Times New Roman" w:cs="Times New Roman"/>
        </w:rPr>
        <w:t>7</w:t>
      </w:r>
      <w:r>
        <w:rPr>
          <w:rFonts w:ascii="Times New Roman" w:hAnsi="Times New Roman" w:cs="Times New Roman"/>
        </w:rPr>
        <w:t>个小区</w:t>
      </w:r>
      <w:r>
        <w:rPr>
          <w:rFonts w:hint="eastAsia" w:ascii="Times New Roman" w:hAnsi="Times New Roman" w:cs="Times New Roman"/>
        </w:rPr>
        <w:t>、155</w:t>
      </w:r>
      <w:r>
        <w:rPr>
          <w:rFonts w:ascii="Times New Roman" w:hAnsi="Times New Roman" w:cs="Times New Roman"/>
        </w:rPr>
        <w:t>栋楼，改造面积</w:t>
      </w:r>
      <w:r>
        <w:rPr>
          <w:rFonts w:hint="eastAsia" w:ascii="Times New Roman" w:hAnsi="Times New Roman" w:cs="Times New Roman"/>
        </w:rPr>
        <w:t>1.95</w:t>
      </w:r>
      <w:r>
        <w:rPr>
          <w:rFonts w:ascii="Times New Roman" w:hAnsi="Times New Roman" w:cs="Times New Roman"/>
        </w:rPr>
        <w:t>万平方米，涉及</w:t>
      </w:r>
      <w:r>
        <w:rPr>
          <w:rFonts w:hint="eastAsia" w:ascii="Times New Roman" w:hAnsi="Times New Roman" w:cs="Times New Roman"/>
        </w:rPr>
        <w:t>231</w:t>
      </w:r>
      <w:r>
        <w:rPr>
          <w:rFonts w:ascii="Times New Roman" w:hAnsi="Times New Roman" w:cs="Times New Roman"/>
        </w:rPr>
        <w:t>户居民</w:t>
      </w:r>
      <w:r>
        <w:rPr>
          <w:rFonts w:hint="eastAsia" w:ascii="Times New Roman" w:hAnsi="Times New Roman" w:cs="Times New Roman"/>
        </w:rPr>
        <w:t>；截至目前，已全部开工，完工1个。</w:t>
      </w:r>
    </w:p>
    <w:p w14:paraId="4D5B62C3">
      <w:pPr>
        <w:spacing w:line="600" w:lineRule="exact"/>
        <w:rPr>
          <w:rFonts w:ascii="Times New Roman" w:hAnsi="Times New Roman" w:cs="Times New Roman"/>
        </w:rPr>
      </w:pPr>
      <w:r>
        <w:rPr>
          <w:rFonts w:ascii="Times New Roman" w:hAnsi="Times New Roman" w:cs="Times New Roman"/>
        </w:rPr>
        <w:t>住房品质。城镇新建绿色建筑占比100%</w:t>
      </w:r>
      <w:r>
        <w:rPr>
          <w:rFonts w:hint="eastAsia" w:ascii="Times New Roman" w:hAnsi="Times New Roman" w:cs="Times New Roman"/>
        </w:rPr>
        <w:t>。</w:t>
      </w:r>
    </w:p>
    <w:p w14:paraId="752BB902">
      <w:pPr>
        <w:spacing w:line="600" w:lineRule="exact"/>
        <w:rPr>
          <w:rFonts w:ascii="Times New Roman" w:hAnsi="Times New Roman" w:cs="Times New Roman"/>
        </w:rPr>
      </w:pPr>
      <w:r>
        <w:rPr>
          <w:rFonts w:ascii="Times New Roman" w:hAnsi="Times New Roman" w:cs="Times New Roman"/>
        </w:rPr>
        <w:t>行业管理。</w:t>
      </w:r>
      <w:r>
        <w:rPr>
          <w:rFonts w:hint="eastAsia" w:ascii="Times New Roman" w:hAnsi="Times New Roman" w:cs="Times New Roman"/>
        </w:rPr>
        <w:t>2024年度全州物业企业信用评价等级良好物业服务企业5家、合格物业服务企业29家、诚信需提升物业服务企业33家；</w:t>
      </w:r>
      <w:r>
        <w:rPr>
          <w:rFonts w:ascii="Times New Roman" w:hAnsi="Times New Roman" w:cs="Times New Roman"/>
        </w:rPr>
        <w:t>保交房交付率</w:t>
      </w:r>
      <w:r>
        <w:rPr>
          <w:rFonts w:hint="eastAsia" w:ascii="Times New Roman" w:hAnsi="Times New Roman" w:cs="Times New Roman"/>
        </w:rPr>
        <w:t>100</w:t>
      </w:r>
      <w:r>
        <w:rPr>
          <w:rFonts w:ascii="Times New Roman" w:hAnsi="Times New Roman" w:cs="Times New Roman"/>
        </w:rPr>
        <w:t>%。</w:t>
      </w:r>
    </w:p>
    <w:p w14:paraId="55BEAD5A">
      <w:pPr>
        <w:pStyle w:val="4"/>
        <w:numPr>
          <w:ilvl w:val="0"/>
          <w:numId w:val="3"/>
        </w:numPr>
        <w:ind w:left="5" w:firstLine="636" w:firstLineChars="198"/>
        <w:rPr>
          <w:rFonts w:ascii="Times New Roman" w:hAnsi="Times New Roman" w:cs="Times New Roman"/>
        </w:rPr>
      </w:pPr>
      <w:r>
        <w:rPr>
          <w:rFonts w:ascii="Times New Roman" w:hAnsi="Times New Roman" w:cs="Times New Roman"/>
        </w:rPr>
        <w:t>规划执行进度评估</w:t>
      </w:r>
    </w:p>
    <w:p w14:paraId="203039D9">
      <w:pPr>
        <w:spacing w:line="600" w:lineRule="exact"/>
        <w:rPr>
          <w:rFonts w:ascii="Times New Roman" w:hAnsi="Times New Roman" w:cs="Times New Roman"/>
        </w:rPr>
      </w:pPr>
      <w:r>
        <w:rPr>
          <w:rFonts w:hint="eastAsia" w:ascii="Times New Roman" w:hAnsi="Times New Roman" w:cs="Times New Roman"/>
        </w:rPr>
        <w:t>较好</w:t>
      </w:r>
      <w:r>
        <w:rPr>
          <w:rFonts w:ascii="Times New Roman" w:hAnsi="Times New Roman" w:cs="Times New Roman"/>
        </w:rPr>
        <w:t>完成</w:t>
      </w:r>
      <w:r>
        <w:rPr>
          <w:rFonts w:hint="eastAsia" w:ascii="Times New Roman" w:hAnsi="Times New Roman" w:cs="Times New Roman"/>
        </w:rPr>
        <w:t>有关</w:t>
      </w:r>
      <w:r>
        <w:rPr>
          <w:rFonts w:ascii="Times New Roman" w:hAnsi="Times New Roman" w:cs="Times New Roman"/>
        </w:rPr>
        <w:t>指标。绿色建筑占比100%，保障性租赁住房建设202</w:t>
      </w:r>
      <w:r>
        <w:rPr>
          <w:rFonts w:hint="eastAsia" w:ascii="Times New Roman" w:hAnsi="Times New Roman" w:cs="Times New Roman"/>
        </w:rPr>
        <w:t>5</w:t>
      </w:r>
      <w:r>
        <w:rPr>
          <w:rFonts w:ascii="Times New Roman" w:hAnsi="Times New Roman" w:cs="Times New Roman"/>
        </w:rPr>
        <w:t>年开工</w:t>
      </w:r>
      <w:r>
        <w:rPr>
          <w:rFonts w:hint="eastAsia" w:ascii="Times New Roman" w:hAnsi="Times New Roman" w:cs="Times New Roman"/>
        </w:rPr>
        <w:t>2510</w:t>
      </w:r>
      <w:r>
        <w:rPr>
          <w:rFonts w:ascii="Times New Roman" w:hAnsi="Times New Roman" w:cs="Times New Roman"/>
        </w:rPr>
        <w:t>套</w:t>
      </w:r>
      <w:r>
        <w:rPr>
          <w:rFonts w:hint="eastAsia" w:ascii="Times New Roman" w:hAnsi="Times New Roman" w:cs="Times New Roman"/>
        </w:rPr>
        <w:t>，</w:t>
      </w:r>
      <w:r>
        <w:rPr>
          <w:rFonts w:ascii="Times New Roman" w:hAnsi="Times New Roman" w:cs="Times New Roman"/>
        </w:rPr>
        <w:t>保交房交付率</w:t>
      </w:r>
      <w:r>
        <w:rPr>
          <w:rFonts w:hint="eastAsia" w:ascii="Times New Roman" w:hAnsi="Times New Roman" w:cs="Times New Roman"/>
        </w:rPr>
        <w:t>100</w:t>
      </w:r>
      <w:r>
        <w:rPr>
          <w:rFonts w:ascii="Times New Roman" w:hAnsi="Times New Roman" w:cs="Times New Roman"/>
        </w:rPr>
        <w:t>%。</w:t>
      </w:r>
    </w:p>
    <w:p w14:paraId="1336D6B3">
      <w:pPr>
        <w:spacing w:line="600" w:lineRule="exact"/>
        <w:rPr>
          <w:rFonts w:ascii="Times New Roman" w:hAnsi="Times New Roman" w:cs="Times New Roman"/>
        </w:rPr>
      </w:pPr>
      <w:r>
        <w:rPr>
          <w:rFonts w:ascii="Times New Roman" w:hAnsi="Times New Roman" w:cs="Times New Roman"/>
        </w:rPr>
        <w:t>按进度推进指标。房地产开发投资202</w:t>
      </w:r>
      <w:r>
        <w:rPr>
          <w:rFonts w:hint="eastAsia" w:ascii="Times New Roman" w:hAnsi="Times New Roman" w:cs="Times New Roman"/>
        </w:rPr>
        <w:t>5</w:t>
      </w:r>
      <w:r>
        <w:rPr>
          <w:rFonts w:ascii="Times New Roman" w:hAnsi="Times New Roman" w:cs="Times New Roman"/>
        </w:rPr>
        <w:t>年完成</w:t>
      </w:r>
      <w:r>
        <w:rPr>
          <w:rFonts w:hint="eastAsia" w:ascii="Times New Roman" w:hAnsi="Times New Roman" w:cs="Times New Roman"/>
        </w:rPr>
        <w:t>39.40</w:t>
      </w:r>
      <w:r>
        <w:rPr>
          <w:rFonts w:ascii="Times New Roman" w:hAnsi="Times New Roman" w:cs="Times New Roman"/>
        </w:rPr>
        <w:t>亿元</w:t>
      </w:r>
      <w:r>
        <w:rPr>
          <w:rFonts w:hint="eastAsia" w:ascii="Times New Roman" w:hAnsi="Times New Roman" w:cs="Times New Roman"/>
        </w:rPr>
        <w:t>；</w:t>
      </w:r>
      <w:r>
        <w:rPr>
          <w:rFonts w:ascii="Times New Roman" w:hAnsi="Times New Roman" w:cs="Times New Roman"/>
        </w:rPr>
        <w:t>老旧小区改造累计开工</w:t>
      </w:r>
      <w:r>
        <w:rPr>
          <w:rFonts w:hint="eastAsia" w:ascii="Times New Roman" w:hAnsi="Times New Roman" w:cs="Times New Roman"/>
        </w:rPr>
        <w:t>7</w:t>
      </w:r>
      <w:r>
        <w:rPr>
          <w:rFonts w:ascii="Times New Roman" w:hAnsi="Times New Roman" w:cs="Times New Roman"/>
        </w:rPr>
        <w:t>个，剩余任务需202</w:t>
      </w:r>
      <w:r>
        <w:rPr>
          <w:rFonts w:hint="eastAsia" w:ascii="Times New Roman" w:hAnsi="Times New Roman" w:cs="Times New Roman"/>
        </w:rPr>
        <w:t>6</w:t>
      </w:r>
      <w:r>
        <w:rPr>
          <w:rFonts w:ascii="Times New Roman" w:hAnsi="Times New Roman" w:cs="Times New Roman"/>
        </w:rPr>
        <w:t>年完成（规划</w:t>
      </w:r>
      <w:r>
        <w:rPr>
          <w:rFonts w:hint="eastAsia" w:ascii="Times New Roman" w:hAnsi="Times New Roman" w:cs="Times New Roman"/>
        </w:rPr>
        <w:t>6</w:t>
      </w:r>
      <w:r>
        <w:rPr>
          <w:rFonts w:ascii="Times New Roman" w:hAnsi="Times New Roman" w:cs="Times New Roman"/>
        </w:rPr>
        <w:t>个）</w:t>
      </w:r>
      <w:r>
        <w:rPr>
          <w:rFonts w:hint="eastAsia" w:ascii="Times New Roman" w:hAnsi="Times New Roman" w:cs="Times New Roman"/>
        </w:rPr>
        <w:t>，</w:t>
      </w:r>
      <w:r>
        <w:rPr>
          <w:rFonts w:ascii="Times New Roman" w:hAnsi="Times New Roman" w:cs="Times New Roman"/>
        </w:rPr>
        <w:t>物业管理市场化覆盖率</w:t>
      </w:r>
      <w:r>
        <w:rPr>
          <w:rFonts w:hint="eastAsia" w:ascii="Times New Roman" w:hAnsi="Times New Roman" w:cs="Times New Roman"/>
        </w:rPr>
        <w:t>24.8</w:t>
      </w:r>
      <w:r>
        <w:rPr>
          <w:rFonts w:ascii="Times New Roman" w:hAnsi="Times New Roman" w:cs="Times New Roman"/>
        </w:rPr>
        <w:t>%</w:t>
      </w:r>
      <w:r>
        <w:rPr>
          <w:rFonts w:hint="eastAsia" w:ascii="Times New Roman" w:hAnsi="Times New Roman" w:cs="Times New Roman"/>
        </w:rPr>
        <w:t>，瑞丽市</w:t>
      </w:r>
      <w:r>
        <w:rPr>
          <w:rFonts w:ascii="Times New Roman" w:hAnsi="Times New Roman" w:cs="Times New Roman"/>
        </w:rPr>
        <w:t>、</w:t>
      </w:r>
      <w:r>
        <w:rPr>
          <w:rFonts w:hint="eastAsia" w:ascii="Times New Roman" w:hAnsi="Times New Roman" w:cs="Times New Roman"/>
        </w:rPr>
        <w:t>陇川县商品房</w:t>
      </w:r>
      <w:r>
        <w:rPr>
          <w:rFonts w:ascii="Times New Roman" w:hAnsi="Times New Roman" w:cs="Times New Roman"/>
        </w:rPr>
        <w:t>去化周期较长，需强化差异化政策</w:t>
      </w:r>
      <w:r>
        <w:rPr>
          <w:rFonts w:hint="eastAsia" w:ascii="Times New Roman" w:hAnsi="Times New Roman" w:cs="Times New Roman"/>
        </w:rPr>
        <w:t>；</w:t>
      </w:r>
      <w:bookmarkStart w:id="2" w:name="OLE_LINK13"/>
      <w:bookmarkStart w:id="3" w:name="OLE_LINK12"/>
      <w:r>
        <w:rPr>
          <w:rFonts w:hint="eastAsia" w:ascii="Times New Roman" w:hAnsi="Times New Roman" w:cs="Times New Roman"/>
        </w:rPr>
        <w:t>建筑业企业资质等级不高，竞争力较弱</w:t>
      </w:r>
      <w:r>
        <w:rPr>
          <w:rFonts w:ascii="Times New Roman" w:hAnsi="Times New Roman" w:cs="Times New Roman"/>
        </w:rPr>
        <w:t>。</w:t>
      </w:r>
    </w:p>
    <w:bookmarkEnd w:id="2"/>
    <w:bookmarkEnd w:id="3"/>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447"/>
        <w:gridCol w:w="3624"/>
        <w:gridCol w:w="3451"/>
      </w:tblGrid>
      <w:tr w14:paraId="06BF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2" w:hRule="atLeast"/>
          <w:jc w:val="center"/>
        </w:trPr>
        <w:tc>
          <w:tcPr>
            <w:tcW w:w="849" w:type="pct"/>
            <w:shd w:val="clear" w:color="auto" w:fill="FFFFFF" w:themeFill="background1"/>
            <w:vAlign w:val="center"/>
          </w:tcPr>
          <w:p w14:paraId="375E9A00">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指标分类</w:t>
            </w:r>
          </w:p>
        </w:tc>
        <w:tc>
          <w:tcPr>
            <w:tcW w:w="2126" w:type="pct"/>
            <w:shd w:val="clear" w:color="auto" w:fill="FFFFFF" w:themeFill="background1"/>
            <w:vAlign w:val="center"/>
          </w:tcPr>
          <w:p w14:paraId="2489D4E6">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指标名称</w:t>
            </w:r>
          </w:p>
        </w:tc>
        <w:tc>
          <w:tcPr>
            <w:tcW w:w="2025" w:type="pct"/>
            <w:shd w:val="clear" w:color="auto" w:fill="FFFFFF" w:themeFill="background1"/>
            <w:vAlign w:val="center"/>
          </w:tcPr>
          <w:p w14:paraId="07365BD0">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现状数据</w:t>
            </w:r>
          </w:p>
        </w:tc>
      </w:tr>
      <w:tr w14:paraId="7841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849" w:type="pct"/>
            <w:vMerge w:val="restart"/>
            <w:shd w:val="clear" w:color="auto" w:fill="FFFFFF" w:themeFill="background1"/>
            <w:vAlign w:val="center"/>
          </w:tcPr>
          <w:p w14:paraId="189173CA">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房地产市场指标</w:t>
            </w:r>
          </w:p>
        </w:tc>
        <w:tc>
          <w:tcPr>
            <w:tcW w:w="2126" w:type="pct"/>
            <w:shd w:val="clear" w:color="auto" w:fill="FFFFFF" w:themeFill="background1"/>
            <w:vAlign w:val="center"/>
          </w:tcPr>
          <w:p w14:paraId="15AFE145">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房地产开发投资完成额</w:t>
            </w:r>
          </w:p>
        </w:tc>
        <w:tc>
          <w:tcPr>
            <w:tcW w:w="2025" w:type="pct"/>
            <w:shd w:val="clear" w:color="auto" w:fill="FFFFFF" w:themeFill="background1"/>
            <w:vAlign w:val="center"/>
          </w:tcPr>
          <w:p w14:paraId="5F8F7E54">
            <w:pPr>
              <w:widowControl/>
              <w:spacing w:line="600" w:lineRule="exact"/>
              <w:ind w:firstLine="0" w:firstLineChars="0"/>
              <w:jc w:val="center"/>
              <w:textAlignment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lang w:bidi="ar"/>
              </w:rPr>
              <w:t>39.4</w:t>
            </w:r>
            <w:r>
              <w:rPr>
                <w:rFonts w:ascii="Times New Roman" w:hAnsi="Times New Roman" w:eastAsia="仿宋" w:cs="Times New Roman"/>
                <w:kern w:val="0"/>
                <w:sz w:val="21"/>
                <w:szCs w:val="21"/>
                <w:lang w:bidi="ar"/>
              </w:rPr>
              <w:t>亿元（占全州固定资产投资</w:t>
            </w:r>
            <w:r>
              <w:rPr>
                <w:rFonts w:hint="eastAsia" w:ascii="Times New Roman" w:hAnsi="Times New Roman" w:eastAsia="仿宋" w:cs="Times New Roman"/>
                <w:kern w:val="0"/>
                <w:sz w:val="21"/>
                <w:szCs w:val="21"/>
                <w:lang w:bidi="ar"/>
              </w:rPr>
              <w:t>17.6</w:t>
            </w:r>
            <w:r>
              <w:rPr>
                <w:rFonts w:ascii="Times New Roman" w:hAnsi="Times New Roman" w:eastAsia="仿宋" w:cs="Times New Roman"/>
                <w:kern w:val="0"/>
                <w:sz w:val="21"/>
                <w:szCs w:val="21"/>
                <w:lang w:bidi="ar"/>
              </w:rPr>
              <w:t>%）</w:t>
            </w:r>
          </w:p>
        </w:tc>
      </w:tr>
      <w:tr w14:paraId="4ABB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49" w:type="pct"/>
            <w:vMerge w:val="continue"/>
            <w:shd w:val="clear" w:color="auto" w:fill="FFFFFF" w:themeFill="background1"/>
            <w:vAlign w:val="center"/>
          </w:tcPr>
          <w:p w14:paraId="03D5006B">
            <w:pPr>
              <w:widowControl/>
              <w:spacing w:line="600" w:lineRule="exact"/>
              <w:ind w:firstLine="0" w:firstLineChars="0"/>
              <w:jc w:val="center"/>
              <w:rPr>
                <w:rFonts w:ascii="Times New Roman" w:hAnsi="Times New Roman" w:eastAsia="仿宋" w:cs="Times New Roman"/>
                <w:sz w:val="21"/>
                <w:szCs w:val="21"/>
              </w:rPr>
            </w:pPr>
          </w:p>
        </w:tc>
        <w:tc>
          <w:tcPr>
            <w:tcW w:w="2126" w:type="pct"/>
            <w:shd w:val="clear" w:color="auto" w:fill="FFFFFF" w:themeFill="background1"/>
            <w:vAlign w:val="center"/>
          </w:tcPr>
          <w:p w14:paraId="450432D1">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商品房销售面积及增速</w:t>
            </w:r>
          </w:p>
        </w:tc>
        <w:tc>
          <w:tcPr>
            <w:tcW w:w="2025" w:type="pct"/>
            <w:shd w:val="clear" w:color="auto" w:fill="FFFFFF" w:themeFill="background1"/>
            <w:vAlign w:val="center"/>
          </w:tcPr>
          <w:p w14:paraId="69DF42EA">
            <w:pPr>
              <w:widowControl/>
              <w:spacing w:line="600" w:lineRule="exact"/>
              <w:ind w:firstLine="0" w:firstLineChars="0"/>
              <w:jc w:val="center"/>
              <w:textAlignment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lang w:bidi="ar"/>
              </w:rPr>
              <w:t>81.36</w:t>
            </w:r>
            <w:r>
              <w:rPr>
                <w:rFonts w:ascii="Times New Roman" w:hAnsi="Times New Roman" w:eastAsia="仿宋" w:cs="Times New Roman"/>
                <w:kern w:val="0"/>
                <w:sz w:val="21"/>
                <w:szCs w:val="21"/>
                <w:lang w:bidi="ar"/>
              </w:rPr>
              <w:t>万平方米（外地购房者占比</w:t>
            </w:r>
            <w:r>
              <w:rPr>
                <w:rFonts w:hint="eastAsia" w:ascii="Times New Roman" w:hAnsi="Times New Roman" w:eastAsia="仿宋" w:cs="Times New Roman"/>
                <w:kern w:val="0"/>
                <w:sz w:val="21"/>
                <w:szCs w:val="21"/>
                <w:lang w:bidi="ar"/>
              </w:rPr>
              <w:t>45.88</w:t>
            </w:r>
            <w:r>
              <w:rPr>
                <w:rFonts w:ascii="Times New Roman" w:hAnsi="Times New Roman" w:eastAsia="仿宋" w:cs="Times New Roman"/>
                <w:kern w:val="0"/>
                <w:sz w:val="21"/>
                <w:szCs w:val="21"/>
                <w:lang w:bidi="ar"/>
              </w:rPr>
              <w:t>%）</w:t>
            </w:r>
          </w:p>
        </w:tc>
      </w:tr>
      <w:tr w14:paraId="1988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49" w:type="pct"/>
            <w:vMerge w:val="continue"/>
            <w:shd w:val="clear" w:color="auto" w:fill="FFFFFF" w:themeFill="background1"/>
            <w:vAlign w:val="center"/>
          </w:tcPr>
          <w:p w14:paraId="44EA3D38">
            <w:pPr>
              <w:widowControl/>
              <w:spacing w:line="600" w:lineRule="exact"/>
              <w:ind w:firstLine="0" w:firstLineChars="0"/>
              <w:jc w:val="center"/>
              <w:rPr>
                <w:rFonts w:ascii="Times New Roman" w:hAnsi="Times New Roman" w:eastAsia="仿宋" w:cs="Times New Roman"/>
                <w:sz w:val="21"/>
                <w:szCs w:val="21"/>
              </w:rPr>
            </w:pPr>
          </w:p>
        </w:tc>
        <w:tc>
          <w:tcPr>
            <w:tcW w:w="2126" w:type="pct"/>
            <w:shd w:val="clear" w:color="auto" w:fill="FFFFFF" w:themeFill="background1"/>
            <w:vAlign w:val="center"/>
          </w:tcPr>
          <w:p w14:paraId="419D1300">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保障性租赁住房建设套数</w:t>
            </w:r>
          </w:p>
        </w:tc>
        <w:tc>
          <w:tcPr>
            <w:tcW w:w="2025" w:type="pct"/>
            <w:shd w:val="clear" w:color="auto" w:fill="FFFFFF" w:themeFill="background1"/>
            <w:vAlign w:val="center"/>
          </w:tcPr>
          <w:p w14:paraId="3F6B01D5">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开工</w:t>
            </w:r>
            <w:r>
              <w:rPr>
                <w:rFonts w:hint="eastAsia" w:ascii="Times New Roman" w:hAnsi="Times New Roman" w:eastAsia="仿宋" w:cs="Times New Roman"/>
                <w:kern w:val="0"/>
                <w:sz w:val="21"/>
                <w:szCs w:val="21"/>
                <w:lang w:bidi="ar"/>
              </w:rPr>
              <w:t>2510</w:t>
            </w:r>
            <w:r>
              <w:rPr>
                <w:rFonts w:ascii="Times New Roman" w:hAnsi="Times New Roman" w:eastAsia="仿宋" w:cs="Times New Roman"/>
                <w:kern w:val="0"/>
                <w:sz w:val="21"/>
                <w:szCs w:val="21"/>
                <w:lang w:bidi="ar"/>
              </w:rPr>
              <w:t>套（完成年度任务）</w:t>
            </w:r>
          </w:p>
        </w:tc>
      </w:tr>
      <w:tr w14:paraId="52D0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49" w:type="pct"/>
            <w:vMerge w:val="restart"/>
            <w:shd w:val="clear" w:color="auto" w:fill="FFFFFF" w:themeFill="background1"/>
            <w:vAlign w:val="center"/>
          </w:tcPr>
          <w:p w14:paraId="2F9BBB51">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住房保障指标</w:t>
            </w:r>
          </w:p>
        </w:tc>
        <w:tc>
          <w:tcPr>
            <w:tcW w:w="2126" w:type="pct"/>
            <w:shd w:val="clear" w:color="auto" w:fill="FFFFFF" w:themeFill="background1"/>
            <w:vAlign w:val="center"/>
          </w:tcPr>
          <w:p w14:paraId="64C50E4B">
            <w:pPr>
              <w:widowControl/>
              <w:spacing w:line="600" w:lineRule="exact"/>
              <w:ind w:firstLine="0" w:firstLineChars="0"/>
              <w:jc w:val="center"/>
              <w:textAlignment w:val="center"/>
              <w:rPr>
                <w:rFonts w:ascii="Times New Roman" w:hAnsi="Times New Roman" w:eastAsia="仿宋" w:cs="Times New Roman"/>
                <w:sz w:val="21"/>
                <w:szCs w:val="21"/>
              </w:rPr>
            </w:pPr>
            <w:bookmarkStart w:id="4" w:name="OLE_LINK1"/>
            <w:bookmarkStart w:id="5" w:name="OLE_LINK2"/>
            <w:r>
              <w:rPr>
                <w:rFonts w:ascii="Times New Roman" w:hAnsi="Times New Roman" w:eastAsia="仿宋" w:cs="Times New Roman"/>
                <w:kern w:val="0"/>
                <w:sz w:val="21"/>
                <w:szCs w:val="21"/>
                <w:lang w:bidi="ar"/>
              </w:rPr>
              <w:t>城镇老旧小区改造数量</w:t>
            </w:r>
            <w:bookmarkEnd w:id="4"/>
            <w:bookmarkEnd w:id="5"/>
          </w:p>
        </w:tc>
        <w:tc>
          <w:tcPr>
            <w:tcW w:w="2025" w:type="pct"/>
            <w:shd w:val="clear" w:color="auto" w:fill="FFFFFF" w:themeFill="background1"/>
            <w:vAlign w:val="center"/>
          </w:tcPr>
          <w:p w14:paraId="13A4212B">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开工</w:t>
            </w:r>
            <w:r>
              <w:rPr>
                <w:rFonts w:hint="eastAsia" w:ascii="Times New Roman" w:hAnsi="Times New Roman" w:eastAsia="仿宋" w:cs="Times New Roman"/>
                <w:kern w:val="0"/>
                <w:sz w:val="21"/>
                <w:szCs w:val="21"/>
                <w:lang w:bidi="ar"/>
              </w:rPr>
              <w:t>7</w:t>
            </w:r>
            <w:r>
              <w:rPr>
                <w:rFonts w:ascii="Times New Roman" w:hAnsi="Times New Roman" w:eastAsia="仿宋" w:cs="Times New Roman"/>
                <w:kern w:val="0"/>
                <w:sz w:val="21"/>
                <w:szCs w:val="21"/>
                <w:lang w:bidi="ar"/>
              </w:rPr>
              <w:t>个</w:t>
            </w:r>
          </w:p>
        </w:tc>
      </w:tr>
      <w:tr w14:paraId="1E3F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49" w:type="pct"/>
            <w:vMerge w:val="continue"/>
            <w:shd w:val="clear" w:color="auto" w:fill="FFFFFF" w:themeFill="background1"/>
            <w:vAlign w:val="center"/>
          </w:tcPr>
          <w:p w14:paraId="760F05C8">
            <w:pPr>
              <w:widowControl/>
              <w:spacing w:line="600" w:lineRule="exact"/>
              <w:ind w:firstLine="0" w:firstLineChars="0"/>
              <w:jc w:val="center"/>
              <w:rPr>
                <w:rFonts w:ascii="Times New Roman" w:hAnsi="Times New Roman" w:eastAsia="仿宋" w:cs="Times New Roman"/>
                <w:sz w:val="21"/>
                <w:szCs w:val="21"/>
              </w:rPr>
            </w:pPr>
          </w:p>
        </w:tc>
        <w:tc>
          <w:tcPr>
            <w:tcW w:w="2126" w:type="pct"/>
            <w:shd w:val="clear" w:color="auto" w:fill="FFFFFF" w:themeFill="background1"/>
            <w:vAlign w:val="center"/>
          </w:tcPr>
          <w:p w14:paraId="43DAF032">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农村危房（农房抗震）改造完成</w:t>
            </w:r>
            <w:r>
              <w:rPr>
                <w:rFonts w:hint="eastAsia" w:ascii="Times New Roman" w:hAnsi="Times New Roman" w:eastAsia="仿宋" w:cs="Times New Roman"/>
                <w:kern w:val="0"/>
                <w:sz w:val="21"/>
                <w:szCs w:val="21"/>
                <w:lang w:bidi="ar"/>
              </w:rPr>
              <w:t>情况</w:t>
            </w:r>
          </w:p>
        </w:tc>
        <w:tc>
          <w:tcPr>
            <w:tcW w:w="2025" w:type="pct"/>
            <w:shd w:val="clear" w:color="auto" w:fill="FFFFFF" w:themeFill="background1"/>
            <w:vAlign w:val="center"/>
          </w:tcPr>
          <w:p w14:paraId="1B2A3F55">
            <w:pPr>
              <w:widowControl/>
              <w:spacing w:line="600" w:lineRule="exact"/>
              <w:ind w:firstLine="0" w:firstLineChars="0"/>
              <w:jc w:val="center"/>
              <w:textAlignment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lang w:bidi="ar"/>
              </w:rPr>
              <w:t>竣工156</w:t>
            </w:r>
            <w:r>
              <w:rPr>
                <w:rFonts w:ascii="Times New Roman" w:hAnsi="Times New Roman" w:eastAsia="仿宋" w:cs="Times New Roman"/>
                <w:kern w:val="0"/>
                <w:sz w:val="21"/>
                <w:szCs w:val="21"/>
                <w:lang w:bidi="ar"/>
              </w:rPr>
              <w:t>套</w:t>
            </w:r>
          </w:p>
        </w:tc>
      </w:tr>
      <w:tr w14:paraId="1311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9" w:type="pct"/>
            <w:shd w:val="clear" w:color="auto" w:fill="FFFFFF" w:themeFill="background1"/>
            <w:vAlign w:val="center"/>
          </w:tcPr>
          <w:p w14:paraId="4D31C5ED">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住房品质指标</w:t>
            </w:r>
          </w:p>
        </w:tc>
        <w:tc>
          <w:tcPr>
            <w:tcW w:w="2126" w:type="pct"/>
            <w:shd w:val="clear" w:color="auto" w:fill="FFFFFF" w:themeFill="background1"/>
            <w:vAlign w:val="center"/>
          </w:tcPr>
          <w:p w14:paraId="5C5F7505">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城镇新建绿色建筑占比</w:t>
            </w:r>
          </w:p>
        </w:tc>
        <w:tc>
          <w:tcPr>
            <w:tcW w:w="2025" w:type="pct"/>
            <w:shd w:val="clear" w:color="auto" w:fill="FFFFFF" w:themeFill="background1"/>
            <w:vAlign w:val="center"/>
          </w:tcPr>
          <w:p w14:paraId="35A1A0B4">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100%</w:t>
            </w:r>
          </w:p>
        </w:tc>
      </w:tr>
      <w:tr w14:paraId="564A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9" w:type="pct"/>
            <w:vMerge w:val="restart"/>
            <w:shd w:val="clear" w:color="auto" w:fill="FFFFFF" w:themeFill="background1"/>
            <w:vAlign w:val="center"/>
          </w:tcPr>
          <w:p w14:paraId="4AA9C08F">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行业管理指标</w:t>
            </w:r>
          </w:p>
        </w:tc>
        <w:tc>
          <w:tcPr>
            <w:tcW w:w="2126" w:type="pct"/>
            <w:shd w:val="clear" w:color="auto" w:fill="FFFFFF" w:themeFill="background1"/>
            <w:vAlign w:val="center"/>
          </w:tcPr>
          <w:p w14:paraId="7432258C">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物业管理</w:t>
            </w:r>
            <w:r>
              <w:rPr>
                <w:rFonts w:hint="eastAsia" w:ascii="Times New Roman" w:hAnsi="Times New Roman" w:eastAsia="仿宋" w:cs="Times New Roman"/>
                <w:kern w:val="0"/>
                <w:sz w:val="21"/>
                <w:szCs w:val="21"/>
                <w:lang w:bidi="ar"/>
              </w:rPr>
              <w:t>市场化</w:t>
            </w:r>
            <w:r>
              <w:rPr>
                <w:rFonts w:ascii="Times New Roman" w:hAnsi="Times New Roman" w:eastAsia="仿宋" w:cs="Times New Roman"/>
                <w:kern w:val="0"/>
                <w:sz w:val="21"/>
                <w:szCs w:val="21"/>
                <w:lang w:bidi="ar"/>
              </w:rPr>
              <w:t>覆盖率</w:t>
            </w:r>
          </w:p>
        </w:tc>
        <w:tc>
          <w:tcPr>
            <w:tcW w:w="2025" w:type="pct"/>
            <w:shd w:val="clear" w:color="auto" w:fill="FFFFFF" w:themeFill="background1"/>
            <w:vAlign w:val="center"/>
          </w:tcPr>
          <w:p w14:paraId="26BA7745">
            <w:pPr>
              <w:widowControl/>
              <w:spacing w:line="600" w:lineRule="exact"/>
              <w:ind w:firstLine="0" w:firstLineChars="0"/>
              <w:jc w:val="center"/>
              <w:textAlignment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lang w:bidi="ar"/>
              </w:rPr>
              <w:t>24.8</w:t>
            </w:r>
            <w:r>
              <w:rPr>
                <w:rFonts w:ascii="Times New Roman" w:hAnsi="Times New Roman" w:eastAsia="仿宋" w:cs="Times New Roman"/>
                <w:kern w:val="0"/>
                <w:sz w:val="21"/>
                <w:szCs w:val="21"/>
                <w:lang w:bidi="ar"/>
              </w:rPr>
              <w:t>%</w:t>
            </w:r>
          </w:p>
        </w:tc>
      </w:tr>
      <w:tr w14:paraId="0688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9" w:type="pct"/>
            <w:vMerge w:val="continue"/>
            <w:shd w:val="clear" w:color="auto" w:fill="FFFFFF" w:themeFill="background1"/>
            <w:vAlign w:val="center"/>
          </w:tcPr>
          <w:p w14:paraId="10DAAA2E">
            <w:pPr>
              <w:widowControl/>
              <w:spacing w:line="600" w:lineRule="exact"/>
              <w:ind w:firstLine="0" w:firstLineChars="0"/>
              <w:jc w:val="center"/>
              <w:rPr>
                <w:rFonts w:ascii="Times New Roman" w:hAnsi="Times New Roman" w:eastAsia="仿宋" w:cs="Times New Roman"/>
                <w:sz w:val="21"/>
                <w:szCs w:val="21"/>
              </w:rPr>
            </w:pPr>
          </w:p>
        </w:tc>
        <w:tc>
          <w:tcPr>
            <w:tcW w:w="2126" w:type="pct"/>
            <w:shd w:val="clear" w:color="auto" w:fill="FFFFFF" w:themeFill="background1"/>
            <w:vAlign w:val="center"/>
          </w:tcPr>
          <w:p w14:paraId="6E2664EB">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保交房</w:t>
            </w:r>
            <w:r>
              <w:rPr>
                <w:rFonts w:hint="eastAsia" w:ascii="Times New Roman" w:hAnsi="Times New Roman" w:eastAsia="仿宋" w:cs="Times New Roman"/>
                <w:kern w:val="0"/>
                <w:sz w:val="21"/>
                <w:szCs w:val="21"/>
                <w:lang w:bidi="ar"/>
              </w:rPr>
              <w:t>交付率</w:t>
            </w:r>
          </w:p>
        </w:tc>
        <w:tc>
          <w:tcPr>
            <w:tcW w:w="2025" w:type="pct"/>
            <w:shd w:val="clear" w:color="auto" w:fill="FFFFFF" w:themeFill="background1"/>
            <w:vAlign w:val="center"/>
          </w:tcPr>
          <w:p w14:paraId="438EA012">
            <w:pPr>
              <w:widowControl/>
              <w:spacing w:line="600" w:lineRule="exact"/>
              <w:ind w:firstLine="0" w:firstLineChars="0"/>
              <w:jc w:val="center"/>
              <w:textAlignment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lang w:bidi="ar"/>
              </w:rPr>
              <w:t>100</w:t>
            </w:r>
            <w:r>
              <w:rPr>
                <w:rFonts w:ascii="Times New Roman" w:hAnsi="Times New Roman" w:eastAsia="仿宋" w:cs="Times New Roman"/>
                <w:kern w:val="0"/>
                <w:sz w:val="21"/>
                <w:szCs w:val="21"/>
                <w:lang w:bidi="ar"/>
              </w:rPr>
              <w:t>%</w:t>
            </w:r>
          </w:p>
        </w:tc>
      </w:tr>
    </w:tbl>
    <w:p w14:paraId="0373377F">
      <w:pPr>
        <w:pStyle w:val="3"/>
        <w:numPr>
          <w:ilvl w:val="0"/>
          <w:numId w:val="2"/>
        </w:numPr>
        <w:ind w:firstLineChars="0"/>
        <w:rPr>
          <w:rFonts w:ascii="Times New Roman" w:hAnsi="Times New Roman" w:cs="Times New Roman"/>
        </w:rPr>
      </w:pPr>
      <w:r>
        <w:rPr>
          <w:rFonts w:ascii="Times New Roman" w:hAnsi="Times New Roman" w:cs="Times New Roman"/>
        </w:rPr>
        <w:t>目标指标完成情况评估</w:t>
      </w:r>
    </w:p>
    <w:p w14:paraId="24C4C471">
      <w:pPr>
        <w:pStyle w:val="4"/>
        <w:numPr>
          <w:ilvl w:val="0"/>
          <w:numId w:val="4"/>
        </w:numPr>
        <w:ind w:left="0" w:firstLine="643"/>
        <w:rPr>
          <w:rFonts w:ascii="Times New Roman" w:hAnsi="Times New Roman" w:cs="Times New Roman"/>
        </w:rPr>
      </w:pPr>
      <w:r>
        <w:rPr>
          <w:rFonts w:ascii="Times New Roman" w:hAnsi="Times New Roman" w:cs="Times New Roman"/>
        </w:rPr>
        <w:t>房地产市场指标</w:t>
      </w:r>
    </w:p>
    <w:tbl>
      <w:tblPr>
        <w:tblStyle w:val="9"/>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762"/>
        <w:gridCol w:w="4009"/>
        <w:gridCol w:w="2078"/>
      </w:tblGrid>
      <w:tr w14:paraId="5D06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78" w:hRule="atLeast"/>
        </w:trPr>
        <w:tc>
          <w:tcPr>
            <w:tcW w:w="2762" w:type="dxa"/>
            <w:shd w:val="clear" w:color="auto" w:fill="FFFFFF" w:themeFill="background1"/>
            <w:vAlign w:val="center"/>
          </w:tcPr>
          <w:p w14:paraId="1CA3A730">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指标名称</w:t>
            </w:r>
          </w:p>
        </w:tc>
        <w:tc>
          <w:tcPr>
            <w:tcW w:w="4009" w:type="dxa"/>
            <w:shd w:val="clear" w:color="auto" w:fill="FFFFFF" w:themeFill="background1"/>
            <w:vAlign w:val="center"/>
          </w:tcPr>
          <w:p w14:paraId="79AF9B55">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现状数据（202</w:t>
            </w:r>
            <w:r>
              <w:rPr>
                <w:rFonts w:hint="eastAsia" w:ascii="Times New Roman" w:hAnsi="Times New Roman" w:eastAsia="仿宋" w:cs="Times New Roman"/>
                <w:kern w:val="0"/>
                <w:sz w:val="21"/>
                <w:szCs w:val="21"/>
                <w:lang w:bidi="ar"/>
              </w:rPr>
              <w:t>5</w:t>
            </w:r>
            <w:r>
              <w:rPr>
                <w:rFonts w:ascii="Times New Roman" w:hAnsi="Times New Roman" w:eastAsia="仿宋" w:cs="Times New Roman"/>
                <w:kern w:val="0"/>
                <w:sz w:val="21"/>
                <w:szCs w:val="21"/>
                <w:lang w:bidi="ar"/>
              </w:rPr>
              <w:t>年）</w:t>
            </w:r>
          </w:p>
        </w:tc>
        <w:tc>
          <w:tcPr>
            <w:tcW w:w="2078" w:type="dxa"/>
            <w:shd w:val="clear" w:color="auto" w:fill="FFFFFF" w:themeFill="background1"/>
            <w:vAlign w:val="center"/>
          </w:tcPr>
          <w:p w14:paraId="7129EFAB">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规划目标（202</w:t>
            </w:r>
            <w:r>
              <w:rPr>
                <w:rFonts w:hint="eastAsia" w:ascii="Times New Roman" w:hAnsi="Times New Roman" w:eastAsia="仿宋" w:cs="Times New Roman"/>
                <w:kern w:val="0"/>
                <w:sz w:val="21"/>
                <w:szCs w:val="21"/>
                <w:lang w:bidi="ar"/>
              </w:rPr>
              <w:t>6</w:t>
            </w:r>
            <w:r>
              <w:rPr>
                <w:rFonts w:ascii="Times New Roman" w:hAnsi="Times New Roman" w:eastAsia="仿宋" w:cs="Times New Roman"/>
                <w:kern w:val="0"/>
                <w:sz w:val="21"/>
                <w:szCs w:val="21"/>
                <w:lang w:bidi="ar"/>
              </w:rPr>
              <w:t>年）</w:t>
            </w:r>
          </w:p>
        </w:tc>
      </w:tr>
      <w:tr w14:paraId="4D33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62" w:type="dxa"/>
            <w:shd w:val="clear" w:color="auto" w:fill="FFFFFF" w:themeFill="background1"/>
            <w:vAlign w:val="center"/>
          </w:tcPr>
          <w:p w14:paraId="1469D288">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房地产开发投资完成额</w:t>
            </w:r>
          </w:p>
        </w:tc>
        <w:tc>
          <w:tcPr>
            <w:tcW w:w="4009" w:type="dxa"/>
            <w:shd w:val="clear" w:color="auto" w:fill="FFFFFF" w:themeFill="background1"/>
            <w:vAlign w:val="center"/>
          </w:tcPr>
          <w:p w14:paraId="595ADECB">
            <w:pPr>
              <w:widowControl/>
              <w:spacing w:line="600" w:lineRule="exact"/>
              <w:ind w:firstLine="0" w:firstLineChars="0"/>
              <w:jc w:val="center"/>
              <w:textAlignment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lang w:bidi="ar"/>
              </w:rPr>
              <w:t>39.4</w:t>
            </w:r>
            <w:r>
              <w:rPr>
                <w:rFonts w:ascii="Times New Roman" w:hAnsi="Times New Roman" w:eastAsia="仿宋" w:cs="Times New Roman"/>
                <w:kern w:val="0"/>
                <w:sz w:val="21"/>
                <w:szCs w:val="21"/>
                <w:lang w:bidi="ar"/>
              </w:rPr>
              <w:t>亿元（占全州固定资产投资</w:t>
            </w:r>
            <w:r>
              <w:rPr>
                <w:rFonts w:hint="eastAsia" w:ascii="Times New Roman" w:hAnsi="Times New Roman" w:eastAsia="仿宋" w:cs="Times New Roman"/>
                <w:kern w:val="0"/>
                <w:sz w:val="21"/>
                <w:szCs w:val="21"/>
                <w:lang w:bidi="ar"/>
              </w:rPr>
              <w:t>17.6</w:t>
            </w:r>
            <w:r>
              <w:rPr>
                <w:rFonts w:ascii="Times New Roman" w:hAnsi="Times New Roman" w:eastAsia="仿宋" w:cs="Times New Roman"/>
                <w:kern w:val="0"/>
                <w:sz w:val="21"/>
                <w:szCs w:val="21"/>
                <w:lang w:bidi="ar"/>
              </w:rPr>
              <w:t>%）</w:t>
            </w:r>
          </w:p>
        </w:tc>
        <w:tc>
          <w:tcPr>
            <w:tcW w:w="2078" w:type="dxa"/>
            <w:shd w:val="clear" w:color="auto" w:fill="FFFFFF" w:themeFill="background1"/>
            <w:vAlign w:val="center"/>
          </w:tcPr>
          <w:p w14:paraId="5FC138D9">
            <w:pPr>
              <w:widowControl/>
              <w:spacing w:line="600" w:lineRule="exact"/>
              <w:ind w:firstLine="0" w:firstLineChars="0"/>
              <w:jc w:val="center"/>
              <w:textAlignment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lang w:bidi="ar"/>
              </w:rPr>
              <w:t>42.85</w:t>
            </w:r>
            <w:r>
              <w:rPr>
                <w:rFonts w:ascii="Times New Roman" w:hAnsi="Times New Roman" w:eastAsia="仿宋" w:cs="Times New Roman"/>
                <w:kern w:val="0"/>
                <w:sz w:val="21"/>
                <w:szCs w:val="21"/>
                <w:lang w:bidi="ar"/>
              </w:rPr>
              <w:t>亿元</w:t>
            </w:r>
          </w:p>
        </w:tc>
      </w:tr>
      <w:tr w14:paraId="4DC9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62" w:type="dxa"/>
            <w:shd w:val="clear" w:color="auto" w:fill="FFFFFF" w:themeFill="background1"/>
            <w:vAlign w:val="center"/>
          </w:tcPr>
          <w:p w14:paraId="6FF116A0">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商品房销售面积及增速</w:t>
            </w:r>
          </w:p>
        </w:tc>
        <w:tc>
          <w:tcPr>
            <w:tcW w:w="4009" w:type="dxa"/>
            <w:shd w:val="clear" w:color="auto" w:fill="FFFFFF" w:themeFill="background1"/>
            <w:vAlign w:val="center"/>
          </w:tcPr>
          <w:p w14:paraId="37D8FECA">
            <w:pPr>
              <w:widowControl/>
              <w:spacing w:line="600" w:lineRule="exact"/>
              <w:ind w:firstLine="0" w:firstLineChars="0"/>
              <w:jc w:val="center"/>
              <w:textAlignment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lang w:bidi="ar"/>
              </w:rPr>
              <w:t>81.36</w:t>
            </w:r>
            <w:r>
              <w:rPr>
                <w:rFonts w:ascii="Times New Roman" w:hAnsi="Times New Roman" w:eastAsia="仿宋" w:cs="Times New Roman"/>
                <w:kern w:val="0"/>
                <w:sz w:val="21"/>
                <w:szCs w:val="21"/>
                <w:lang w:bidi="ar"/>
              </w:rPr>
              <w:t>万平方米（外地购房者占比</w:t>
            </w:r>
            <w:r>
              <w:rPr>
                <w:rFonts w:hint="eastAsia" w:ascii="Times New Roman" w:hAnsi="Times New Roman" w:eastAsia="仿宋" w:cs="Times New Roman"/>
                <w:kern w:val="0"/>
                <w:sz w:val="21"/>
                <w:szCs w:val="21"/>
                <w:lang w:bidi="ar"/>
              </w:rPr>
              <w:t>45.88</w:t>
            </w:r>
            <w:r>
              <w:rPr>
                <w:rFonts w:ascii="Times New Roman" w:hAnsi="Times New Roman" w:eastAsia="仿宋" w:cs="Times New Roman"/>
                <w:kern w:val="0"/>
                <w:sz w:val="21"/>
                <w:szCs w:val="21"/>
                <w:lang w:bidi="ar"/>
              </w:rPr>
              <w:t>%）</w:t>
            </w:r>
          </w:p>
        </w:tc>
        <w:tc>
          <w:tcPr>
            <w:tcW w:w="2078" w:type="dxa"/>
            <w:shd w:val="clear" w:color="auto" w:fill="FFFFFF" w:themeFill="background1"/>
            <w:vAlign w:val="center"/>
          </w:tcPr>
          <w:p w14:paraId="1A6E9E2D">
            <w:pPr>
              <w:widowControl/>
              <w:spacing w:line="600" w:lineRule="exact"/>
              <w:ind w:firstLine="0" w:firstLineChars="0"/>
              <w:jc w:val="center"/>
              <w:textAlignment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lang w:bidi="ar"/>
              </w:rPr>
              <w:t>增速7.2%以上</w:t>
            </w:r>
          </w:p>
        </w:tc>
      </w:tr>
      <w:tr w14:paraId="6F39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762" w:type="dxa"/>
            <w:shd w:val="clear" w:color="auto" w:fill="FFFFFF" w:themeFill="background1"/>
            <w:vAlign w:val="center"/>
          </w:tcPr>
          <w:p w14:paraId="5EB04C60">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保障性租赁住房建设套数</w:t>
            </w:r>
          </w:p>
        </w:tc>
        <w:tc>
          <w:tcPr>
            <w:tcW w:w="4009" w:type="dxa"/>
            <w:shd w:val="clear" w:color="auto" w:fill="FFFFFF" w:themeFill="background1"/>
            <w:vAlign w:val="center"/>
          </w:tcPr>
          <w:p w14:paraId="2B9C6E82">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开工</w:t>
            </w:r>
            <w:r>
              <w:rPr>
                <w:rFonts w:hint="eastAsia" w:ascii="Times New Roman" w:hAnsi="Times New Roman" w:eastAsia="仿宋" w:cs="Times New Roman"/>
                <w:kern w:val="0"/>
                <w:sz w:val="21"/>
                <w:szCs w:val="21"/>
                <w:lang w:bidi="ar"/>
              </w:rPr>
              <w:t>2510</w:t>
            </w:r>
            <w:r>
              <w:rPr>
                <w:rFonts w:ascii="Times New Roman" w:hAnsi="Times New Roman" w:eastAsia="仿宋" w:cs="Times New Roman"/>
                <w:kern w:val="0"/>
                <w:sz w:val="21"/>
                <w:szCs w:val="21"/>
                <w:lang w:bidi="ar"/>
              </w:rPr>
              <w:t>套（完成年度任务）</w:t>
            </w:r>
          </w:p>
        </w:tc>
        <w:tc>
          <w:tcPr>
            <w:tcW w:w="2078" w:type="dxa"/>
            <w:shd w:val="clear" w:color="auto" w:fill="FFFFFF" w:themeFill="background1"/>
            <w:vAlign w:val="center"/>
          </w:tcPr>
          <w:p w14:paraId="13D2A542">
            <w:pPr>
              <w:widowControl/>
              <w:spacing w:line="600" w:lineRule="exact"/>
              <w:ind w:firstLine="0" w:firstLineChars="0"/>
              <w:jc w:val="center"/>
              <w:textAlignment w:val="center"/>
              <w:rPr>
                <w:rFonts w:ascii="Times New Roman" w:hAnsi="Times New Roman" w:eastAsia="仿宋" w:cs="Times New Roman"/>
                <w:sz w:val="21"/>
                <w:szCs w:val="21"/>
              </w:rPr>
            </w:pPr>
            <w:r>
              <w:rPr>
                <w:rFonts w:ascii="Times New Roman" w:hAnsi="Times New Roman" w:eastAsia="仿宋" w:cs="Times New Roman"/>
                <w:kern w:val="0"/>
                <w:sz w:val="21"/>
                <w:szCs w:val="21"/>
                <w:lang w:bidi="ar"/>
              </w:rPr>
              <w:t>总量目标完成</w:t>
            </w:r>
          </w:p>
        </w:tc>
      </w:tr>
    </w:tbl>
    <w:p w14:paraId="74BD5670">
      <w:pPr>
        <w:pStyle w:val="4"/>
        <w:numPr>
          <w:ilvl w:val="0"/>
          <w:numId w:val="4"/>
        </w:numPr>
        <w:ind w:left="0" w:firstLine="643"/>
        <w:rPr>
          <w:rFonts w:ascii="Times New Roman" w:hAnsi="Times New Roman" w:cs="Times New Roman"/>
        </w:rPr>
      </w:pPr>
      <w:r>
        <w:rPr>
          <w:rFonts w:ascii="Times New Roman" w:hAnsi="Times New Roman" w:cs="Times New Roman"/>
        </w:rPr>
        <w:t>住房保障指标</w:t>
      </w:r>
    </w:p>
    <w:p w14:paraId="2B49B238">
      <w:pPr>
        <w:spacing w:line="600" w:lineRule="exact"/>
        <w:rPr>
          <w:rFonts w:ascii="Times New Roman" w:hAnsi="Times New Roman" w:cs="Times New Roman"/>
        </w:rPr>
      </w:pPr>
      <w:r>
        <w:rPr>
          <w:rFonts w:ascii="Times New Roman" w:hAnsi="Times New Roman" w:cs="Times New Roman"/>
        </w:rPr>
        <w:t>城镇老旧小区改造完成</w:t>
      </w:r>
      <w:r>
        <w:rPr>
          <w:rFonts w:hint="eastAsia" w:ascii="Times New Roman" w:hAnsi="Times New Roman" w:cs="Times New Roman"/>
        </w:rPr>
        <w:t>任务</w:t>
      </w:r>
      <w:r>
        <w:rPr>
          <w:rFonts w:ascii="Times New Roman" w:hAnsi="Times New Roman" w:cs="Times New Roman"/>
        </w:rPr>
        <w:t>，但需关注202</w:t>
      </w:r>
      <w:r>
        <w:rPr>
          <w:rFonts w:hint="eastAsia" w:ascii="Times New Roman" w:hAnsi="Times New Roman" w:cs="Times New Roman"/>
        </w:rPr>
        <w:t>6</w:t>
      </w:r>
      <w:r>
        <w:rPr>
          <w:rFonts w:ascii="Times New Roman" w:hAnsi="Times New Roman" w:cs="Times New Roman"/>
        </w:rPr>
        <w:t>年剩余任务（</w:t>
      </w:r>
      <w:r>
        <w:rPr>
          <w:rFonts w:hint="eastAsia" w:ascii="Times New Roman" w:hAnsi="Times New Roman" w:cs="Times New Roman"/>
        </w:rPr>
        <w:t>6</w:t>
      </w:r>
      <w:r>
        <w:rPr>
          <w:rFonts w:ascii="Times New Roman" w:hAnsi="Times New Roman" w:cs="Times New Roman"/>
        </w:rPr>
        <w:t>个小区）的推进；农村危房改造全面完成。</w:t>
      </w:r>
    </w:p>
    <w:tbl>
      <w:tblPr>
        <w:tblStyle w:val="9"/>
        <w:tblpPr w:leftFromText="180" w:rightFromText="180" w:vertAnchor="text" w:horzAnchor="page" w:tblpX="1782" w:tblpY="6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15" w:type="dxa"/>
          <w:left w:w="15" w:type="dxa"/>
          <w:bottom w:w="15" w:type="dxa"/>
          <w:right w:w="15" w:type="dxa"/>
        </w:tblCellMar>
      </w:tblPr>
      <w:tblGrid>
        <w:gridCol w:w="3420"/>
        <w:gridCol w:w="2213"/>
        <w:gridCol w:w="2213"/>
      </w:tblGrid>
      <w:tr w14:paraId="0520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Header/>
        </w:trPr>
        <w:tc>
          <w:tcPr>
            <w:tcW w:w="0" w:type="auto"/>
            <w:shd w:val="clear" w:color="auto" w:fill="FFFFFF" w:themeFill="background1"/>
            <w:tcMar>
              <w:top w:w="90" w:type="dxa"/>
              <w:left w:w="135" w:type="dxa"/>
              <w:bottom w:w="90" w:type="dxa"/>
              <w:right w:w="135" w:type="dxa"/>
            </w:tcMar>
            <w:vAlign w:val="center"/>
          </w:tcPr>
          <w:p w14:paraId="275E8CFF">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指标名称</w:t>
            </w:r>
          </w:p>
        </w:tc>
        <w:tc>
          <w:tcPr>
            <w:tcW w:w="0" w:type="auto"/>
            <w:shd w:val="clear" w:color="auto" w:fill="FFFFFF" w:themeFill="background1"/>
            <w:tcMar>
              <w:top w:w="90" w:type="dxa"/>
              <w:left w:w="135" w:type="dxa"/>
              <w:bottom w:w="90" w:type="dxa"/>
              <w:right w:w="135" w:type="dxa"/>
            </w:tcMar>
            <w:vAlign w:val="center"/>
          </w:tcPr>
          <w:p w14:paraId="1B640FAB">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现状数据（202</w:t>
            </w:r>
            <w:r>
              <w:rPr>
                <w:rFonts w:hint="eastAsia" w:ascii="Times New Roman" w:hAnsi="Times New Roman" w:eastAsia="仿宋" w:cs="Times New Roman"/>
                <w:kern w:val="0"/>
                <w:sz w:val="21"/>
                <w:szCs w:val="21"/>
                <w:lang w:bidi="ar"/>
              </w:rPr>
              <w:t>5</w:t>
            </w:r>
            <w:r>
              <w:rPr>
                <w:rFonts w:ascii="Times New Roman" w:hAnsi="Times New Roman" w:eastAsia="仿宋" w:cs="Times New Roman"/>
                <w:kern w:val="0"/>
                <w:sz w:val="21"/>
                <w:szCs w:val="21"/>
                <w:lang w:bidi="ar"/>
              </w:rPr>
              <w:t>年）</w:t>
            </w:r>
          </w:p>
        </w:tc>
        <w:tc>
          <w:tcPr>
            <w:tcW w:w="0" w:type="auto"/>
            <w:shd w:val="clear" w:color="auto" w:fill="FFFFFF" w:themeFill="background1"/>
            <w:tcMar>
              <w:top w:w="90" w:type="dxa"/>
              <w:left w:w="135" w:type="dxa"/>
              <w:bottom w:w="90" w:type="dxa"/>
              <w:right w:w="135" w:type="dxa"/>
            </w:tcMar>
            <w:vAlign w:val="center"/>
          </w:tcPr>
          <w:p w14:paraId="141D2D27">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规划目标（202</w:t>
            </w:r>
            <w:r>
              <w:rPr>
                <w:rFonts w:hint="eastAsia" w:ascii="Times New Roman" w:hAnsi="Times New Roman" w:eastAsia="仿宋" w:cs="Times New Roman"/>
                <w:kern w:val="0"/>
                <w:sz w:val="21"/>
                <w:szCs w:val="21"/>
                <w:lang w:bidi="ar"/>
              </w:rPr>
              <w:t>6</w:t>
            </w:r>
            <w:r>
              <w:rPr>
                <w:rFonts w:ascii="Times New Roman" w:hAnsi="Times New Roman" w:eastAsia="仿宋" w:cs="Times New Roman"/>
                <w:kern w:val="0"/>
                <w:sz w:val="21"/>
                <w:szCs w:val="21"/>
                <w:lang w:bidi="ar"/>
              </w:rPr>
              <w:t>年）</w:t>
            </w:r>
          </w:p>
        </w:tc>
      </w:tr>
      <w:tr w14:paraId="1D4A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hemeFill="background1"/>
            <w:tcMar>
              <w:top w:w="90" w:type="dxa"/>
              <w:left w:w="135" w:type="dxa"/>
              <w:bottom w:w="90" w:type="dxa"/>
              <w:right w:w="135" w:type="dxa"/>
            </w:tcMar>
            <w:vAlign w:val="center"/>
          </w:tcPr>
          <w:p w14:paraId="5276B562">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城镇老旧小区改造数量</w:t>
            </w:r>
          </w:p>
        </w:tc>
        <w:tc>
          <w:tcPr>
            <w:tcW w:w="0" w:type="auto"/>
            <w:shd w:val="clear" w:color="auto" w:fill="FFFFFF" w:themeFill="background1"/>
            <w:tcMar>
              <w:top w:w="90" w:type="dxa"/>
              <w:left w:w="135" w:type="dxa"/>
              <w:bottom w:w="90" w:type="dxa"/>
              <w:right w:w="135" w:type="dxa"/>
            </w:tcMar>
            <w:vAlign w:val="center"/>
          </w:tcPr>
          <w:p w14:paraId="4C8401B0">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开工</w:t>
            </w:r>
            <w:r>
              <w:rPr>
                <w:rFonts w:hint="eastAsia" w:ascii="Times New Roman" w:hAnsi="Times New Roman" w:eastAsia="仿宋" w:cs="Times New Roman"/>
                <w:kern w:val="0"/>
                <w:sz w:val="21"/>
                <w:szCs w:val="21"/>
                <w:lang w:bidi="ar"/>
              </w:rPr>
              <w:t>7</w:t>
            </w:r>
            <w:r>
              <w:rPr>
                <w:rFonts w:ascii="Times New Roman" w:hAnsi="Times New Roman" w:eastAsia="仿宋" w:cs="Times New Roman"/>
                <w:kern w:val="0"/>
                <w:sz w:val="21"/>
                <w:szCs w:val="21"/>
                <w:lang w:bidi="ar"/>
              </w:rPr>
              <w:t>个</w:t>
            </w:r>
          </w:p>
        </w:tc>
        <w:tc>
          <w:tcPr>
            <w:tcW w:w="0" w:type="auto"/>
            <w:shd w:val="clear" w:color="auto" w:fill="FFFFFF" w:themeFill="background1"/>
            <w:tcMar>
              <w:top w:w="90" w:type="dxa"/>
              <w:left w:w="135" w:type="dxa"/>
              <w:bottom w:w="90" w:type="dxa"/>
              <w:right w:w="135" w:type="dxa"/>
            </w:tcMar>
            <w:vAlign w:val="center"/>
          </w:tcPr>
          <w:p w14:paraId="5724CEE4">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w:t>
            </w:r>
          </w:p>
        </w:tc>
      </w:tr>
      <w:tr w14:paraId="361F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hemeFill="background1"/>
            <w:tcMar>
              <w:top w:w="90" w:type="dxa"/>
              <w:left w:w="135" w:type="dxa"/>
              <w:bottom w:w="90" w:type="dxa"/>
              <w:right w:w="135" w:type="dxa"/>
            </w:tcMar>
            <w:vAlign w:val="center"/>
          </w:tcPr>
          <w:p w14:paraId="5DD9CBB5">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农村危房（农房抗震）改造完成率</w:t>
            </w:r>
          </w:p>
        </w:tc>
        <w:tc>
          <w:tcPr>
            <w:tcW w:w="0" w:type="auto"/>
            <w:shd w:val="clear" w:color="auto" w:fill="FFFFFF" w:themeFill="background1"/>
            <w:tcMar>
              <w:top w:w="90" w:type="dxa"/>
              <w:left w:w="135" w:type="dxa"/>
              <w:bottom w:w="90" w:type="dxa"/>
              <w:right w:w="135" w:type="dxa"/>
            </w:tcMar>
            <w:vAlign w:val="center"/>
          </w:tcPr>
          <w:p w14:paraId="75E9EDC5">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竣工</w:t>
            </w:r>
            <w:r>
              <w:rPr>
                <w:rFonts w:hint="eastAsia" w:ascii="Times New Roman" w:hAnsi="Times New Roman" w:eastAsia="仿宋" w:cs="Times New Roman"/>
                <w:kern w:val="0"/>
                <w:sz w:val="21"/>
                <w:szCs w:val="21"/>
                <w:lang w:bidi="ar"/>
              </w:rPr>
              <w:t>156</w:t>
            </w:r>
            <w:r>
              <w:rPr>
                <w:rFonts w:ascii="Times New Roman" w:hAnsi="Times New Roman" w:eastAsia="仿宋" w:cs="Times New Roman"/>
                <w:kern w:val="0"/>
                <w:sz w:val="21"/>
                <w:szCs w:val="21"/>
                <w:lang w:bidi="ar"/>
              </w:rPr>
              <w:t>套</w:t>
            </w:r>
          </w:p>
        </w:tc>
        <w:tc>
          <w:tcPr>
            <w:tcW w:w="0" w:type="auto"/>
            <w:shd w:val="clear" w:color="auto" w:fill="FFFFFF" w:themeFill="background1"/>
            <w:tcMar>
              <w:top w:w="90" w:type="dxa"/>
              <w:left w:w="135" w:type="dxa"/>
              <w:bottom w:w="90" w:type="dxa"/>
              <w:right w:w="135" w:type="dxa"/>
            </w:tcMar>
            <w:vAlign w:val="center"/>
          </w:tcPr>
          <w:p w14:paraId="16D25B7C">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110户</w:t>
            </w:r>
          </w:p>
        </w:tc>
      </w:tr>
      <w:tr w14:paraId="6583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4" w:hRule="atLeast"/>
        </w:trPr>
        <w:tc>
          <w:tcPr>
            <w:tcW w:w="0" w:type="auto"/>
            <w:shd w:val="clear" w:color="auto" w:fill="FFFFFF" w:themeFill="background1"/>
            <w:tcMar>
              <w:top w:w="90" w:type="dxa"/>
              <w:left w:w="135" w:type="dxa"/>
              <w:bottom w:w="90" w:type="dxa"/>
              <w:right w:w="135" w:type="dxa"/>
            </w:tcMar>
            <w:vAlign w:val="center"/>
          </w:tcPr>
          <w:p w14:paraId="3860C9F1">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公租房分配管理覆盖率</w:t>
            </w:r>
          </w:p>
        </w:tc>
        <w:tc>
          <w:tcPr>
            <w:tcW w:w="0" w:type="auto"/>
            <w:shd w:val="clear" w:color="auto" w:fill="FFFFFF" w:themeFill="background1"/>
            <w:tcMar>
              <w:top w:w="90" w:type="dxa"/>
              <w:left w:w="135" w:type="dxa"/>
              <w:bottom w:w="90" w:type="dxa"/>
              <w:right w:w="135" w:type="dxa"/>
            </w:tcMar>
            <w:vAlign w:val="center"/>
          </w:tcPr>
          <w:p w14:paraId="592DC9EB">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98%</w:t>
            </w:r>
          </w:p>
        </w:tc>
        <w:tc>
          <w:tcPr>
            <w:tcW w:w="0" w:type="auto"/>
            <w:shd w:val="clear" w:color="auto" w:fill="FFFFFF" w:themeFill="background1"/>
            <w:tcMar>
              <w:top w:w="90" w:type="dxa"/>
              <w:left w:w="135" w:type="dxa"/>
              <w:bottom w:w="90" w:type="dxa"/>
              <w:right w:w="135" w:type="dxa"/>
            </w:tcMar>
            <w:vAlign w:val="center"/>
          </w:tcPr>
          <w:p w14:paraId="304CFB27">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98%</w:t>
            </w:r>
          </w:p>
        </w:tc>
      </w:tr>
    </w:tbl>
    <w:p w14:paraId="3F9A8A59">
      <w:pPr>
        <w:pStyle w:val="4"/>
        <w:numPr>
          <w:ilvl w:val="0"/>
          <w:numId w:val="4"/>
        </w:numPr>
        <w:ind w:left="0" w:firstLine="643"/>
        <w:rPr>
          <w:rFonts w:ascii="Times New Roman" w:hAnsi="Times New Roman" w:cs="Times New Roman"/>
        </w:rPr>
      </w:pPr>
      <w:r>
        <w:rPr>
          <w:rFonts w:ascii="Times New Roman" w:hAnsi="Times New Roman" w:cs="Times New Roman"/>
        </w:rPr>
        <w:t>住房品质指标</w:t>
      </w:r>
    </w:p>
    <w:p w14:paraId="1DDFE8C7">
      <w:pPr>
        <w:spacing w:line="600" w:lineRule="exact"/>
        <w:rPr>
          <w:rFonts w:ascii="Times New Roman" w:hAnsi="Times New Roman" w:cs="Times New Roman"/>
        </w:rPr>
      </w:pPr>
    </w:p>
    <w:p w14:paraId="111A3190">
      <w:pPr>
        <w:spacing w:line="600" w:lineRule="exact"/>
        <w:rPr>
          <w:rFonts w:ascii="Times New Roman" w:hAnsi="Times New Roman" w:cs="Times New Roman"/>
        </w:rPr>
      </w:pPr>
    </w:p>
    <w:p w14:paraId="609C3875">
      <w:pPr>
        <w:spacing w:line="600" w:lineRule="exact"/>
        <w:rPr>
          <w:rFonts w:ascii="Times New Roman" w:hAnsi="Times New Roman" w:cs="Times New Roman"/>
        </w:rPr>
      </w:pPr>
    </w:p>
    <w:p w14:paraId="4A95F887">
      <w:pPr>
        <w:spacing w:line="600" w:lineRule="exact"/>
        <w:rPr>
          <w:rFonts w:ascii="Times New Roman" w:hAnsi="Times New Roman" w:cs="Times New Roman"/>
        </w:rPr>
      </w:pPr>
    </w:p>
    <w:p w14:paraId="45F4902E">
      <w:pPr>
        <w:spacing w:line="600" w:lineRule="exact"/>
        <w:rPr>
          <w:rFonts w:ascii="Times New Roman" w:hAnsi="Times New Roman" w:cs="Times New Roman"/>
        </w:rPr>
      </w:pPr>
    </w:p>
    <w:p w14:paraId="3F78736D">
      <w:pPr>
        <w:spacing w:line="600" w:lineRule="exact"/>
        <w:rPr>
          <w:rFonts w:ascii="Times New Roman" w:hAnsi="Times New Roman" w:cs="Times New Roman"/>
        </w:rPr>
      </w:pPr>
    </w:p>
    <w:p w14:paraId="02E0E785">
      <w:pPr>
        <w:spacing w:line="600" w:lineRule="exact"/>
        <w:rPr>
          <w:rFonts w:ascii="Times New Roman" w:hAnsi="Times New Roman" w:cs="Times New Roman"/>
        </w:rPr>
      </w:pPr>
      <w:r>
        <w:rPr>
          <w:rFonts w:ascii="Times New Roman" w:hAnsi="Times New Roman" w:cs="Times New Roman"/>
        </w:rPr>
        <w:t>绿色建筑指标</w:t>
      </w:r>
      <w:r>
        <w:rPr>
          <w:rFonts w:hint="eastAsia" w:ascii="Times New Roman" w:hAnsi="Times New Roman" w:cs="Times New Roman"/>
        </w:rPr>
        <w:t>达100%</w:t>
      </w:r>
      <w:r>
        <w:rPr>
          <w:rFonts w:ascii="Times New Roman" w:hAnsi="Times New Roman" w:cs="Times New Roman"/>
        </w:rPr>
        <w:t>，建筑业转型升级成效显著</w:t>
      </w:r>
      <w:r>
        <w:rPr>
          <w:rFonts w:hint="eastAsia" w:ascii="Times New Roman" w:hAnsi="Times New Roman" w:cs="Times New Roman"/>
        </w:rPr>
        <w:t>；</w:t>
      </w:r>
      <w:r>
        <w:rPr>
          <w:rFonts w:ascii="Times New Roman" w:hAnsi="Times New Roman" w:cs="Times New Roman"/>
        </w:rPr>
        <w:t>全装修住房比例需加强政策引导。</w:t>
      </w:r>
    </w:p>
    <w:p w14:paraId="15A5882F">
      <w:pPr>
        <w:pStyle w:val="4"/>
        <w:numPr>
          <w:ilvl w:val="0"/>
          <w:numId w:val="4"/>
        </w:numPr>
        <w:ind w:left="0" w:firstLine="643"/>
        <w:rPr>
          <w:rFonts w:ascii="Times New Roman" w:hAnsi="Times New Roman" w:cs="Times New Roman"/>
        </w:rPr>
      </w:pPr>
      <w:r>
        <w:rPr>
          <w:rFonts w:ascii="Times New Roman" w:hAnsi="Times New Roman" w:cs="Times New Roman"/>
        </w:rPr>
        <w:t>行业管理指标</w:t>
      </w:r>
    </w:p>
    <w:p w14:paraId="6114FBD9">
      <w:pPr>
        <w:spacing w:line="600" w:lineRule="exact"/>
        <w:rPr>
          <w:rFonts w:ascii="Times New Roman" w:hAnsi="Times New Roman" w:cs="Times New Roman"/>
        </w:rPr>
      </w:pPr>
      <w:r>
        <w:rPr>
          <w:rFonts w:ascii="Times New Roman" w:hAnsi="Times New Roman" w:cs="Times New Roman"/>
        </w:rPr>
        <w:t>物业管理</w:t>
      </w:r>
      <w:r>
        <w:rPr>
          <w:rFonts w:hint="eastAsia" w:ascii="Times New Roman" w:hAnsi="Times New Roman" w:cs="Times New Roman"/>
        </w:rPr>
        <w:t>市场化</w:t>
      </w:r>
      <w:r>
        <w:rPr>
          <w:rFonts w:ascii="Times New Roman" w:hAnsi="Times New Roman" w:cs="Times New Roman"/>
        </w:rPr>
        <w:t>覆盖率进度滞后，需完善市场化机制。建筑企业资质升级数量</w:t>
      </w:r>
      <w:r>
        <w:rPr>
          <w:rFonts w:hint="eastAsia" w:ascii="Times New Roman" w:hAnsi="Times New Roman" w:cs="Times New Roman"/>
        </w:rPr>
        <w:t>较少</w:t>
      </w:r>
      <w:r>
        <w:rPr>
          <w:rFonts w:ascii="Times New Roman" w:hAnsi="Times New Roman" w:cs="Times New Roman"/>
        </w:rPr>
        <w:t>，需加大培育力度。</w:t>
      </w:r>
    </w:p>
    <w:tbl>
      <w:tblPr>
        <w:tblStyle w:val="9"/>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Layout w:type="autofit"/>
        <w:tblCellMar>
          <w:top w:w="15" w:type="dxa"/>
          <w:left w:w="15" w:type="dxa"/>
          <w:bottom w:w="15" w:type="dxa"/>
          <w:right w:w="15" w:type="dxa"/>
        </w:tblCellMar>
      </w:tblPr>
      <w:tblGrid>
        <w:gridCol w:w="3117"/>
        <w:gridCol w:w="2910"/>
        <w:gridCol w:w="3117"/>
      </w:tblGrid>
      <w:tr w14:paraId="6C7B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15" w:type="dxa"/>
            <w:left w:w="15" w:type="dxa"/>
            <w:bottom w:w="15" w:type="dxa"/>
            <w:right w:w="15" w:type="dxa"/>
          </w:tblCellMar>
        </w:tblPrEx>
        <w:trPr>
          <w:trHeight w:val="679" w:hRule="atLeast"/>
          <w:tblHeader/>
        </w:trPr>
        <w:tc>
          <w:tcPr>
            <w:tcW w:w="0" w:type="auto"/>
            <w:shd w:val="clear" w:color="auto" w:fill="F9FAFB"/>
            <w:tcMar>
              <w:top w:w="90" w:type="dxa"/>
              <w:left w:w="135" w:type="dxa"/>
              <w:bottom w:w="90" w:type="dxa"/>
              <w:right w:w="135" w:type="dxa"/>
            </w:tcMar>
            <w:vAlign w:val="center"/>
          </w:tcPr>
          <w:p w14:paraId="24DDE92D">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指标名称</w:t>
            </w:r>
          </w:p>
        </w:tc>
        <w:tc>
          <w:tcPr>
            <w:tcW w:w="0" w:type="auto"/>
            <w:shd w:val="clear" w:color="auto" w:fill="F9FAFB"/>
            <w:tcMar>
              <w:top w:w="90" w:type="dxa"/>
              <w:left w:w="135" w:type="dxa"/>
              <w:bottom w:w="90" w:type="dxa"/>
              <w:right w:w="135" w:type="dxa"/>
            </w:tcMar>
            <w:vAlign w:val="center"/>
          </w:tcPr>
          <w:p w14:paraId="47A10A98">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现状数据（202</w:t>
            </w:r>
            <w:r>
              <w:rPr>
                <w:rFonts w:hint="eastAsia" w:ascii="Times New Roman" w:hAnsi="Times New Roman" w:eastAsia="仿宋" w:cs="Times New Roman"/>
                <w:kern w:val="0"/>
                <w:sz w:val="21"/>
                <w:szCs w:val="21"/>
                <w:lang w:bidi="ar"/>
              </w:rPr>
              <w:t>5</w:t>
            </w:r>
            <w:r>
              <w:rPr>
                <w:rFonts w:ascii="Times New Roman" w:hAnsi="Times New Roman" w:eastAsia="仿宋" w:cs="Times New Roman"/>
                <w:kern w:val="0"/>
                <w:sz w:val="21"/>
                <w:szCs w:val="21"/>
                <w:lang w:bidi="ar"/>
              </w:rPr>
              <w:t>年）</w:t>
            </w:r>
          </w:p>
        </w:tc>
        <w:tc>
          <w:tcPr>
            <w:tcW w:w="0" w:type="auto"/>
            <w:shd w:val="clear" w:color="auto" w:fill="F9FAFB"/>
            <w:tcMar>
              <w:top w:w="90" w:type="dxa"/>
              <w:left w:w="135" w:type="dxa"/>
              <w:bottom w:w="90" w:type="dxa"/>
              <w:right w:w="135" w:type="dxa"/>
            </w:tcMar>
            <w:vAlign w:val="center"/>
          </w:tcPr>
          <w:p w14:paraId="3A38AE39">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规划目标（202</w:t>
            </w:r>
            <w:r>
              <w:rPr>
                <w:rFonts w:hint="eastAsia" w:ascii="Times New Roman" w:hAnsi="Times New Roman" w:eastAsia="仿宋" w:cs="Times New Roman"/>
                <w:kern w:val="0"/>
                <w:sz w:val="21"/>
                <w:szCs w:val="21"/>
                <w:lang w:bidi="ar"/>
              </w:rPr>
              <w:t>6</w:t>
            </w:r>
            <w:r>
              <w:rPr>
                <w:rFonts w:ascii="Times New Roman" w:hAnsi="Times New Roman" w:eastAsia="仿宋" w:cs="Times New Roman"/>
                <w:kern w:val="0"/>
                <w:sz w:val="21"/>
                <w:szCs w:val="21"/>
                <w:lang w:bidi="ar"/>
              </w:rPr>
              <w:t>年）</w:t>
            </w:r>
          </w:p>
        </w:tc>
      </w:tr>
      <w:tr w14:paraId="1820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0" w:type="auto"/>
            <w:shd w:val="clear" w:color="auto" w:fill="F9FAFB"/>
            <w:tcMar>
              <w:top w:w="90" w:type="dxa"/>
              <w:left w:w="135" w:type="dxa"/>
              <w:bottom w:w="90" w:type="dxa"/>
              <w:right w:w="135" w:type="dxa"/>
            </w:tcMar>
            <w:vAlign w:val="center"/>
          </w:tcPr>
          <w:p w14:paraId="27B5D53A">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物业管理</w:t>
            </w:r>
            <w:r>
              <w:rPr>
                <w:rFonts w:hint="eastAsia" w:ascii="Times New Roman" w:hAnsi="Times New Roman" w:eastAsia="仿宋" w:cs="Times New Roman"/>
                <w:kern w:val="0"/>
                <w:sz w:val="21"/>
                <w:szCs w:val="21"/>
                <w:lang w:bidi="ar"/>
              </w:rPr>
              <w:t>市场化</w:t>
            </w:r>
            <w:r>
              <w:rPr>
                <w:rFonts w:ascii="Times New Roman" w:hAnsi="Times New Roman" w:eastAsia="仿宋" w:cs="Times New Roman"/>
                <w:kern w:val="0"/>
                <w:sz w:val="21"/>
                <w:szCs w:val="21"/>
                <w:lang w:bidi="ar"/>
              </w:rPr>
              <w:t>覆盖率</w:t>
            </w:r>
          </w:p>
        </w:tc>
        <w:tc>
          <w:tcPr>
            <w:tcW w:w="0" w:type="auto"/>
            <w:shd w:val="clear" w:color="auto" w:fill="F9FAFB"/>
            <w:tcMar>
              <w:top w:w="90" w:type="dxa"/>
              <w:left w:w="135" w:type="dxa"/>
              <w:bottom w:w="90" w:type="dxa"/>
              <w:right w:w="135" w:type="dxa"/>
            </w:tcMar>
            <w:vAlign w:val="center"/>
          </w:tcPr>
          <w:p w14:paraId="1E3B3BB1">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24.8</w:t>
            </w:r>
            <w:r>
              <w:rPr>
                <w:rFonts w:ascii="Times New Roman" w:hAnsi="Times New Roman" w:eastAsia="仿宋" w:cs="Times New Roman"/>
                <w:kern w:val="0"/>
                <w:sz w:val="21"/>
                <w:szCs w:val="21"/>
                <w:lang w:bidi="ar"/>
              </w:rPr>
              <w:t>%</w:t>
            </w:r>
          </w:p>
        </w:tc>
        <w:tc>
          <w:tcPr>
            <w:tcW w:w="0" w:type="auto"/>
            <w:shd w:val="clear" w:color="auto" w:fill="F9FAFB"/>
            <w:tcMar>
              <w:top w:w="90" w:type="dxa"/>
              <w:left w:w="135" w:type="dxa"/>
              <w:bottom w:w="90" w:type="dxa"/>
              <w:right w:w="135" w:type="dxa"/>
            </w:tcMar>
            <w:vAlign w:val="center"/>
          </w:tcPr>
          <w:p w14:paraId="468F6E53">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30</w:t>
            </w:r>
            <w:r>
              <w:rPr>
                <w:rFonts w:ascii="Times New Roman" w:hAnsi="Times New Roman" w:eastAsia="仿宋" w:cs="Times New Roman"/>
                <w:kern w:val="0"/>
                <w:sz w:val="21"/>
                <w:szCs w:val="21"/>
                <w:lang w:bidi="ar"/>
              </w:rPr>
              <w:t>%</w:t>
            </w:r>
          </w:p>
        </w:tc>
      </w:tr>
      <w:tr w14:paraId="366E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trPr>
        <w:tc>
          <w:tcPr>
            <w:tcW w:w="0" w:type="auto"/>
            <w:shd w:val="clear" w:color="auto" w:fill="F9FAFB"/>
            <w:tcMar>
              <w:top w:w="90" w:type="dxa"/>
              <w:left w:w="135" w:type="dxa"/>
              <w:bottom w:w="90" w:type="dxa"/>
              <w:right w:w="135" w:type="dxa"/>
            </w:tcMar>
            <w:vAlign w:val="center"/>
          </w:tcPr>
          <w:p w14:paraId="367D4656">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建筑企业资质升级数量</w:t>
            </w:r>
          </w:p>
        </w:tc>
        <w:tc>
          <w:tcPr>
            <w:tcW w:w="0" w:type="auto"/>
            <w:shd w:val="clear" w:color="auto" w:fill="F9FAFB"/>
            <w:tcMar>
              <w:top w:w="90" w:type="dxa"/>
              <w:left w:w="135" w:type="dxa"/>
              <w:bottom w:w="90" w:type="dxa"/>
              <w:right w:w="135" w:type="dxa"/>
            </w:tcMar>
            <w:vAlign w:val="center"/>
          </w:tcPr>
          <w:p w14:paraId="7D7E8CF2">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新增资质企业</w:t>
            </w:r>
            <w:r>
              <w:rPr>
                <w:rFonts w:hint="eastAsia" w:ascii="Times New Roman" w:hAnsi="Times New Roman" w:eastAsia="仿宋" w:cs="Times New Roman"/>
                <w:kern w:val="0"/>
                <w:sz w:val="21"/>
                <w:szCs w:val="21"/>
                <w:lang w:bidi="ar"/>
              </w:rPr>
              <w:t>5</w:t>
            </w:r>
            <w:r>
              <w:rPr>
                <w:rFonts w:ascii="Times New Roman" w:hAnsi="Times New Roman" w:eastAsia="仿宋" w:cs="Times New Roman"/>
                <w:kern w:val="0"/>
                <w:sz w:val="21"/>
                <w:szCs w:val="21"/>
                <w:lang w:bidi="ar"/>
              </w:rPr>
              <w:t>家</w:t>
            </w:r>
          </w:p>
        </w:tc>
        <w:tc>
          <w:tcPr>
            <w:tcW w:w="0" w:type="auto"/>
            <w:shd w:val="clear" w:color="auto" w:fill="F9FAFB"/>
            <w:tcMar>
              <w:top w:w="90" w:type="dxa"/>
              <w:left w:w="135" w:type="dxa"/>
              <w:bottom w:w="90" w:type="dxa"/>
              <w:right w:w="135" w:type="dxa"/>
            </w:tcMar>
            <w:vAlign w:val="center"/>
          </w:tcPr>
          <w:p w14:paraId="4B10295C">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培育</w:t>
            </w:r>
            <w:r>
              <w:rPr>
                <w:rFonts w:hint="eastAsia" w:ascii="Times New Roman" w:hAnsi="Times New Roman" w:eastAsia="仿宋" w:cs="Times New Roman"/>
                <w:kern w:val="0"/>
                <w:sz w:val="21"/>
                <w:szCs w:val="21"/>
                <w:lang w:bidi="ar"/>
              </w:rPr>
              <w:t>2</w:t>
            </w:r>
            <w:r>
              <w:rPr>
                <w:rFonts w:ascii="Times New Roman" w:hAnsi="Times New Roman" w:eastAsia="仿宋" w:cs="Times New Roman"/>
                <w:kern w:val="0"/>
                <w:sz w:val="21"/>
                <w:szCs w:val="21"/>
                <w:lang w:bidi="ar"/>
              </w:rPr>
              <w:t>家本地龙头企业</w:t>
            </w:r>
          </w:p>
        </w:tc>
      </w:tr>
    </w:tbl>
    <w:p w14:paraId="6353DC21">
      <w:pPr>
        <w:pStyle w:val="4"/>
        <w:numPr>
          <w:ilvl w:val="0"/>
          <w:numId w:val="4"/>
        </w:numPr>
        <w:ind w:left="0" w:firstLine="643"/>
        <w:rPr>
          <w:rFonts w:ascii="Times New Roman" w:hAnsi="Times New Roman" w:cs="Times New Roman"/>
        </w:rPr>
      </w:pPr>
      <w:r>
        <w:rPr>
          <w:rFonts w:ascii="Times New Roman" w:hAnsi="Times New Roman" w:cs="Times New Roman"/>
        </w:rPr>
        <w:t>总结</w:t>
      </w:r>
    </w:p>
    <w:p w14:paraId="42E944A4">
      <w:pPr>
        <w:spacing w:line="600" w:lineRule="exact"/>
        <w:rPr>
          <w:rFonts w:ascii="Times New Roman" w:hAnsi="Times New Roman" w:cs="Times New Roman"/>
        </w:rPr>
      </w:pPr>
      <w:r>
        <w:rPr>
          <w:rFonts w:ascii="Times New Roman" w:hAnsi="Times New Roman" w:cs="Times New Roman"/>
        </w:rPr>
        <w:t>完成领域。保障性租赁住房、绿色建筑、保交房等指标</w:t>
      </w:r>
      <w:r>
        <w:rPr>
          <w:rFonts w:hint="eastAsia" w:ascii="Times New Roman" w:hAnsi="Times New Roman" w:cs="Times New Roman"/>
        </w:rPr>
        <w:t>较好</w:t>
      </w:r>
      <w:r>
        <w:rPr>
          <w:rFonts w:ascii="Times New Roman" w:hAnsi="Times New Roman" w:cs="Times New Roman"/>
        </w:rPr>
        <w:t>完成，体现政策执行力。城镇老旧小区改造</w:t>
      </w:r>
      <w:r>
        <w:rPr>
          <w:rFonts w:hint="eastAsia" w:ascii="Times New Roman" w:hAnsi="Times New Roman" w:cs="Times New Roman"/>
        </w:rPr>
        <w:t>完成目标任务，</w:t>
      </w:r>
      <w:r>
        <w:rPr>
          <w:rFonts w:ascii="Times New Roman" w:hAnsi="Times New Roman" w:cs="Times New Roman"/>
          <w:szCs w:val="32"/>
        </w:rPr>
        <w:t>保交房交付率达100%</w:t>
      </w:r>
      <w:r>
        <w:rPr>
          <w:rFonts w:ascii="Times New Roman" w:hAnsi="Times New Roman" w:cs="Times New Roman"/>
        </w:rPr>
        <w:t>。</w:t>
      </w:r>
    </w:p>
    <w:p w14:paraId="680D4C26">
      <w:pPr>
        <w:spacing w:line="600" w:lineRule="exact"/>
        <w:rPr>
          <w:rFonts w:ascii="Times New Roman" w:hAnsi="Times New Roman" w:cs="Times New Roman"/>
        </w:rPr>
      </w:pPr>
      <w:r>
        <w:rPr>
          <w:rFonts w:ascii="Times New Roman" w:hAnsi="Times New Roman" w:cs="Times New Roman"/>
        </w:rPr>
        <w:t>滞后领域。物业管理</w:t>
      </w:r>
      <w:r>
        <w:rPr>
          <w:rFonts w:hint="eastAsia" w:ascii="Times New Roman" w:hAnsi="Times New Roman" w:cs="Times New Roman"/>
        </w:rPr>
        <w:t>市场化</w:t>
      </w:r>
      <w:r>
        <w:rPr>
          <w:rFonts w:ascii="Times New Roman" w:hAnsi="Times New Roman" w:cs="Times New Roman"/>
        </w:rPr>
        <w:t>覆盖率</w:t>
      </w:r>
      <w:r>
        <w:rPr>
          <w:rFonts w:hint="eastAsia" w:ascii="Times New Roman" w:hAnsi="Times New Roman" w:cs="Times New Roman"/>
        </w:rPr>
        <w:t>较低</w:t>
      </w:r>
      <w:r>
        <w:rPr>
          <w:rFonts w:ascii="Times New Roman" w:hAnsi="Times New Roman" w:cs="Times New Roman"/>
        </w:rPr>
        <w:t>（</w:t>
      </w:r>
      <w:r>
        <w:rPr>
          <w:rFonts w:hint="eastAsia" w:ascii="Times New Roman" w:hAnsi="Times New Roman" w:cs="Times New Roman"/>
        </w:rPr>
        <w:t>24.8</w:t>
      </w:r>
      <w:r>
        <w:rPr>
          <w:rFonts w:ascii="Times New Roman" w:hAnsi="Times New Roman" w:cs="Times New Roman"/>
        </w:rPr>
        <w:t>%），需完善市场化机制。</w:t>
      </w:r>
    </w:p>
    <w:p w14:paraId="212643B1">
      <w:pPr>
        <w:spacing w:line="600" w:lineRule="exact"/>
        <w:rPr>
          <w:rFonts w:ascii="Times New Roman" w:hAnsi="Times New Roman" w:cs="Times New Roman"/>
        </w:rPr>
      </w:pPr>
      <w:r>
        <w:rPr>
          <w:rFonts w:ascii="Times New Roman" w:hAnsi="Times New Roman" w:cs="Times New Roman"/>
        </w:rPr>
        <w:t>发展建议。加强房地产项目融资支持，推广“城管进社区”模式，提升物业管理覆盖率。加大建筑业企业资质升级扶持，培育本地龙头企业。</w:t>
      </w:r>
    </w:p>
    <w:p w14:paraId="2D5CB2FF">
      <w:pPr>
        <w:pStyle w:val="3"/>
        <w:numPr>
          <w:ilvl w:val="0"/>
          <w:numId w:val="2"/>
        </w:numPr>
        <w:ind w:firstLineChars="0"/>
        <w:rPr>
          <w:rFonts w:ascii="Times New Roman" w:hAnsi="Times New Roman" w:cs="Times New Roman"/>
        </w:rPr>
      </w:pPr>
      <w:r>
        <w:rPr>
          <w:rFonts w:ascii="Times New Roman" w:hAnsi="Times New Roman" w:cs="Times New Roman"/>
        </w:rPr>
        <w:t>重点任务完成情况评估</w:t>
      </w:r>
    </w:p>
    <w:p w14:paraId="6BF2874B">
      <w:pPr>
        <w:pStyle w:val="4"/>
        <w:numPr>
          <w:ilvl w:val="0"/>
          <w:numId w:val="5"/>
        </w:numPr>
        <w:ind w:left="0" w:firstLine="643"/>
        <w:rPr>
          <w:rFonts w:ascii="Times New Roman" w:hAnsi="Times New Roman" w:cs="Times New Roman"/>
        </w:rPr>
      </w:pPr>
      <w:r>
        <w:rPr>
          <w:rFonts w:ascii="Times New Roman" w:hAnsi="Times New Roman" w:cs="Times New Roman"/>
        </w:rPr>
        <w:t>重点任务完成情况对照表</w:t>
      </w:r>
    </w:p>
    <w:tbl>
      <w:tblPr>
        <w:tblStyle w:val="9"/>
        <w:tblW w:w="9032" w:type="dxa"/>
        <w:tblInd w:w="102" w:type="dxa"/>
        <w:shd w:val="clear" w:color="auto" w:fill="FFFFFF" w:themeFill="background1"/>
        <w:tblLayout w:type="autofit"/>
        <w:tblCellMar>
          <w:top w:w="0" w:type="dxa"/>
          <w:left w:w="108" w:type="dxa"/>
          <w:bottom w:w="0" w:type="dxa"/>
          <w:right w:w="108" w:type="dxa"/>
        </w:tblCellMar>
      </w:tblPr>
      <w:tblGrid>
        <w:gridCol w:w="1269"/>
        <w:gridCol w:w="3806"/>
        <w:gridCol w:w="3957"/>
      </w:tblGrid>
      <w:tr w14:paraId="7C164DB9">
        <w:tblPrEx>
          <w:shd w:val="clear" w:color="auto" w:fill="FFFFFF" w:themeFill="background1"/>
          <w:tblCellMar>
            <w:top w:w="0" w:type="dxa"/>
            <w:left w:w="108" w:type="dxa"/>
            <w:bottom w:w="0" w:type="dxa"/>
            <w:right w:w="108" w:type="dxa"/>
          </w:tblCellMar>
        </w:tblPrEx>
        <w:trPr>
          <w:trHeight w:val="132" w:hRule="atLeast"/>
        </w:trPr>
        <w:tc>
          <w:tcPr>
            <w:tcW w:w="12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9923D">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任务领域</w:t>
            </w:r>
          </w:p>
        </w:tc>
        <w:tc>
          <w:tcPr>
            <w:tcW w:w="3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E1F2B2">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规划目标（202</w:t>
            </w:r>
            <w:r>
              <w:rPr>
                <w:rFonts w:hint="eastAsia" w:ascii="Times New Roman" w:hAnsi="Times New Roman" w:eastAsia="仿宋" w:cs="Times New Roman"/>
                <w:kern w:val="0"/>
                <w:sz w:val="21"/>
                <w:szCs w:val="21"/>
                <w:lang w:bidi="ar"/>
              </w:rPr>
              <w:t>6</w:t>
            </w:r>
            <w:r>
              <w:rPr>
                <w:rFonts w:ascii="Times New Roman" w:hAnsi="Times New Roman" w:eastAsia="仿宋" w:cs="Times New Roman"/>
                <w:kern w:val="0"/>
                <w:sz w:val="21"/>
                <w:szCs w:val="21"/>
                <w:lang w:bidi="ar"/>
              </w:rPr>
              <w:t>年）</w:t>
            </w:r>
          </w:p>
        </w:tc>
        <w:tc>
          <w:tcPr>
            <w:tcW w:w="3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413656">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202</w:t>
            </w:r>
            <w:r>
              <w:rPr>
                <w:rFonts w:hint="eastAsia" w:ascii="Times New Roman" w:hAnsi="Times New Roman" w:eastAsia="仿宋" w:cs="Times New Roman"/>
                <w:kern w:val="0"/>
                <w:sz w:val="21"/>
                <w:szCs w:val="21"/>
                <w:lang w:bidi="ar"/>
              </w:rPr>
              <w:t>5</w:t>
            </w:r>
            <w:r>
              <w:rPr>
                <w:rFonts w:ascii="Times New Roman" w:hAnsi="Times New Roman" w:eastAsia="仿宋" w:cs="Times New Roman"/>
                <w:kern w:val="0"/>
                <w:sz w:val="21"/>
                <w:szCs w:val="21"/>
                <w:lang w:bidi="ar"/>
              </w:rPr>
              <w:t>年完成情况</w:t>
            </w:r>
          </w:p>
        </w:tc>
      </w:tr>
      <w:tr w14:paraId="26E944D5">
        <w:tblPrEx>
          <w:tblCellMar>
            <w:top w:w="0" w:type="dxa"/>
            <w:left w:w="108" w:type="dxa"/>
            <w:bottom w:w="0" w:type="dxa"/>
            <w:right w:w="108" w:type="dxa"/>
          </w:tblCellMar>
        </w:tblPrEx>
        <w:trPr>
          <w:trHeight w:val="1647"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E6B9C">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房地产市场</w:t>
            </w:r>
          </w:p>
        </w:tc>
        <w:tc>
          <w:tcPr>
            <w:tcW w:w="3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1F0FB">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1.房地产开发投资增长</w:t>
            </w:r>
            <w:r>
              <w:rPr>
                <w:rFonts w:hint="eastAsia" w:ascii="Times New Roman" w:hAnsi="Times New Roman" w:eastAsia="仿宋" w:cs="Times New Roman"/>
                <w:kern w:val="0"/>
                <w:sz w:val="21"/>
                <w:szCs w:val="21"/>
                <w:lang w:bidi="ar"/>
              </w:rPr>
              <w:t>9</w:t>
            </w:r>
            <w:r>
              <w:rPr>
                <w:rFonts w:ascii="Times New Roman" w:hAnsi="Times New Roman" w:eastAsia="仿宋" w:cs="Times New Roman"/>
                <w:kern w:val="0"/>
                <w:sz w:val="21"/>
                <w:szCs w:val="21"/>
                <w:lang w:bidi="ar"/>
              </w:rPr>
              <w:t>%以上（</w:t>
            </w:r>
            <w:r>
              <w:rPr>
                <w:rFonts w:hint="eastAsia" w:ascii="Times New Roman" w:hAnsi="Times New Roman" w:eastAsia="仿宋" w:cs="Times New Roman"/>
                <w:kern w:val="0"/>
                <w:sz w:val="21"/>
                <w:szCs w:val="21"/>
                <w:lang w:bidi="ar"/>
              </w:rPr>
              <w:t>预计42.85亿元）</w:t>
            </w:r>
          </w:p>
        </w:tc>
        <w:tc>
          <w:tcPr>
            <w:tcW w:w="3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D2F87D">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1.完成投资</w:t>
            </w:r>
            <w:r>
              <w:rPr>
                <w:rFonts w:hint="eastAsia" w:ascii="Times New Roman" w:hAnsi="Times New Roman" w:eastAsia="仿宋" w:cs="Times New Roman"/>
                <w:kern w:val="0"/>
                <w:sz w:val="21"/>
                <w:szCs w:val="21"/>
                <w:lang w:bidi="ar"/>
              </w:rPr>
              <w:t>39.4</w:t>
            </w:r>
            <w:r>
              <w:rPr>
                <w:rFonts w:ascii="Times New Roman" w:hAnsi="Times New Roman" w:eastAsia="仿宋" w:cs="Times New Roman"/>
                <w:kern w:val="0"/>
                <w:sz w:val="21"/>
                <w:szCs w:val="21"/>
                <w:lang w:bidi="ar"/>
              </w:rPr>
              <w:t>亿元</w:t>
            </w:r>
          </w:p>
        </w:tc>
      </w:tr>
      <w:tr w14:paraId="3B09B44E">
        <w:tblPrEx>
          <w:tblCellMar>
            <w:top w:w="0" w:type="dxa"/>
            <w:left w:w="108" w:type="dxa"/>
            <w:bottom w:w="0" w:type="dxa"/>
            <w:right w:w="108" w:type="dxa"/>
          </w:tblCellMar>
        </w:tblPrEx>
        <w:trPr>
          <w:trHeight w:val="132"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5C9FE">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p>
        </w:tc>
        <w:tc>
          <w:tcPr>
            <w:tcW w:w="3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DAB8B8">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2.保障性租赁住房建设总量目标完成</w:t>
            </w:r>
          </w:p>
        </w:tc>
        <w:tc>
          <w:tcPr>
            <w:tcW w:w="3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DB7A14">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2.开工</w:t>
            </w:r>
            <w:r>
              <w:rPr>
                <w:rFonts w:hint="eastAsia" w:ascii="Times New Roman" w:hAnsi="Times New Roman" w:eastAsia="仿宋" w:cs="Times New Roman"/>
                <w:kern w:val="0"/>
                <w:sz w:val="21"/>
                <w:szCs w:val="21"/>
                <w:lang w:bidi="ar"/>
              </w:rPr>
              <w:t>2510</w:t>
            </w:r>
            <w:r>
              <w:rPr>
                <w:rFonts w:ascii="Times New Roman" w:hAnsi="Times New Roman" w:eastAsia="仿宋" w:cs="Times New Roman"/>
                <w:kern w:val="0"/>
                <w:sz w:val="21"/>
                <w:szCs w:val="21"/>
                <w:lang w:bidi="ar"/>
              </w:rPr>
              <w:t>套（完成年度任务）</w:t>
            </w:r>
          </w:p>
        </w:tc>
      </w:tr>
      <w:tr w14:paraId="0D9555A0">
        <w:tblPrEx>
          <w:tblCellMar>
            <w:top w:w="0" w:type="dxa"/>
            <w:left w:w="108" w:type="dxa"/>
            <w:bottom w:w="0" w:type="dxa"/>
            <w:right w:w="108" w:type="dxa"/>
          </w:tblCellMar>
        </w:tblPrEx>
        <w:trPr>
          <w:trHeight w:val="549"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F9DCC">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住房保障</w:t>
            </w:r>
          </w:p>
        </w:tc>
        <w:tc>
          <w:tcPr>
            <w:tcW w:w="3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E582B8">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w:t>
            </w:r>
            <w:r>
              <w:rPr>
                <w:rFonts w:ascii="Times New Roman" w:hAnsi="Times New Roman" w:eastAsia="仿宋" w:cs="Times New Roman"/>
                <w:kern w:val="0"/>
                <w:sz w:val="21"/>
                <w:szCs w:val="21"/>
                <w:lang w:bidi="ar"/>
              </w:rPr>
              <w:t xml:space="preserve"> </w:t>
            </w:r>
          </w:p>
        </w:tc>
        <w:tc>
          <w:tcPr>
            <w:tcW w:w="3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118D50">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开工</w:t>
            </w:r>
            <w:r>
              <w:rPr>
                <w:rFonts w:hint="eastAsia" w:ascii="Times New Roman" w:hAnsi="Times New Roman" w:eastAsia="仿宋" w:cs="Times New Roman"/>
                <w:kern w:val="0"/>
                <w:sz w:val="21"/>
                <w:szCs w:val="21"/>
                <w:lang w:bidi="ar"/>
              </w:rPr>
              <w:t>7</w:t>
            </w:r>
            <w:r>
              <w:rPr>
                <w:rFonts w:ascii="Times New Roman" w:hAnsi="Times New Roman" w:eastAsia="仿宋" w:cs="Times New Roman"/>
                <w:kern w:val="0"/>
                <w:sz w:val="21"/>
                <w:szCs w:val="21"/>
                <w:lang w:bidi="ar"/>
              </w:rPr>
              <w:t>个</w:t>
            </w:r>
          </w:p>
        </w:tc>
      </w:tr>
      <w:tr w14:paraId="76C5D04D">
        <w:tblPrEx>
          <w:tblCellMar>
            <w:top w:w="0" w:type="dxa"/>
            <w:left w:w="108" w:type="dxa"/>
            <w:bottom w:w="0" w:type="dxa"/>
            <w:right w:w="108" w:type="dxa"/>
          </w:tblCellMar>
        </w:tblPrEx>
        <w:trPr>
          <w:trHeight w:val="132"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ACEAF3">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p>
        </w:tc>
        <w:tc>
          <w:tcPr>
            <w:tcW w:w="3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E5C5E1">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完成农村危房改造110户改造任务</w:t>
            </w:r>
          </w:p>
        </w:tc>
        <w:tc>
          <w:tcPr>
            <w:tcW w:w="3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5CF695">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竣工</w:t>
            </w:r>
            <w:r>
              <w:rPr>
                <w:rFonts w:hint="eastAsia" w:ascii="Times New Roman" w:hAnsi="Times New Roman" w:eastAsia="仿宋" w:cs="Times New Roman"/>
                <w:kern w:val="0"/>
                <w:sz w:val="21"/>
                <w:szCs w:val="21"/>
                <w:lang w:bidi="ar"/>
              </w:rPr>
              <w:t>156</w:t>
            </w:r>
            <w:r>
              <w:rPr>
                <w:rFonts w:ascii="Times New Roman" w:hAnsi="Times New Roman" w:eastAsia="仿宋" w:cs="Times New Roman"/>
                <w:kern w:val="0"/>
                <w:sz w:val="21"/>
                <w:szCs w:val="21"/>
                <w:lang w:bidi="ar"/>
              </w:rPr>
              <w:t>套</w:t>
            </w:r>
          </w:p>
        </w:tc>
      </w:tr>
      <w:tr w14:paraId="0A0E363C">
        <w:tblPrEx>
          <w:tblCellMar>
            <w:top w:w="0" w:type="dxa"/>
            <w:left w:w="108" w:type="dxa"/>
            <w:bottom w:w="0" w:type="dxa"/>
            <w:right w:w="108" w:type="dxa"/>
          </w:tblCellMar>
        </w:tblPrEx>
        <w:trPr>
          <w:trHeight w:val="983" w:hRule="atLeast"/>
        </w:trPr>
        <w:tc>
          <w:tcPr>
            <w:tcW w:w="12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85BF80">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住房品质</w:t>
            </w:r>
          </w:p>
        </w:tc>
        <w:tc>
          <w:tcPr>
            <w:tcW w:w="3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A0F640">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1.城镇新建绿色建筑占比</w:t>
            </w:r>
            <w:r>
              <w:rPr>
                <w:rFonts w:hint="eastAsia" w:ascii="Times New Roman" w:hAnsi="Times New Roman" w:eastAsia="仿宋" w:cs="Times New Roman"/>
                <w:kern w:val="0"/>
                <w:sz w:val="21"/>
                <w:szCs w:val="21"/>
                <w:lang w:bidi="ar"/>
              </w:rPr>
              <w:t>100</w:t>
            </w:r>
            <w:r>
              <w:rPr>
                <w:rFonts w:ascii="Times New Roman" w:hAnsi="Times New Roman" w:eastAsia="仿宋" w:cs="Times New Roman"/>
                <w:kern w:val="0"/>
                <w:sz w:val="21"/>
                <w:szCs w:val="21"/>
                <w:lang w:bidi="ar"/>
              </w:rPr>
              <w:t>%</w:t>
            </w:r>
          </w:p>
        </w:tc>
        <w:tc>
          <w:tcPr>
            <w:tcW w:w="3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28225">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1.绿色建筑占比100%</w:t>
            </w:r>
          </w:p>
        </w:tc>
      </w:tr>
      <w:tr w14:paraId="2258D10E">
        <w:tblPrEx>
          <w:tblCellMar>
            <w:top w:w="0" w:type="dxa"/>
            <w:left w:w="108" w:type="dxa"/>
            <w:bottom w:w="0" w:type="dxa"/>
            <w:right w:w="108" w:type="dxa"/>
          </w:tblCellMar>
        </w:tblPrEx>
        <w:trPr>
          <w:trHeight w:val="1098"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1AED3">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ascii="Times New Roman" w:hAnsi="Times New Roman" w:eastAsia="仿宋" w:cs="Times New Roman"/>
                <w:kern w:val="0"/>
                <w:sz w:val="21"/>
                <w:szCs w:val="21"/>
                <w:lang w:bidi="ar"/>
              </w:rPr>
              <w:t>行业管理</w:t>
            </w:r>
          </w:p>
        </w:tc>
        <w:tc>
          <w:tcPr>
            <w:tcW w:w="3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BB950F">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1.</w:t>
            </w:r>
            <w:r>
              <w:rPr>
                <w:rFonts w:ascii="Times New Roman" w:hAnsi="Times New Roman" w:eastAsia="仿宋" w:cs="Times New Roman"/>
                <w:kern w:val="0"/>
                <w:sz w:val="21"/>
                <w:szCs w:val="21"/>
                <w:lang w:bidi="ar"/>
              </w:rPr>
              <w:t>物业管理</w:t>
            </w:r>
            <w:r>
              <w:rPr>
                <w:rFonts w:hint="eastAsia" w:ascii="Times New Roman" w:hAnsi="Times New Roman" w:eastAsia="仿宋" w:cs="Times New Roman"/>
                <w:kern w:val="0"/>
                <w:sz w:val="21"/>
                <w:szCs w:val="21"/>
                <w:lang w:bidi="ar"/>
              </w:rPr>
              <w:t>市场化</w:t>
            </w:r>
            <w:r>
              <w:rPr>
                <w:rFonts w:ascii="Times New Roman" w:hAnsi="Times New Roman" w:eastAsia="仿宋" w:cs="Times New Roman"/>
                <w:kern w:val="0"/>
                <w:sz w:val="21"/>
                <w:szCs w:val="21"/>
                <w:lang w:bidi="ar"/>
              </w:rPr>
              <w:t>覆盖率</w:t>
            </w:r>
            <w:r>
              <w:rPr>
                <w:rFonts w:hint="eastAsia" w:ascii="Times New Roman" w:hAnsi="Times New Roman" w:eastAsia="仿宋" w:cs="Times New Roman"/>
                <w:kern w:val="0"/>
                <w:sz w:val="21"/>
                <w:szCs w:val="21"/>
                <w:lang w:bidi="ar"/>
              </w:rPr>
              <w:t>提升至30</w:t>
            </w:r>
            <w:r>
              <w:rPr>
                <w:rFonts w:ascii="Times New Roman" w:hAnsi="Times New Roman" w:eastAsia="仿宋" w:cs="Times New Roman"/>
                <w:kern w:val="0"/>
                <w:sz w:val="21"/>
                <w:szCs w:val="21"/>
                <w:lang w:bidi="ar"/>
              </w:rPr>
              <w:t>%</w:t>
            </w:r>
          </w:p>
        </w:tc>
        <w:tc>
          <w:tcPr>
            <w:tcW w:w="3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F4DCF0">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1.</w:t>
            </w:r>
            <w:r>
              <w:rPr>
                <w:rFonts w:ascii="Times New Roman" w:hAnsi="Times New Roman" w:eastAsia="仿宋" w:cs="Times New Roman"/>
                <w:kern w:val="0"/>
                <w:sz w:val="21"/>
                <w:szCs w:val="21"/>
                <w:lang w:bidi="ar"/>
              </w:rPr>
              <w:t>物业管理</w:t>
            </w:r>
            <w:r>
              <w:rPr>
                <w:rFonts w:hint="eastAsia" w:ascii="Times New Roman" w:hAnsi="Times New Roman" w:eastAsia="仿宋" w:cs="Times New Roman"/>
                <w:kern w:val="0"/>
                <w:sz w:val="21"/>
                <w:szCs w:val="21"/>
                <w:lang w:bidi="ar"/>
              </w:rPr>
              <w:t>市场化</w:t>
            </w:r>
            <w:r>
              <w:rPr>
                <w:rFonts w:ascii="Times New Roman" w:hAnsi="Times New Roman" w:eastAsia="仿宋" w:cs="Times New Roman"/>
                <w:kern w:val="0"/>
                <w:sz w:val="21"/>
                <w:szCs w:val="21"/>
                <w:lang w:bidi="ar"/>
              </w:rPr>
              <w:t>覆盖率</w:t>
            </w:r>
            <w:r>
              <w:rPr>
                <w:rFonts w:hint="eastAsia" w:ascii="Times New Roman" w:hAnsi="Times New Roman" w:eastAsia="仿宋" w:cs="Times New Roman"/>
                <w:kern w:val="0"/>
                <w:sz w:val="21"/>
                <w:szCs w:val="21"/>
                <w:lang w:bidi="ar"/>
              </w:rPr>
              <w:t>24.8</w:t>
            </w:r>
            <w:r>
              <w:rPr>
                <w:rFonts w:ascii="Times New Roman" w:hAnsi="Times New Roman" w:eastAsia="仿宋" w:cs="Times New Roman"/>
                <w:kern w:val="0"/>
                <w:sz w:val="21"/>
                <w:szCs w:val="21"/>
                <w:lang w:bidi="ar"/>
              </w:rPr>
              <w:t>%</w:t>
            </w:r>
          </w:p>
        </w:tc>
      </w:tr>
      <w:tr w14:paraId="416F3EC4">
        <w:tblPrEx>
          <w:tblCellMar>
            <w:top w:w="0" w:type="dxa"/>
            <w:left w:w="108" w:type="dxa"/>
            <w:bottom w:w="0" w:type="dxa"/>
            <w:right w:w="108" w:type="dxa"/>
          </w:tblCellMar>
        </w:tblPrEx>
        <w:trPr>
          <w:trHeight w:val="132"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54ACEB">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p>
        </w:tc>
        <w:tc>
          <w:tcPr>
            <w:tcW w:w="3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163DF5">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2</w:t>
            </w:r>
            <w:r>
              <w:rPr>
                <w:rFonts w:ascii="Times New Roman" w:hAnsi="Times New Roman" w:eastAsia="仿宋" w:cs="Times New Roman"/>
                <w:kern w:val="0"/>
                <w:sz w:val="21"/>
                <w:szCs w:val="21"/>
                <w:lang w:bidi="ar"/>
              </w:rPr>
              <w:t>.</w:t>
            </w:r>
            <w:bookmarkStart w:id="6" w:name="OLE_LINK4"/>
            <w:bookmarkStart w:id="7" w:name="OLE_LINK3"/>
            <w:r>
              <w:rPr>
                <w:rFonts w:ascii="Times New Roman" w:hAnsi="Times New Roman" w:eastAsia="仿宋" w:cs="Times New Roman"/>
                <w:kern w:val="0"/>
                <w:sz w:val="21"/>
                <w:szCs w:val="21"/>
                <w:lang w:bidi="ar"/>
              </w:rPr>
              <w:t>培育</w:t>
            </w:r>
            <w:r>
              <w:rPr>
                <w:rFonts w:hint="eastAsia" w:ascii="Times New Roman" w:hAnsi="Times New Roman" w:eastAsia="仿宋" w:cs="Times New Roman"/>
                <w:kern w:val="0"/>
                <w:sz w:val="21"/>
                <w:szCs w:val="21"/>
                <w:lang w:bidi="ar"/>
              </w:rPr>
              <w:t>2</w:t>
            </w:r>
            <w:r>
              <w:rPr>
                <w:rFonts w:ascii="Times New Roman" w:hAnsi="Times New Roman" w:eastAsia="仿宋" w:cs="Times New Roman"/>
                <w:kern w:val="0"/>
                <w:sz w:val="21"/>
                <w:szCs w:val="21"/>
                <w:lang w:bidi="ar"/>
              </w:rPr>
              <w:t>家本地龙头企业</w:t>
            </w:r>
            <w:bookmarkEnd w:id="6"/>
            <w:bookmarkEnd w:id="7"/>
          </w:p>
        </w:tc>
        <w:tc>
          <w:tcPr>
            <w:tcW w:w="3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38824">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2</w:t>
            </w:r>
            <w:r>
              <w:rPr>
                <w:rFonts w:ascii="Times New Roman" w:hAnsi="Times New Roman" w:eastAsia="仿宋" w:cs="Times New Roman"/>
                <w:kern w:val="0"/>
                <w:sz w:val="21"/>
                <w:szCs w:val="21"/>
                <w:lang w:bidi="ar"/>
              </w:rPr>
              <w:t>.新增资质企业</w:t>
            </w:r>
            <w:r>
              <w:rPr>
                <w:rFonts w:hint="eastAsia" w:ascii="Times New Roman" w:hAnsi="Times New Roman" w:eastAsia="仿宋" w:cs="Times New Roman"/>
                <w:kern w:val="0"/>
                <w:sz w:val="21"/>
                <w:szCs w:val="21"/>
                <w:lang w:bidi="ar"/>
              </w:rPr>
              <w:t>5</w:t>
            </w:r>
            <w:r>
              <w:rPr>
                <w:rFonts w:ascii="Times New Roman" w:hAnsi="Times New Roman" w:eastAsia="仿宋" w:cs="Times New Roman"/>
                <w:kern w:val="0"/>
                <w:sz w:val="21"/>
                <w:szCs w:val="21"/>
                <w:lang w:bidi="ar"/>
              </w:rPr>
              <w:t>家</w:t>
            </w:r>
          </w:p>
        </w:tc>
      </w:tr>
      <w:tr w14:paraId="556B3501">
        <w:tblPrEx>
          <w:tblCellMar>
            <w:top w:w="0" w:type="dxa"/>
            <w:left w:w="108" w:type="dxa"/>
            <w:bottom w:w="0" w:type="dxa"/>
            <w:right w:w="108" w:type="dxa"/>
          </w:tblCellMar>
        </w:tblPrEx>
        <w:trPr>
          <w:trHeight w:val="132"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9ABCCF">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p>
        </w:tc>
        <w:tc>
          <w:tcPr>
            <w:tcW w:w="3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85742D">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3</w:t>
            </w:r>
            <w:r>
              <w:rPr>
                <w:rFonts w:ascii="Times New Roman" w:hAnsi="Times New Roman" w:eastAsia="仿宋" w:cs="Times New Roman"/>
                <w:kern w:val="0"/>
                <w:sz w:val="21"/>
                <w:szCs w:val="21"/>
                <w:lang w:bidi="ar"/>
              </w:rPr>
              <w:t>.存量住房交易网签备案率100%</w:t>
            </w:r>
          </w:p>
        </w:tc>
        <w:tc>
          <w:tcPr>
            <w:tcW w:w="3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04A92">
            <w:pPr>
              <w:widowControl/>
              <w:spacing w:line="600" w:lineRule="exact"/>
              <w:ind w:firstLine="0" w:firstLineChars="0"/>
              <w:jc w:val="center"/>
              <w:textAlignment w:val="center"/>
              <w:rPr>
                <w:rFonts w:ascii="Times New Roman" w:hAnsi="Times New Roman" w:eastAsia="仿宋" w:cs="Times New Roman"/>
                <w:kern w:val="0"/>
                <w:sz w:val="21"/>
                <w:szCs w:val="21"/>
                <w:lang w:bidi="ar"/>
              </w:rPr>
            </w:pPr>
            <w:r>
              <w:rPr>
                <w:rFonts w:hint="eastAsia" w:ascii="Times New Roman" w:hAnsi="Times New Roman" w:eastAsia="仿宋" w:cs="Times New Roman"/>
                <w:kern w:val="0"/>
                <w:sz w:val="21"/>
                <w:szCs w:val="21"/>
                <w:lang w:bidi="ar"/>
              </w:rPr>
              <w:t>4</w:t>
            </w:r>
            <w:r>
              <w:rPr>
                <w:rFonts w:ascii="Times New Roman" w:hAnsi="Times New Roman" w:eastAsia="仿宋" w:cs="Times New Roman"/>
                <w:kern w:val="0"/>
                <w:sz w:val="21"/>
                <w:szCs w:val="21"/>
                <w:lang w:bidi="ar"/>
              </w:rPr>
              <w:t>.网签备案率100%</w:t>
            </w:r>
          </w:p>
        </w:tc>
      </w:tr>
    </w:tbl>
    <w:p w14:paraId="06571623">
      <w:pPr>
        <w:pStyle w:val="4"/>
        <w:numPr>
          <w:ilvl w:val="0"/>
          <w:numId w:val="5"/>
        </w:numPr>
        <w:ind w:left="0" w:firstLine="643"/>
        <w:rPr>
          <w:rFonts w:ascii="Times New Roman" w:hAnsi="Times New Roman" w:cs="Times New Roman"/>
        </w:rPr>
      </w:pPr>
      <w:r>
        <w:rPr>
          <w:rFonts w:ascii="Times New Roman" w:hAnsi="Times New Roman" w:cs="Times New Roman"/>
        </w:rPr>
        <w:t>成效与问题分析</w:t>
      </w:r>
    </w:p>
    <w:p w14:paraId="4ECAD7D3">
      <w:pPr>
        <w:spacing w:line="600" w:lineRule="exact"/>
        <w:rPr>
          <w:rFonts w:ascii="Times New Roman" w:hAnsi="Times New Roman" w:cs="Times New Roman"/>
        </w:rPr>
      </w:pPr>
      <w:r>
        <w:rPr>
          <w:rFonts w:ascii="Times New Roman" w:hAnsi="Times New Roman" w:cs="Times New Roman"/>
        </w:rPr>
        <w:t>（1）成效亮点</w:t>
      </w:r>
    </w:p>
    <w:p w14:paraId="78610A5A">
      <w:pPr>
        <w:spacing w:line="600" w:lineRule="exact"/>
        <w:rPr>
          <w:rFonts w:ascii="Times New Roman" w:hAnsi="Times New Roman" w:cs="Times New Roman"/>
        </w:rPr>
      </w:pPr>
      <w:r>
        <w:rPr>
          <w:rFonts w:ascii="Times New Roman" w:hAnsi="Times New Roman" w:cs="Times New Roman"/>
        </w:rPr>
        <w:t>保障性租赁住房建设。202</w:t>
      </w:r>
      <w:r>
        <w:rPr>
          <w:rFonts w:hint="eastAsia" w:ascii="Times New Roman" w:hAnsi="Times New Roman" w:cs="Times New Roman"/>
        </w:rPr>
        <w:t>5</w:t>
      </w:r>
      <w:r>
        <w:rPr>
          <w:rFonts w:ascii="Times New Roman" w:hAnsi="Times New Roman" w:cs="Times New Roman"/>
        </w:rPr>
        <w:t>年开工</w:t>
      </w:r>
      <w:r>
        <w:rPr>
          <w:rFonts w:hint="eastAsia" w:ascii="Times New Roman" w:hAnsi="Times New Roman" w:cs="Times New Roman"/>
        </w:rPr>
        <w:t>2510</w:t>
      </w:r>
      <w:r>
        <w:rPr>
          <w:rFonts w:ascii="Times New Roman" w:hAnsi="Times New Roman" w:cs="Times New Roman"/>
        </w:rPr>
        <w:t>套，完成年度任务。</w:t>
      </w:r>
    </w:p>
    <w:p w14:paraId="10EA9C6E">
      <w:pPr>
        <w:spacing w:line="600" w:lineRule="exact"/>
        <w:rPr>
          <w:rFonts w:ascii="Times New Roman" w:hAnsi="Times New Roman" w:cs="Times New Roman"/>
        </w:rPr>
      </w:pPr>
      <w:r>
        <w:rPr>
          <w:rFonts w:ascii="Times New Roman" w:hAnsi="Times New Roman" w:cs="Times New Roman"/>
        </w:rPr>
        <w:t>绿色建筑。绿色建筑占比100%，建筑业转型升级成效显著。</w:t>
      </w:r>
    </w:p>
    <w:p w14:paraId="4D2DAA83">
      <w:pPr>
        <w:spacing w:line="600" w:lineRule="exact"/>
        <w:rPr>
          <w:rFonts w:ascii="Times New Roman" w:hAnsi="Times New Roman" w:cs="Times New Roman"/>
        </w:rPr>
      </w:pPr>
      <w:r>
        <w:rPr>
          <w:rFonts w:ascii="Times New Roman" w:hAnsi="Times New Roman" w:cs="Times New Roman"/>
        </w:rPr>
        <w:t>老旧小区改造。开工</w:t>
      </w:r>
      <w:r>
        <w:rPr>
          <w:rFonts w:hint="eastAsia" w:ascii="Times New Roman" w:hAnsi="Times New Roman" w:cs="Times New Roman"/>
        </w:rPr>
        <w:t>7</w:t>
      </w:r>
      <w:r>
        <w:rPr>
          <w:rFonts w:ascii="Times New Roman" w:hAnsi="Times New Roman" w:cs="Times New Roman"/>
        </w:rPr>
        <w:t>个小区</w:t>
      </w:r>
      <w:r>
        <w:rPr>
          <w:rFonts w:hint="eastAsia" w:ascii="Times New Roman" w:hAnsi="Times New Roman" w:cs="Times New Roman"/>
        </w:rPr>
        <w:t>，</w:t>
      </w:r>
      <w:r>
        <w:rPr>
          <w:rFonts w:ascii="Times New Roman" w:hAnsi="Times New Roman" w:cs="Times New Roman"/>
        </w:rPr>
        <w:t>民生改善</w:t>
      </w:r>
      <w:r>
        <w:rPr>
          <w:rFonts w:hint="eastAsia" w:ascii="Times New Roman" w:hAnsi="Times New Roman" w:cs="Times New Roman"/>
        </w:rPr>
        <w:t>有力</w:t>
      </w:r>
      <w:r>
        <w:rPr>
          <w:rFonts w:ascii="Times New Roman" w:hAnsi="Times New Roman" w:cs="Times New Roman"/>
        </w:rPr>
        <w:t>。</w:t>
      </w:r>
    </w:p>
    <w:p w14:paraId="375844F6">
      <w:pPr>
        <w:spacing w:line="600" w:lineRule="exact"/>
        <w:rPr>
          <w:rFonts w:ascii="Times New Roman" w:hAnsi="Times New Roman" w:cs="Times New Roman"/>
        </w:rPr>
      </w:pPr>
      <w:r>
        <w:rPr>
          <w:rFonts w:ascii="Times New Roman" w:hAnsi="Times New Roman" w:cs="Times New Roman"/>
        </w:rPr>
        <w:t>（2）主要问题</w:t>
      </w:r>
    </w:p>
    <w:p w14:paraId="01257B84">
      <w:pPr>
        <w:spacing w:line="600" w:lineRule="exact"/>
        <w:rPr>
          <w:rFonts w:ascii="Times New Roman" w:hAnsi="Times New Roman" w:cs="Times New Roman"/>
        </w:rPr>
      </w:pPr>
      <w:r>
        <w:rPr>
          <w:rFonts w:ascii="Times New Roman" w:hAnsi="Times New Roman" w:cs="Times New Roman"/>
        </w:rPr>
        <w:t>房地产投资滞后。202</w:t>
      </w:r>
      <w:r>
        <w:rPr>
          <w:rFonts w:hint="eastAsia" w:ascii="Times New Roman" w:hAnsi="Times New Roman" w:cs="Times New Roman"/>
        </w:rPr>
        <w:t>5</w:t>
      </w:r>
      <w:r>
        <w:rPr>
          <w:rFonts w:ascii="Times New Roman" w:hAnsi="Times New Roman" w:cs="Times New Roman"/>
        </w:rPr>
        <w:t>年房地产开发投资仅完成</w:t>
      </w:r>
      <w:r>
        <w:rPr>
          <w:rFonts w:hint="eastAsia" w:ascii="Times New Roman" w:hAnsi="Times New Roman" w:cs="Times New Roman"/>
        </w:rPr>
        <w:t>39.4</w:t>
      </w:r>
      <w:r>
        <w:rPr>
          <w:rFonts w:ascii="Times New Roman" w:hAnsi="Times New Roman" w:cs="Times New Roman"/>
        </w:rPr>
        <w:t>亿元，需加速项目落地。</w:t>
      </w:r>
    </w:p>
    <w:p w14:paraId="0C1212BB">
      <w:pPr>
        <w:spacing w:line="600" w:lineRule="exact"/>
        <w:rPr>
          <w:rFonts w:ascii="Times New Roman" w:hAnsi="Times New Roman" w:cs="Times New Roman"/>
        </w:rPr>
      </w:pPr>
      <w:r>
        <w:rPr>
          <w:rFonts w:ascii="Times New Roman" w:hAnsi="Times New Roman" w:cs="Times New Roman"/>
        </w:rPr>
        <w:t>保交房工作需要持续发力。需要通过府院联动、白名单、破产等措施进行</w:t>
      </w:r>
      <w:r>
        <w:rPr>
          <w:rFonts w:hint="eastAsia" w:ascii="Times New Roman" w:hAnsi="Times New Roman" w:cs="Times New Roman"/>
        </w:rPr>
        <w:t>集中</w:t>
      </w:r>
      <w:r>
        <w:rPr>
          <w:rFonts w:ascii="Times New Roman" w:hAnsi="Times New Roman" w:cs="Times New Roman"/>
        </w:rPr>
        <w:t>攻坚。</w:t>
      </w:r>
    </w:p>
    <w:p w14:paraId="5DBEC2AD">
      <w:pPr>
        <w:spacing w:line="600" w:lineRule="exact"/>
        <w:rPr>
          <w:rFonts w:ascii="Times New Roman" w:hAnsi="Times New Roman" w:cs="Times New Roman"/>
        </w:rPr>
      </w:pPr>
      <w:r>
        <w:rPr>
          <w:rFonts w:ascii="Times New Roman" w:hAnsi="Times New Roman" w:cs="Times New Roman"/>
        </w:rPr>
        <w:t>物业管理覆盖率低。市场化覆盖率仅</w:t>
      </w:r>
      <w:r>
        <w:rPr>
          <w:rFonts w:hint="eastAsia" w:ascii="Times New Roman" w:hAnsi="Times New Roman" w:cs="Times New Roman"/>
        </w:rPr>
        <w:t>24.8</w:t>
      </w:r>
      <w:r>
        <w:rPr>
          <w:rFonts w:ascii="Times New Roman" w:hAnsi="Times New Roman" w:cs="Times New Roman"/>
        </w:rPr>
        <w:t>%，老旧小区自治管理不足，需完善市场化机制和政策引导。</w:t>
      </w:r>
    </w:p>
    <w:p w14:paraId="31D2A41F">
      <w:pPr>
        <w:spacing w:line="600" w:lineRule="exact"/>
        <w:rPr>
          <w:rFonts w:ascii="Times New Roman" w:hAnsi="Times New Roman" w:cs="Times New Roman"/>
        </w:rPr>
      </w:pPr>
      <w:r>
        <w:rPr>
          <w:rFonts w:ascii="Times New Roman" w:hAnsi="Times New Roman" w:cs="Times New Roman"/>
        </w:rPr>
        <w:t>建筑业竞争力弱。本地龙头企业培育不足（仅新增资质企业</w:t>
      </w:r>
      <w:r>
        <w:rPr>
          <w:rFonts w:hint="eastAsia" w:ascii="Times New Roman" w:hAnsi="Times New Roman" w:cs="Times New Roman"/>
        </w:rPr>
        <w:t>5</w:t>
      </w:r>
      <w:r>
        <w:rPr>
          <w:rFonts w:ascii="Times New Roman" w:hAnsi="Times New Roman" w:cs="Times New Roman"/>
        </w:rPr>
        <w:t>家），市场竞争力与抗风险能力亟待提升。</w:t>
      </w:r>
    </w:p>
    <w:p w14:paraId="53943C08">
      <w:pPr>
        <w:pStyle w:val="4"/>
        <w:numPr>
          <w:ilvl w:val="0"/>
          <w:numId w:val="5"/>
        </w:numPr>
        <w:ind w:left="0" w:firstLine="643"/>
        <w:rPr>
          <w:rFonts w:ascii="Times New Roman" w:hAnsi="Times New Roman" w:cs="Times New Roman"/>
        </w:rPr>
      </w:pPr>
      <w:r>
        <w:rPr>
          <w:rFonts w:ascii="Times New Roman" w:hAnsi="Times New Roman" w:cs="Times New Roman"/>
        </w:rPr>
        <w:t>总结</w:t>
      </w:r>
    </w:p>
    <w:p w14:paraId="6F3157BF">
      <w:pPr>
        <w:spacing w:line="600" w:lineRule="exact"/>
        <w:rPr>
          <w:rFonts w:ascii="Times New Roman" w:hAnsi="Times New Roman" w:cs="Times New Roman"/>
        </w:rPr>
      </w:pPr>
      <w:r>
        <w:rPr>
          <w:rFonts w:ascii="Times New Roman" w:hAnsi="Times New Roman" w:cs="Times New Roman"/>
        </w:rPr>
        <w:t>202</w:t>
      </w:r>
      <w:r>
        <w:rPr>
          <w:rFonts w:hint="eastAsia" w:ascii="Times New Roman" w:hAnsi="Times New Roman" w:cs="Times New Roman"/>
        </w:rPr>
        <w:t>5</w:t>
      </w:r>
      <w:r>
        <w:rPr>
          <w:rFonts w:ascii="Times New Roman" w:hAnsi="Times New Roman" w:cs="Times New Roman"/>
        </w:rPr>
        <w:t>年德宏州在保障性租赁住房、绿色建筑等领域超额完成目标，但房地产投资等进度</w:t>
      </w:r>
      <w:r>
        <w:rPr>
          <w:rFonts w:hint="eastAsia" w:ascii="Times New Roman" w:hAnsi="Times New Roman" w:cs="Times New Roman"/>
        </w:rPr>
        <w:t>较为滞后</w:t>
      </w:r>
      <w:r>
        <w:rPr>
          <w:rFonts w:ascii="Times New Roman" w:hAnsi="Times New Roman" w:cs="Times New Roman"/>
        </w:rPr>
        <w:t>。202</w:t>
      </w:r>
      <w:r>
        <w:rPr>
          <w:rFonts w:hint="eastAsia" w:ascii="Times New Roman" w:hAnsi="Times New Roman" w:cs="Times New Roman"/>
        </w:rPr>
        <w:t>6</w:t>
      </w:r>
      <w:r>
        <w:rPr>
          <w:rFonts w:ascii="Times New Roman" w:hAnsi="Times New Roman" w:cs="Times New Roman"/>
        </w:rPr>
        <w:t>年需聚焦短板，强化政策协同</w:t>
      </w:r>
      <w:r>
        <w:rPr>
          <w:rFonts w:hint="eastAsia" w:ascii="Times New Roman" w:hAnsi="Times New Roman" w:cs="Times New Roman"/>
        </w:rPr>
        <w:t>。</w:t>
      </w:r>
    </w:p>
    <w:p w14:paraId="59B64828">
      <w:pPr>
        <w:pStyle w:val="2"/>
        <w:keepNext w:val="0"/>
        <w:keepLines w:val="0"/>
        <w:widowControl/>
        <w:numPr>
          <w:ilvl w:val="0"/>
          <w:numId w:val="1"/>
        </w:numPr>
        <w:shd w:val="clear" w:color="auto" w:fill="FFFFFF"/>
        <w:spacing w:before="0" w:after="0" w:line="600" w:lineRule="exact"/>
        <w:ind w:firstLineChars="0"/>
        <w:jc w:val="left"/>
        <w:rPr>
          <w:rFonts w:ascii="Times New Roman" w:hAnsi="Times New Roman" w:eastAsia="方正黑体_GBK" w:cs="Times New Roman"/>
          <w:b w:val="0"/>
          <w:sz w:val="32"/>
          <w:szCs w:val="32"/>
          <w:shd w:val="clear" w:color="auto" w:fill="FFFFFF"/>
        </w:rPr>
      </w:pPr>
      <w:r>
        <w:rPr>
          <w:rFonts w:ascii="Times New Roman" w:hAnsi="Times New Roman" w:eastAsia="方正黑体_GBK" w:cs="Times New Roman"/>
          <w:b w:val="0"/>
          <w:sz w:val="32"/>
          <w:szCs w:val="32"/>
          <w:shd w:val="clear" w:color="auto" w:fill="FFFFFF"/>
        </w:rPr>
        <w:t>发展目标</w:t>
      </w:r>
    </w:p>
    <w:p w14:paraId="672C091E">
      <w:pPr>
        <w:spacing w:line="600" w:lineRule="exact"/>
        <w:rPr>
          <w:rFonts w:ascii="Times New Roman" w:hAnsi="Times New Roman" w:cs="Times New Roman"/>
        </w:rPr>
      </w:pPr>
      <w:r>
        <w:rPr>
          <w:rFonts w:ascii="Times New Roman" w:hAnsi="Times New Roman" w:cs="Times New Roman"/>
        </w:rPr>
        <w:t>持续用力推动房地产市场止跌回稳，加快构建房地产发展新模式。充分释放刚性和改善性住房需求潜力，围绕“严控增量、优化存量、提高质量”，强化“人、房、地、钱”要素联动，因城施策调减限制性措施，积极推动建立更好满足刚性和改善性住房需求的住房供应体系，健全多主体供给、多渠道保障、租购并举的住房制度，持续打响“旅居云南”德宏新品牌，推动旅居与房地产业互促共进。</w:t>
      </w:r>
    </w:p>
    <w:p w14:paraId="3FEFBC3A">
      <w:pPr>
        <w:spacing w:line="600" w:lineRule="exact"/>
        <w:ind w:firstLine="562"/>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发展目标</w:t>
      </w:r>
    </w:p>
    <w:tbl>
      <w:tblPr>
        <w:tblStyle w:val="9"/>
        <w:tblW w:w="5045" w:type="pct"/>
        <w:tblInd w:w="0" w:type="dxa"/>
        <w:tblLayout w:type="autofit"/>
        <w:tblCellMar>
          <w:top w:w="0" w:type="dxa"/>
          <w:left w:w="108" w:type="dxa"/>
          <w:bottom w:w="0" w:type="dxa"/>
          <w:right w:w="108" w:type="dxa"/>
        </w:tblCellMar>
      </w:tblPr>
      <w:tblGrid>
        <w:gridCol w:w="722"/>
        <w:gridCol w:w="4643"/>
        <w:gridCol w:w="3234"/>
      </w:tblGrid>
      <w:tr w14:paraId="25D7A578">
        <w:tblPrEx>
          <w:tblCellMar>
            <w:top w:w="0" w:type="dxa"/>
            <w:left w:w="108" w:type="dxa"/>
            <w:bottom w:w="0" w:type="dxa"/>
            <w:right w:w="108" w:type="dxa"/>
          </w:tblCellMar>
        </w:tblPrEx>
        <w:trPr>
          <w:trHeight w:val="277" w:hRule="atLeast"/>
          <w:tblHead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F4F3">
            <w:pPr>
              <w:widowControl/>
              <w:spacing w:line="600" w:lineRule="exact"/>
              <w:ind w:firstLine="0" w:firstLineChars="0"/>
              <w:jc w:val="center"/>
              <w:textAlignment w:val="center"/>
              <w:rPr>
                <w:rFonts w:ascii="Times New Roman" w:hAnsi="Times New Roman" w:eastAsia="仿宋" w:cs="Times New Roman"/>
                <w:b/>
                <w:bCs/>
                <w:sz w:val="24"/>
              </w:rPr>
            </w:pPr>
            <w:r>
              <w:rPr>
                <w:rFonts w:ascii="Times New Roman" w:hAnsi="Times New Roman" w:eastAsia="仿宋" w:cs="Times New Roman"/>
                <w:b/>
                <w:bCs/>
                <w:kern w:val="0"/>
                <w:sz w:val="24"/>
                <w:lang w:bidi="ar"/>
              </w:rPr>
              <w:t>序号</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621A">
            <w:pPr>
              <w:widowControl/>
              <w:spacing w:line="600" w:lineRule="exact"/>
              <w:ind w:firstLine="0" w:firstLineChars="0"/>
              <w:jc w:val="center"/>
              <w:textAlignment w:val="center"/>
              <w:rPr>
                <w:rFonts w:ascii="Times New Roman" w:hAnsi="Times New Roman" w:eastAsia="仿宋" w:cs="Times New Roman"/>
                <w:b/>
                <w:bCs/>
                <w:sz w:val="24"/>
              </w:rPr>
            </w:pPr>
            <w:r>
              <w:rPr>
                <w:rFonts w:ascii="Times New Roman" w:hAnsi="Times New Roman" w:eastAsia="仿宋" w:cs="Times New Roman"/>
                <w:b/>
                <w:bCs/>
                <w:kern w:val="0"/>
                <w:sz w:val="24"/>
                <w:lang w:bidi="ar"/>
              </w:rPr>
              <w:t>指标类别</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4543">
            <w:pPr>
              <w:widowControl/>
              <w:spacing w:line="600" w:lineRule="exact"/>
              <w:ind w:firstLine="0" w:firstLineChars="0"/>
              <w:jc w:val="center"/>
              <w:textAlignment w:val="center"/>
              <w:rPr>
                <w:rFonts w:ascii="Times New Roman" w:hAnsi="Times New Roman" w:eastAsia="仿宋" w:cs="Times New Roman"/>
                <w:b/>
                <w:bCs/>
                <w:sz w:val="24"/>
              </w:rPr>
            </w:pPr>
            <w:r>
              <w:rPr>
                <w:rFonts w:ascii="Times New Roman" w:hAnsi="Times New Roman" w:eastAsia="仿宋" w:cs="Times New Roman"/>
                <w:b/>
                <w:bCs/>
                <w:kern w:val="0"/>
                <w:sz w:val="24"/>
                <w:lang w:bidi="ar"/>
              </w:rPr>
              <w:t>202</w:t>
            </w:r>
            <w:r>
              <w:rPr>
                <w:rFonts w:hint="eastAsia" w:ascii="Times New Roman" w:hAnsi="Times New Roman" w:eastAsia="仿宋" w:cs="Times New Roman"/>
                <w:b/>
                <w:bCs/>
                <w:kern w:val="0"/>
                <w:sz w:val="24"/>
                <w:lang w:bidi="ar"/>
              </w:rPr>
              <w:t>6</w:t>
            </w:r>
            <w:r>
              <w:rPr>
                <w:rFonts w:ascii="Times New Roman" w:hAnsi="Times New Roman" w:eastAsia="仿宋" w:cs="Times New Roman"/>
                <w:b/>
                <w:bCs/>
                <w:kern w:val="0"/>
                <w:sz w:val="24"/>
                <w:lang w:bidi="ar"/>
              </w:rPr>
              <w:t>年计划</w:t>
            </w:r>
          </w:p>
        </w:tc>
      </w:tr>
      <w:tr w14:paraId="6FD06578">
        <w:tblPrEx>
          <w:tblCellMar>
            <w:top w:w="0" w:type="dxa"/>
            <w:left w:w="108" w:type="dxa"/>
            <w:bottom w:w="0" w:type="dxa"/>
            <w:right w:w="108" w:type="dxa"/>
          </w:tblCellMar>
        </w:tblPrEx>
        <w:trPr>
          <w:trHeight w:val="33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BB8D">
            <w:pPr>
              <w:widowControl/>
              <w:spacing w:line="600" w:lineRule="exact"/>
              <w:ind w:firstLine="0" w:firstLineChars="0"/>
              <w:jc w:val="center"/>
              <w:textAlignment w:val="center"/>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1</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2E58">
            <w:pPr>
              <w:widowControl/>
              <w:spacing w:line="600" w:lineRule="exact"/>
              <w:ind w:firstLine="0" w:firstLineChars="0"/>
              <w:jc w:val="center"/>
              <w:textAlignment w:val="center"/>
              <w:rPr>
                <w:rFonts w:ascii="Times New Roman" w:hAnsi="Times New Roman" w:eastAsia="仿宋" w:cs="Times New Roman"/>
                <w:sz w:val="24"/>
              </w:rPr>
            </w:pPr>
            <w:r>
              <w:rPr>
                <w:rFonts w:ascii="Times New Roman" w:hAnsi="Times New Roman" w:eastAsia="仿宋" w:cs="Times New Roman"/>
                <w:sz w:val="24"/>
              </w:rPr>
              <w:t>德宏州公租房租赁补贴计划</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9117">
            <w:pPr>
              <w:widowControl/>
              <w:spacing w:line="600" w:lineRule="exact"/>
              <w:ind w:firstLine="0" w:firstLineChars="0"/>
              <w:jc w:val="center"/>
              <w:textAlignment w:val="center"/>
              <w:rPr>
                <w:rFonts w:ascii="Times New Roman" w:hAnsi="Times New Roman" w:eastAsia="仿宋" w:cs="Times New Roman"/>
                <w:sz w:val="24"/>
              </w:rPr>
            </w:pPr>
            <w:r>
              <w:rPr>
                <w:rFonts w:ascii="Times New Roman" w:hAnsi="Times New Roman" w:eastAsia="仿宋" w:cs="Times New Roman"/>
                <w:sz w:val="24"/>
              </w:rPr>
              <w:t>≥801户</w:t>
            </w:r>
          </w:p>
        </w:tc>
      </w:tr>
      <w:tr w14:paraId="528F53C4">
        <w:tblPrEx>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12C1">
            <w:pPr>
              <w:widowControl/>
              <w:spacing w:line="600" w:lineRule="exact"/>
              <w:ind w:firstLine="0" w:firstLineChars="0"/>
              <w:jc w:val="center"/>
              <w:textAlignment w:val="center"/>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2</w:t>
            </w:r>
            <w:bookmarkStart w:id="8" w:name="_GoBack"/>
            <w:bookmarkEnd w:id="8"/>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BEBD">
            <w:pPr>
              <w:widowControl/>
              <w:spacing w:line="600" w:lineRule="exact"/>
              <w:ind w:firstLine="0" w:firstLineChars="0"/>
              <w:jc w:val="center"/>
              <w:textAlignment w:val="center"/>
              <w:rPr>
                <w:rFonts w:ascii="Times New Roman" w:hAnsi="Times New Roman" w:eastAsia="仿宋" w:cs="Times New Roman"/>
                <w:sz w:val="24"/>
              </w:rPr>
            </w:pPr>
            <w:r>
              <w:rPr>
                <w:rFonts w:ascii="Times New Roman" w:hAnsi="Times New Roman" w:eastAsia="仿宋" w:cs="Times New Roman"/>
                <w:sz w:val="24"/>
              </w:rPr>
              <w:t>德宏州城市危旧房改造计划</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61AB">
            <w:pPr>
              <w:widowControl/>
              <w:spacing w:line="600" w:lineRule="exact"/>
              <w:ind w:firstLine="0" w:firstLineChars="0"/>
              <w:jc w:val="center"/>
              <w:textAlignment w:val="center"/>
              <w:rPr>
                <w:rFonts w:ascii="Times New Roman" w:hAnsi="Times New Roman" w:eastAsia="仿宋" w:cs="Times New Roman"/>
                <w:sz w:val="24"/>
              </w:rPr>
            </w:pPr>
            <w:r>
              <w:rPr>
                <w:rFonts w:hint="eastAsia" w:ascii="Times New Roman" w:hAnsi="Times New Roman" w:eastAsia="仿宋" w:cs="Times New Roman"/>
                <w:sz w:val="24"/>
              </w:rPr>
              <w:t>17</w:t>
            </w:r>
            <w:r>
              <w:rPr>
                <w:rFonts w:ascii="Times New Roman" w:hAnsi="Times New Roman" w:eastAsia="仿宋" w:cs="Times New Roman"/>
                <w:sz w:val="24"/>
              </w:rPr>
              <w:t>套</w:t>
            </w:r>
          </w:p>
        </w:tc>
      </w:tr>
    </w:tbl>
    <w:p w14:paraId="7A8940F4">
      <w:pPr>
        <w:pStyle w:val="2"/>
        <w:keepNext w:val="0"/>
        <w:keepLines w:val="0"/>
        <w:widowControl/>
        <w:numPr>
          <w:ilvl w:val="0"/>
          <w:numId w:val="1"/>
        </w:numPr>
        <w:shd w:val="clear" w:color="auto" w:fill="FFFFFF"/>
        <w:spacing w:before="0" w:after="0" w:line="600" w:lineRule="exact"/>
        <w:ind w:firstLineChars="0"/>
        <w:jc w:val="left"/>
        <w:rPr>
          <w:rFonts w:ascii="Times New Roman" w:hAnsi="Times New Roman" w:eastAsia="方正黑体_GBK" w:cs="Times New Roman"/>
          <w:b w:val="0"/>
          <w:sz w:val="32"/>
          <w:szCs w:val="32"/>
          <w:shd w:val="clear" w:color="auto" w:fill="FFFFFF"/>
        </w:rPr>
      </w:pPr>
      <w:r>
        <w:rPr>
          <w:rFonts w:ascii="Times New Roman" w:hAnsi="Times New Roman" w:eastAsia="方正黑体_GBK" w:cs="Times New Roman"/>
          <w:b w:val="0"/>
          <w:sz w:val="32"/>
          <w:szCs w:val="32"/>
          <w:shd w:val="clear" w:color="auto" w:fill="FFFFFF"/>
        </w:rPr>
        <w:t>主要任务</w:t>
      </w:r>
    </w:p>
    <w:p w14:paraId="1B05510E">
      <w:pPr>
        <w:pStyle w:val="3"/>
        <w:numPr>
          <w:ilvl w:val="0"/>
          <w:numId w:val="6"/>
        </w:numPr>
        <w:ind w:firstLineChars="0"/>
        <w:rPr>
          <w:rFonts w:ascii="Times New Roman" w:hAnsi="Times New Roman" w:cs="Times New Roman"/>
        </w:rPr>
      </w:pPr>
      <w:r>
        <w:rPr>
          <w:rFonts w:ascii="Times New Roman" w:hAnsi="Times New Roman" w:cs="Times New Roman"/>
        </w:rPr>
        <w:t>平稳有序供应住房用地</w:t>
      </w:r>
    </w:p>
    <w:p w14:paraId="38846BEE">
      <w:pPr>
        <w:spacing w:line="600" w:lineRule="exact"/>
        <w:ind w:firstLine="643"/>
        <w:rPr>
          <w:rFonts w:ascii="Times New Roman" w:hAnsi="Times New Roman" w:cs="Times New Roman"/>
        </w:rPr>
      </w:pPr>
      <w:r>
        <w:rPr>
          <w:rFonts w:ascii="Times New Roman" w:hAnsi="Times New Roman" w:cs="Times New Roman"/>
          <w:b/>
          <w:bCs/>
        </w:rPr>
        <w:t>保持住房用地供应总量稳定。</w:t>
      </w:r>
      <w:r>
        <w:rPr>
          <w:rFonts w:ascii="Times New Roman" w:hAnsi="Times New Roman" w:cs="Times New Roman"/>
        </w:rPr>
        <w:t>加强规划引领，深化空间结构布局，土地供应向重点功能区、口岸周边、旅居区域等重点发展空间倾斜，促进职住平衡、产城融合、宜居宜业。坚持以需定供，通过“房地联动、一地一策”机制，保障供地结构均衡、节奏平稳，提升供地效能。</w:t>
      </w:r>
    </w:p>
    <w:p w14:paraId="2636D3DC">
      <w:pPr>
        <w:spacing w:line="600" w:lineRule="exact"/>
        <w:rPr>
          <w:rFonts w:ascii="Times New Roman" w:hAnsi="Times New Roman" w:cs="Times New Roman"/>
          <w:lang w:val="zh-CN"/>
        </w:rPr>
      </w:pPr>
      <w:r>
        <w:rPr>
          <w:rFonts w:ascii="Times New Roman" w:hAnsi="Times New Roman" w:cs="Times New Roman"/>
          <w:lang w:val="zh-CN"/>
        </w:rPr>
        <w:t>针对不同收入层次的群体，完善公租房、保障性租赁住房、配售型保障性住房供应体系，结合实际，因地制宜，制定本县（市）统一适用的配租配售条件和标准，宜配租则配租、宜配售则配售。</w:t>
      </w:r>
    </w:p>
    <w:p w14:paraId="17608925">
      <w:pPr>
        <w:spacing w:line="600" w:lineRule="exact"/>
        <w:ind w:firstLine="643"/>
        <w:rPr>
          <w:rFonts w:ascii="Times New Roman" w:hAnsi="Times New Roman" w:cs="Times New Roman"/>
        </w:rPr>
      </w:pPr>
      <w:r>
        <w:rPr>
          <w:rFonts w:ascii="Times New Roman" w:hAnsi="Times New Roman" w:cs="Times New Roman"/>
          <w:b/>
          <w:bCs/>
        </w:rPr>
        <w:t>积极发展保障性租赁住房。</w:t>
      </w:r>
      <w:r>
        <w:rPr>
          <w:rFonts w:ascii="Times New Roman" w:hAnsi="Times New Roman" w:cs="Times New Roman"/>
        </w:rPr>
        <w:t>支持将存量闲置房屋改建（改造）为保障性租赁住房，通过取得集中式房源租赁权发展存房业务，增加高品质租赁房源供给，有效满足旅居、外来务工人员、边民、等各类型新市民和城市基本公共服务人员租住需求。</w:t>
      </w:r>
    </w:p>
    <w:p w14:paraId="00454318">
      <w:pPr>
        <w:spacing w:line="600" w:lineRule="exact"/>
        <w:ind w:firstLine="643"/>
        <w:rPr>
          <w:rFonts w:ascii="Times New Roman" w:hAnsi="Times New Roman" w:cs="Times New Roman"/>
          <w:lang w:val="zh-CN"/>
        </w:rPr>
      </w:pPr>
      <w:r>
        <w:rPr>
          <w:rFonts w:ascii="Times New Roman" w:hAnsi="Times New Roman" w:cs="Times New Roman"/>
          <w:b/>
          <w:bCs/>
          <w:lang w:val="zh-CN"/>
        </w:rPr>
        <w:t>严控增量。</w:t>
      </w:r>
      <w:r>
        <w:rPr>
          <w:rFonts w:ascii="Times New Roman" w:hAnsi="Times New Roman" w:cs="Times New Roman"/>
          <w:lang w:val="zh-CN"/>
        </w:rPr>
        <w:t>合理控制商品房用地供应，根据商品房库存去化周期情况，分类调控新增商品住宅和非商品住宅用地供应计划。严格控制新增住宅供应节奏，各</w:t>
      </w:r>
      <w:r>
        <w:rPr>
          <w:rFonts w:ascii="Times New Roman" w:hAnsi="Times New Roman" w:cs="Times New Roman"/>
        </w:rPr>
        <w:t>县</w:t>
      </w:r>
      <w:r>
        <w:rPr>
          <w:rFonts w:ascii="Times New Roman" w:hAnsi="Times New Roman" w:cs="Times New Roman"/>
          <w:lang w:val="zh-CN"/>
        </w:rPr>
        <w:t>（市）应当结合当地商品房库存情况，进一步细化商品房预售进度条件，优化商品房预售许可审批全过程管理，新建项目原则上应按照个人住房按揭贷款、个人住房公积金贷款发放条件审批。</w:t>
      </w:r>
    </w:p>
    <w:p w14:paraId="447AA68E">
      <w:pPr>
        <w:spacing w:line="600" w:lineRule="exact"/>
        <w:ind w:firstLine="643"/>
        <w:rPr>
          <w:rFonts w:hint="eastAsia" w:ascii="Times New Roman" w:hAnsi="Times New Roman" w:cs="Times New Roman"/>
          <w:lang w:val="zh-CN"/>
        </w:rPr>
      </w:pPr>
      <w:r>
        <w:rPr>
          <w:rFonts w:ascii="Times New Roman" w:hAnsi="Times New Roman" w:cs="Times New Roman"/>
          <w:b/>
          <w:bCs/>
          <w:lang w:val="zh-CN"/>
        </w:rPr>
        <w:t>优化存量。</w:t>
      </w:r>
      <w:r>
        <w:rPr>
          <w:rFonts w:ascii="Times New Roman" w:hAnsi="Times New Roman" w:cs="Times New Roman"/>
          <w:lang w:val="zh-CN"/>
        </w:rPr>
        <w:t>坚持以需定购、自主决策的原则，支持符合条件的企业，争取国家保障性住房再贷款政策支持。鼓励对城中村改造安置户采用房票安置或“以购代建”方式安置。鼓励房地产开发企业将自有未售房源用于租赁住房经营。</w:t>
      </w:r>
    </w:p>
    <w:p w14:paraId="5401A3EE">
      <w:pPr>
        <w:spacing w:line="600" w:lineRule="exact"/>
        <w:ind w:firstLine="643"/>
        <w:rPr>
          <w:rFonts w:ascii="Times New Roman" w:hAnsi="Times New Roman" w:cs="Times New Roman"/>
        </w:rPr>
      </w:pPr>
      <w:r>
        <w:rPr>
          <w:rFonts w:ascii="Times New Roman" w:hAnsi="Times New Roman" w:cs="Times New Roman"/>
          <w:b/>
          <w:bCs/>
          <w:lang w:val="zh-CN"/>
        </w:rPr>
        <w:t>提高质量。</w:t>
      </w:r>
      <w:r>
        <w:rPr>
          <w:rFonts w:ascii="Times New Roman" w:hAnsi="Times New Roman" w:cs="Times New Roman"/>
          <w:lang w:val="zh-CN"/>
        </w:rPr>
        <w:t>鼓励房地产开发企业积极开展第四代建筑试点，鼓励各</w:t>
      </w:r>
      <w:r>
        <w:rPr>
          <w:rFonts w:ascii="Times New Roman" w:hAnsi="Times New Roman" w:cs="Times New Roman"/>
        </w:rPr>
        <w:t>县</w:t>
      </w:r>
      <w:r>
        <w:rPr>
          <w:rFonts w:ascii="Times New Roman" w:hAnsi="Times New Roman" w:cs="Times New Roman"/>
          <w:lang w:val="zh-CN"/>
        </w:rPr>
        <w:t>（市）结合当地实际，在符合国家和省有关标准规范的前提下，优化调整房地产项目计容面积、公摊等建筑设计，提高商品住宅得房率。在不改变用地性质和容积率的前提下，允许优化调整住房套型结构，依法办理相关审批手续</w:t>
      </w:r>
      <w:r>
        <w:rPr>
          <w:rFonts w:ascii="Times New Roman" w:hAnsi="Times New Roman" w:cs="Times New Roman"/>
        </w:rPr>
        <w:t>。</w:t>
      </w:r>
    </w:p>
    <w:p w14:paraId="0606A133">
      <w:pPr>
        <w:pStyle w:val="3"/>
        <w:numPr>
          <w:ilvl w:val="0"/>
          <w:numId w:val="6"/>
        </w:numPr>
        <w:ind w:firstLineChars="0"/>
        <w:rPr>
          <w:rFonts w:ascii="Times New Roman" w:hAnsi="Times New Roman" w:cs="Times New Roman"/>
        </w:rPr>
      </w:pPr>
      <w:r>
        <w:rPr>
          <w:rFonts w:ascii="Times New Roman" w:hAnsi="Times New Roman" w:cs="Times New Roman"/>
        </w:rPr>
        <w:t>加大供给高品质“好房子”</w:t>
      </w:r>
    </w:p>
    <w:p w14:paraId="5323AA34">
      <w:pPr>
        <w:spacing w:line="600" w:lineRule="exact"/>
        <w:ind w:firstLine="643"/>
        <w:rPr>
          <w:rFonts w:hint="eastAsia" w:ascii="Times New Roman" w:hAnsi="Times New Roman" w:cs="Times New Roman"/>
          <w:lang w:val="zh-CN"/>
        </w:rPr>
      </w:pPr>
      <w:r>
        <w:rPr>
          <w:rFonts w:ascii="Times New Roman" w:hAnsi="Times New Roman" w:cs="Times New Roman"/>
          <w:b/>
          <w:bCs/>
          <w:lang w:val="zh-CN"/>
        </w:rPr>
        <w:t>建设人民满意的好房子。</w:t>
      </w:r>
      <w:r>
        <w:rPr>
          <w:rFonts w:ascii="Times New Roman" w:hAnsi="Times New Roman" w:cs="Times New Roman"/>
          <w:lang w:val="zh-CN"/>
        </w:rPr>
        <w:t>落实住房城乡建设部</w:t>
      </w:r>
      <w:r>
        <w:rPr>
          <w:rFonts w:ascii="Times New Roman" w:hAnsi="Times New Roman" w:cs="Times New Roman"/>
        </w:rPr>
        <w:t>和住建厅</w:t>
      </w:r>
      <w:r>
        <w:rPr>
          <w:rFonts w:ascii="Times New Roman" w:hAnsi="Times New Roman" w:cs="Times New Roman"/>
          <w:lang w:val="zh-CN"/>
        </w:rPr>
        <w:t>好房子、好小区、好社区、好城区建设标准，鼓励房企建设安全、舒适、绿色、智慧的“好房子”，满足刚需型、改善型、旅居型等多元化、多层次需求；</w:t>
      </w:r>
    </w:p>
    <w:p w14:paraId="67D82629">
      <w:pPr>
        <w:spacing w:line="600" w:lineRule="exact"/>
        <w:ind w:firstLine="643"/>
        <w:rPr>
          <w:rFonts w:ascii="Times New Roman" w:hAnsi="Times New Roman" w:cs="Times New Roman"/>
        </w:rPr>
      </w:pPr>
      <w:r>
        <w:rPr>
          <w:rFonts w:ascii="Times New Roman" w:hAnsi="Times New Roman" w:cs="Times New Roman"/>
          <w:b/>
        </w:rPr>
        <w:t>规范发展住房租赁市场</w:t>
      </w:r>
      <w:r>
        <w:rPr>
          <w:rFonts w:hint="eastAsia" w:ascii="Times New Roman" w:hAnsi="Times New Roman" w:cs="Times New Roman"/>
          <w:b/>
        </w:rPr>
        <w:t>。</w:t>
      </w:r>
      <w:r>
        <w:rPr>
          <w:rFonts w:ascii="Times New Roman" w:hAnsi="Times New Roman" w:cs="Times New Roman"/>
          <w:lang w:val="zh-CN"/>
        </w:rPr>
        <w:t>鼓励居民家庭将自有房源，企业将存量房源（包括改造老旧厂房、商办用房、自持商品住房等）用于租赁。培育市场化专业化运营机构。推动租购住房，在享受公共服务上具有同等权利，租赁时限由各县（市）政府作出明确规定。</w:t>
      </w:r>
    </w:p>
    <w:p w14:paraId="625F6DEE">
      <w:pPr>
        <w:pStyle w:val="3"/>
        <w:numPr>
          <w:ilvl w:val="0"/>
          <w:numId w:val="6"/>
        </w:numPr>
        <w:ind w:firstLineChars="0"/>
        <w:rPr>
          <w:rFonts w:ascii="Times New Roman" w:hAnsi="Times New Roman" w:cs="Times New Roman"/>
        </w:rPr>
      </w:pPr>
      <w:r>
        <w:rPr>
          <w:rFonts w:ascii="Times New Roman" w:hAnsi="Times New Roman" w:cs="Times New Roman"/>
        </w:rPr>
        <w:t>有力有序有效防范化解房地产风险</w:t>
      </w:r>
    </w:p>
    <w:p w14:paraId="0806F022">
      <w:pPr>
        <w:spacing w:line="600" w:lineRule="exact"/>
        <w:ind w:firstLine="643"/>
        <w:rPr>
          <w:rFonts w:ascii="Times New Roman" w:hAnsi="Times New Roman" w:cs="Times New Roman"/>
          <w:lang w:val="zh-CN"/>
        </w:rPr>
      </w:pPr>
      <w:r>
        <w:rPr>
          <w:rFonts w:ascii="Times New Roman" w:hAnsi="Times New Roman" w:cs="Times New Roman"/>
          <w:b/>
          <w:bCs/>
          <w:lang w:val="zh-CN"/>
        </w:rPr>
        <w:t>坚决化解当前突出风险。</w:t>
      </w:r>
      <w:r>
        <w:rPr>
          <w:rFonts w:ascii="Times New Roman" w:hAnsi="Times New Roman" w:cs="Times New Roman"/>
          <w:lang w:val="zh-CN"/>
        </w:rPr>
        <w:t>充分发挥城市房地产融资协调机制作用，用好国家土地、司法等一揽子政策工具，完善一楼一策方案，支持在建未交付商品住房建设交付。</w:t>
      </w:r>
      <w:r>
        <w:rPr>
          <w:rFonts w:ascii="Times New Roman" w:hAnsi="Times New Roman" w:cs="Times New Roman"/>
        </w:rPr>
        <w:t>认真开展已交付项目“回头看”，巩固建设交付质量，加快推进交楼交房交证工作，积极稳妥出清房地产领域风险。</w:t>
      </w:r>
    </w:p>
    <w:p w14:paraId="79E0ED11">
      <w:pPr>
        <w:spacing w:line="600" w:lineRule="exact"/>
        <w:ind w:firstLine="643"/>
        <w:rPr>
          <w:rFonts w:ascii="Times New Roman" w:hAnsi="Times New Roman" w:cs="Times New Roman"/>
          <w:lang w:val="zh-CN"/>
        </w:rPr>
      </w:pPr>
      <w:r>
        <w:rPr>
          <w:rFonts w:ascii="Times New Roman" w:hAnsi="Times New Roman" w:cs="Times New Roman"/>
          <w:b/>
          <w:bCs/>
          <w:lang w:val="zh-CN"/>
        </w:rPr>
        <w:t>强化房地产风险源头防控。</w:t>
      </w:r>
      <w:r>
        <w:rPr>
          <w:rFonts w:ascii="Times New Roman" w:hAnsi="Times New Roman" w:cs="Times New Roman"/>
          <w:lang w:val="zh-CN"/>
        </w:rPr>
        <w:t>稳步推进商品房现房销售制度改革。推行购房人付款方式改革，推行在交付时支付全部购房款，也可先支付少量定金，在交付时支付剩余购房款。在全面实行现房销售前，提高商品房预售门槛，严格落实房企使用自有资金购地、商品房预售资金、融资资金监管等系列规定。</w:t>
      </w:r>
      <w:r>
        <w:rPr>
          <w:rFonts w:ascii="Times New Roman" w:hAnsi="Times New Roman" w:cs="Times New Roman"/>
        </w:rPr>
        <w:t>建立健全房地产协同监管机制，</w:t>
      </w:r>
      <w:r>
        <w:rPr>
          <w:rFonts w:ascii="Times New Roman" w:hAnsi="Times New Roman" w:cs="Times New Roman"/>
          <w:lang w:val="zh-CN"/>
        </w:rPr>
        <w:t>严防</w:t>
      </w:r>
      <w:r>
        <w:rPr>
          <w:rFonts w:ascii="Times New Roman" w:hAnsi="Times New Roman" w:cs="Times New Roman"/>
        </w:rPr>
        <w:t>新建项目</w:t>
      </w:r>
      <w:r>
        <w:rPr>
          <w:rFonts w:ascii="Times New Roman" w:hAnsi="Times New Roman" w:cs="Times New Roman"/>
          <w:lang w:val="zh-CN"/>
        </w:rPr>
        <w:t>新增问题楼盘，</w:t>
      </w:r>
      <w:r>
        <w:rPr>
          <w:rFonts w:ascii="Times New Roman" w:hAnsi="Times New Roman" w:cs="Times New Roman"/>
        </w:rPr>
        <w:t>整治房地产市场秩序，切实维护群众合法权益。</w:t>
      </w:r>
    </w:p>
    <w:p w14:paraId="64A2371A">
      <w:pPr>
        <w:pStyle w:val="3"/>
        <w:numPr>
          <w:ilvl w:val="0"/>
          <w:numId w:val="6"/>
        </w:numPr>
        <w:ind w:firstLineChars="0"/>
        <w:rPr>
          <w:rFonts w:ascii="Times New Roman" w:hAnsi="Times New Roman" w:cs="Times New Roman"/>
        </w:rPr>
      </w:pPr>
      <w:r>
        <w:rPr>
          <w:rFonts w:ascii="Times New Roman" w:hAnsi="Times New Roman" w:cs="Times New Roman"/>
        </w:rPr>
        <w:t>推进老旧小区改造和危旧楼房改建</w:t>
      </w:r>
    </w:p>
    <w:p w14:paraId="3C1326C3">
      <w:pPr>
        <w:spacing w:line="600" w:lineRule="exact"/>
        <w:ind w:firstLine="643"/>
        <w:rPr>
          <w:rFonts w:hint="eastAsia" w:ascii="Times New Roman" w:hAnsi="Times New Roman" w:cs="Times New Roman"/>
          <w:lang w:val="zh-CN"/>
        </w:rPr>
      </w:pPr>
      <w:r>
        <w:rPr>
          <w:rFonts w:ascii="Times New Roman" w:hAnsi="Times New Roman" w:cs="Times New Roman"/>
          <w:b/>
          <w:bCs/>
          <w:lang w:val="zh-CN"/>
        </w:rPr>
        <w:t>持续推进</w:t>
      </w:r>
      <w:r>
        <w:rPr>
          <w:rFonts w:ascii="Times New Roman" w:hAnsi="Times New Roman" w:cs="Times New Roman"/>
          <w:b/>
          <w:bCs/>
        </w:rPr>
        <w:t>城中村及危旧楼房改建。</w:t>
      </w:r>
      <w:r>
        <w:rPr>
          <w:rFonts w:ascii="Times New Roman" w:hAnsi="Times New Roman" w:cs="Times New Roman"/>
        </w:rPr>
        <w:t>推进货币化安置，继续扩大城中村改造规模，特别是对群众改造意愿强烈、条件比较成熟的项目重点支持。按照“以需定建、以需定改，成熟一个推进一个”的原则和“动必齐、动必快、动必成”的要求，积极推进城中村和城市危旧房改造，消除风险隐患，改善人居环境。</w:t>
      </w:r>
    </w:p>
    <w:p w14:paraId="427B51CC">
      <w:pPr>
        <w:spacing w:line="600" w:lineRule="exact"/>
        <w:ind w:firstLine="643"/>
        <w:rPr>
          <w:rFonts w:ascii="Times New Roman" w:hAnsi="Times New Roman" w:cs="Times New Roman"/>
        </w:rPr>
      </w:pPr>
      <w:r>
        <w:rPr>
          <w:rFonts w:ascii="Times New Roman" w:hAnsi="Times New Roman" w:cs="Times New Roman"/>
          <w:b/>
          <w:bCs/>
          <w:lang w:val="zh-CN"/>
        </w:rPr>
        <w:t>持续推进老旧小区改造</w:t>
      </w:r>
      <w:r>
        <w:rPr>
          <w:rFonts w:ascii="Times New Roman" w:hAnsi="Times New Roman" w:cs="Times New Roman"/>
          <w:b/>
          <w:bCs/>
        </w:rPr>
        <w:t>。</w:t>
      </w:r>
      <w:r>
        <w:rPr>
          <w:rFonts w:ascii="Times New Roman" w:hAnsi="Times New Roman" w:cs="Times New Roman"/>
          <w:lang w:val="zh-CN"/>
        </w:rPr>
        <w:t>打造老旧小区改造“升级版”，重点实施基础类改造，积极推动完善类改造，协调开展提升类改造，有序推进老旧小区改造工作，实现老旧小区改造改出新模式、新机制、新面貌。</w:t>
      </w:r>
    </w:p>
    <w:p w14:paraId="160E0248">
      <w:pPr>
        <w:pStyle w:val="3"/>
        <w:numPr>
          <w:ilvl w:val="0"/>
          <w:numId w:val="6"/>
        </w:numPr>
        <w:ind w:firstLineChars="0"/>
        <w:rPr>
          <w:rFonts w:ascii="Times New Roman" w:hAnsi="Times New Roman" w:cs="Times New Roman"/>
        </w:rPr>
      </w:pPr>
      <w:r>
        <w:rPr>
          <w:rFonts w:ascii="Times New Roman" w:hAnsi="Times New Roman" w:cs="Times New Roman"/>
        </w:rPr>
        <w:t>大力实施物业服务质量提升行动</w:t>
      </w:r>
    </w:p>
    <w:p w14:paraId="6E199F3E">
      <w:pPr>
        <w:pStyle w:val="8"/>
        <w:widowControl/>
        <w:shd w:val="clear" w:color="auto" w:fill="FFFFFF"/>
        <w:spacing w:beforeAutospacing="0" w:afterAutospacing="0" w:line="600" w:lineRule="exact"/>
        <w:ind w:firstLine="643"/>
        <w:rPr>
          <w:rFonts w:ascii="Times New Roman" w:hAnsi="Times New Roman"/>
          <w:kern w:val="2"/>
          <w:sz w:val="32"/>
          <w:lang w:val="zh-CN"/>
        </w:rPr>
      </w:pPr>
      <w:r>
        <w:rPr>
          <w:rFonts w:ascii="Times New Roman" w:hAnsi="Times New Roman"/>
          <w:b/>
          <w:bCs/>
          <w:kern w:val="2"/>
          <w:sz w:val="32"/>
          <w:lang w:val="zh-CN"/>
        </w:rPr>
        <w:t>重点推进物业服务标准化、精细化转型。</w:t>
      </w:r>
      <w:r>
        <w:rPr>
          <w:rFonts w:ascii="Times New Roman" w:hAnsi="Times New Roman"/>
          <w:kern w:val="2"/>
          <w:sz w:val="32"/>
          <w:lang w:val="zh-CN"/>
        </w:rPr>
        <w:t>聚焦提升物业服务品质，持续用力推进党建引领物业服务管理三年行动（2024-2026年），按年度开展物业服务企业信用评价，推动服务内容与收费标准公开透明，实现“质价相符”。</w:t>
      </w:r>
    </w:p>
    <w:p w14:paraId="40804B95">
      <w:pPr>
        <w:pStyle w:val="8"/>
        <w:widowControl/>
        <w:shd w:val="clear" w:color="auto" w:fill="FFFFFF"/>
        <w:spacing w:beforeAutospacing="0" w:afterAutospacing="0" w:line="600" w:lineRule="exact"/>
        <w:ind w:firstLine="643"/>
        <w:rPr>
          <w:rFonts w:ascii="Times New Roman" w:hAnsi="Times New Roman"/>
          <w:kern w:val="2"/>
          <w:sz w:val="32"/>
          <w:lang w:val="zh-CN"/>
        </w:rPr>
      </w:pPr>
      <w:r>
        <w:rPr>
          <w:rFonts w:ascii="Times New Roman" w:hAnsi="Times New Roman"/>
          <w:b/>
          <w:bCs/>
          <w:kern w:val="2"/>
          <w:sz w:val="32"/>
          <w:lang w:val="zh-CN"/>
        </w:rPr>
        <w:t>‌推动智慧服务升级。</w:t>
      </w:r>
      <w:r>
        <w:rPr>
          <w:rFonts w:ascii="Times New Roman" w:hAnsi="Times New Roman"/>
          <w:kern w:val="2"/>
          <w:sz w:val="32"/>
          <w:lang w:val="zh-CN"/>
        </w:rPr>
        <w:t>推广“线上点单+线下服务”模式，依托社区小程序整合家政维修、应急响应等服务，同时试点“信用积分”管理，激励居民参与社区治理。‌破解老旧小区管理难题‌，通过政府注资改造基础设施、引入专业物业企业“共联共建”，并建立物业费收支公示制度，确保居民知情权与监督权。</w:t>
      </w:r>
    </w:p>
    <w:p w14:paraId="60A93F54">
      <w:pPr>
        <w:pStyle w:val="3"/>
        <w:numPr>
          <w:ilvl w:val="0"/>
          <w:numId w:val="6"/>
        </w:numPr>
        <w:ind w:firstLineChars="0"/>
        <w:rPr>
          <w:rFonts w:ascii="Times New Roman" w:hAnsi="Times New Roman" w:cs="Times New Roman"/>
        </w:rPr>
      </w:pPr>
      <w:r>
        <w:rPr>
          <w:rFonts w:ascii="Times New Roman" w:hAnsi="Times New Roman" w:cs="Times New Roman"/>
        </w:rPr>
        <w:t>塑造“旅居德宏”品牌，推动住房产业发展</w:t>
      </w:r>
    </w:p>
    <w:p w14:paraId="0DB6AD70">
      <w:pPr>
        <w:pStyle w:val="8"/>
        <w:widowControl/>
        <w:shd w:val="clear" w:color="auto" w:fill="FFFFFF"/>
        <w:spacing w:beforeAutospacing="0" w:afterAutospacing="0" w:line="600" w:lineRule="exact"/>
        <w:ind w:firstLine="643"/>
        <w:rPr>
          <w:rFonts w:hint="eastAsia" w:ascii="Times New Roman" w:hAnsi="Times New Roman"/>
          <w:kern w:val="2"/>
          <w:sz w:val="32"/>
        </w:rPr>
      </w:pPr>
      <w:r>
        <w:rPr>
          <w:rFonts w:ascii="Times New Roman" w:hAnsi="Times New Roman"/>
          <w:b/>
          <w:bCs/>
          <w:kern w:val="2"/>
          <w:sz w:val="32"/>
          <w:lang w:val="zh-CN"/>
        </w:rPr>
        <w:t>科学谋划</w:t>
      </w:r>
      <w:r>
        <w:rPr>
          <w:rFonts w:ascii="Times New Roman" w:hAnsi="Times New Roman"/>
          <w:b/>
          <w:bCs/>
          <w:kern w:val="2"/>
          <w:sz w:val="32"/>
        </w:rPr>
        <w:t>德宏</w:t>
      </w:r>
      <w:r>
        <w:rPr>
          <w:rFonts w:ascii="Times New Roman" w:hAnsi="Times New Roman"/>
          <w:b/>
          <w:bCs/>
          <w:kern w:val="2"/>
          <w:sz w:val="32"/>
          <w:lang w:val="zh-CN"/>
        </w:rPr>
        <w:t>旅居房地产业发展布局。</w:t>
      </w:r>
      <w:r>
        <w:rPr>
          <w:rFonts w:ascii="Times New Roman" w:hAnsi="Times New Roman"/>
          <w:kern w:val="2"/>
          <w:sz w:val="32"/>
          <w:lang w:val="zh-CN"/>
        </w:rPr>
        <w:t>贯彻落实《云南省城镇旅居工作实施方案》，</w:t>
      </w:r>
      <w:r>
        <w:rPr>
          <w:rFonts w:ascii="Times New Roman" w:hAnsi="Times New Roman"/>
          <w:kern w:val="2"/>
          <w:sz w:val="32"/>
        </w:rPr>
        <w:t>以“好地方+好房子”为主题，优化增量、盘活存量，持续打响“旅居德宏”新品牌</w:t>
      </w:r>
      <w:r>
        <w:rPr>
          <w:rFonts w:hint="eastAsia" w:ascii="Times New Roman" w:hAnsi="Times New Roman"/>
          <w:kern w:val="2"/>
          <w:sz w:val="32"/>
        </w:rPr>
        <w:t>。</w:t>
      </w:r>
    </w:p>
    <w:p w14:paraId="5D1D55B8">
      <w:pPr>
        <w:pStyle w:val="8"/>
        <w:widowControl/>
        <w:shd w:val="clear" w:color="auto" w:fill="FFFFFF"/>
        <w:spacing w:beforeAutospacing="0" w:afterAutospacing="0" w:line="600" w:lineRule="exact"/>
        <w:ind w:firstLine="643"/>
        <w:rPr>
          <w:rFonts w:ascii="Times New Roman" w:hAnsi="Times New Roman"/>
          <w:kern w:val="2"/>
          <w:sz w:val="32"/>
        </w:rPr>
      </w:pPr>
      <w:r>
        <w:rPr>
          <w:rFonts w:ascii="Times New Roman" w:hAnsi="Times New Roman"/>
          <w:b/>
          <w:bCs/>
          <w:kern w:val="2"/>
          <w:sz w:val="32"/>
        </w:rPr>
        <w:t>完善旅居产品供给。</w:t>
      </w:r>
      <w:r>
        <w:rPr>
          <w:rFonts w:ascii="Times New Roman" w:hAnsi="Times New Roman"/>
          <w:kern w:val="2"/>
          <w:sz w:val="32"/>
          <w:lang w:val="zh-CN"/>
        </w:rPr>
        <w:t>鼓励房地产企业开发与旅游、养老、度假等相结合的多元化住房产品，完善产品设计和户型功能，更好满足旅居群体需求，满足不同人群的旅居需求，促进住房产业转型升级，实现住房市场健康可持续发展。</w:t>
      </w:r>
    </w:p>
    <w:p w14:paraId="1A6BDA02">
      <w:pPr>
        <w:pStyle w:val="2"/>
        <w:keepNext w:val="0"/>
        <w:keepLines w:val="0"/>
        <w:widowControl/>
        <w:numPr>
          <w:ilvl w:val="0"/>
          <w:numId w:val="1"/>
        </w:numPr>
        <w:shd w:val="clear" w:color="auto" w:fill="FFFFFF"/>
        <w:spacing w:before="0" w:after="0" w:line="600" w:lineRule="exact"/>
        <w:ind w:firstLineChars="0"/>
        <w:jc w:val="left"/>
        <w:rPr>
          <w:rFonts w:ascii="Times New Roman" w:hAnsi="Times New Roman" w:eastAsia="方正黑体_GBK" w:cs="Times New Roman"/>
          <w:b w:val="0"/>
          <w:sz w:val="32"/>
          <w:szCs w:val="32"/>
          <w:shd w:val="clear" w:color="auto" w:fill="FFFFFF"/>
        </w:rPr>
      </w:pPr>
      <w:r>
        <w:rPr>
          <w:rFonts w:ascii="Times New Roman" w:hAnsi="Times New Roman" w:eastAsia="方正黑体_GBK" w:cs="Times New Roman"/>
          <w:b w:val="0"/>
          <w:sz w:val="32"/>
          <w:szCs w:val="32"/>
          <w:shd w:val="clear" w:color="auto" w:fill="FFFFFF"/>
        </w:rPr>
        <w:t>保障措施</w:t>
      </w:r>
    </w:p>
    <w:p w14:paraId="200E3D35">
      <w:pPr>
        <w:numPr>
          <w:ilvl w:val="0"/>
          <w:numId w:val="7"/>
        </w:numPr>
        <w:spacing w:line="600" w:lineRule="exact"/>
        <w:rPr>
          <w:rFonts w:ascii="Times New Roman" w:hAnsi="Times New Roman" w:eastAsia="方正楷体_GBK" w:cs="Times New Roman"/>
          <w:lang w:val="zh-CN"/>
        </w:rPr>
      </w:pPr>
      <w:r>
        <w:rPr>
          <w:rFonts w:ascii="Times New Roman" w:hAnsi="Times New Roman" w:eastAsia="方正楷体_GBK" w:cs="Times New Roman"/>
        </w:rPr>
        <w:t>落实政策部署</w:t>
      </w:r>
    </w:p>
    <w:p w14:paraId="73032939">
      <w:pPr>
        <w:pStyle w:val="8"/>
        <w:widowControl/>
        <w:shd w:val="clear" w:color="auto" w:fill="FFFFFF"/>
        <w:spacing w:beforeAutospacing="0" w:afterAutospacing="0" w:line="600" w:lineRule="exact"/>
        <w:rPr>
          <w:rFonts w:ascii="Times New Roman" w:hAnsi="Times New Roman"/>
          <w:kern w:val="2"/>
          <w:sz w:val="32"/>
          <w:lang w:val="zh-CN"/>
        </w:rPr>
      </w:pPr>
      <w:r>
        <w:rPr>
          <w:rFonts w:ascii="Times New Roman" w:hAnsi="Times New Roman"/>
          <w:kern w:val="2"/>
          <w:sz w:val="32"/>
        </w:rPr>
        <w:t>充分落实《关于进一步促进云南省房地产市场止跌回稳平稳健康发展的指导意见》、《关于推进云南省商品房去库存的若干意见》、《关于贯彻落实促进房地产市场平稳健康发展契税优惠政策的通知》等政策要求</w:t>
      </w:r>
      <w:r>
        <w:rPr>
          <w:rFonts w:ascii="Times New Roman" w:hAnsi="Times New Roman"/>
          <w:kern w:val="2"/>
          <w:sz w:val="32"/>
          <w:lang w:val="zh-CN"/>
        </w:rPr>
        <w:t>，</w:t>
      </w:r>
      <w:r>
        <w:rPr>
          <w:rFonts w:ascii="Times New Roman" w:hAnsi="Times New Roman"/>
          <w:kern w:val="2"/>
          <w:sz w:val="32"/>
        </w:rPr>
        <w:t>指导各县（市）用好房地产调控自主权，因城施策、精准施策，调减限制性措施，实行降息、增贷、减税等政策措施</w:t>
      </w:r>
      <w:r>
        <w:rPr>
          <w:rFonts w:ascii="Times New Roman" w:hAnsi="Times New Roman"/>
          <w:kern w:val="2"/>
          <w:sz w:val="32"/>
          <w:lang w:val="zh-CN"/>
        </w:rPr>
        <w:t>，强化</w:t>
      </w:r>
      <w:r>
        <w:rPr>
          <w:rFonts w:ascii="Times New Roman" w:hAnsi="Times New Roman"/>
          <w:kern w:val="2"/>
          <w:sz w:val="32"/>
        </w:rPr>
        <w:t>州级</w:t>
      </w:r>
      <w:r>
        <w:rPr>
          <w:rFonts w:ascii="Times New Roman" w:hAnsi="Times New Roman"/>
          <w:kern w:val="2"/>
          <w:sz w:val="32"/>
          <w:lang w:val="zh-CN"/>
        </w:rPr>
        <w:t>相关部门和市（县）政府协同，</w:t>
      </w:r>
      <w:r>
        <w:rPr>
          <w:rFonts w:ascii="Times New Roman" w:hAnsi="Times New Roman"/>
          <w:kern w:val="2"/>
          <w:sz w:val="32"/>
        </w:rPr>
        <w:t>推动住房市场的健康、稳定、可持续发展</w:t>
      </w:r>
      <w:r>
        <w:rPr>
          <w:rFonts w:ascii="Times New Roman" w:hAnsi="Times New Roman"/>
          <w:kern w:val="2"/>
          <w:sz w:val="32"/>
          <w:lang w:val="zh-CN"/>
        </w:rPr>
        <w:t>。</w:t>
      </w:r>
    </w:p>
    <w:p w14:paraId="6BFECC40">
      <w:pPr>
        <w:numPr>
          <w:ilvl w:val="0"/>
          <w:numId w:val="7"/>
        </w:numPr>
        <w:spacing w:line="600" w:lineRule="exact"/>
        <w:rPr>
          <w:rFonts w:ascii="Times New Roman" w:hAnsi="Times New Roman" w:eastAsia="方正楷体_GBK" w:cs="Times New Roman"/>
          <w:lang w:val="zh-CN"/>
        </w:rPr>
      </w:pPr>
      <w:r>
        <w:rPr>
          <w:rFonts w:ascii="Times New Roman" w:hAnsi="Times New Roman" w:eastAsia="方正楷体_GBK" w:cs="Times New Roman"/>
          <w:lang w:val="zh-CN"/>
        </w:rPr>
        <w:t>有效发挥住房公积金支持作用</w:t>
      </w:r>
    </w:p>
    <w:p w14:paraId="4799BB18">
      <w:pPr>
        <w:pStyle w:val="8"/>
        <w:widowControl/>
        <w:shd w:val="clear" w:color="auto" w:fill="FFFFFF"/>
        <w:spacing w:beforeAutospacing="0" w:afterAutospacing="0" w:line="600" w:lineRule="exact"/>
        <w:rPr>
          <w:rFonts w:ascii="Times New Roman" w:hAnsi="Times New Roman"/>
          <w:kern w:val="2"/>
          <w:sz w:val="32"/>
          <w:lang w:val="zh-CN"/>
        </w:rPr>
      </w:pPr>
      <w:r>
        <w:rPr>
          <w:rFonts w:ascii="Times New Roman" w:hAnsi="Times New Roman"/>
          <w:kern w:val="2"/>
          <w:sz w:val="32"/>
          <w:lang w:val="zh-CN"/>
        </w:rPr>
        <w:t>扩大住房公积金制度覆盖范围，大力推进灵活就业人员参加住房公积金制度，惠及更广泛就业群体。优化住房公积金使用政策，助力构建房地产发展新模式。紧盯数据质量提升，加快推进住房公积金数字化发展。健全风险防控长效机制，统筹发展和安全。扎实推进“高效办成一件事”，提升住房公积金服务标准化规范化便利化水平。夯实行业发展基础，赋能地方提升为民服务能力。</w:t>
      </w:r>
    </w:p>
    <w:p w14:paraId="01E97721">
      <w:pPr>
        <w:numPr>
          <w:ilvl w:val="0"/>
          <w:numId w:val="7"/>
        </w:numPr>
        <w:spacing w:line="600" w:lineRule="exact"/>
        <w:rPr>
          <w:rFonts w:ascii="Times New Roman" w:hAnsi="Times New Roman" w:eastAsia="方正楷体_GBK" w:cs="Times New Roman"/>
          <w:lang w:val="zh-CN"/>
        </w:rPr>
      </w:pPr>
      <w:r>
        <w:rPr>
          <w:rFonts w:ascii="Times New Roman" w:hAnsi="Times New Roman" w:eastAsia="方正楷体_GBK" w:cs="Times New Roman"/>
          <w:lang w:val="zh-CN"/>
        </w:rPr>
        <w:t>大力实施系列促销活动</w:t>
      </w:r>
    </w:p>
    <w:p w14:paraId="09B2551B">
      <w:pPr>
        <w:pStyle w:val="8"/>
        <w:widowControl/>
        <w:shd w:val="clear" w:color="auto" w:fill="FFFFFF"/>
        <w:spacing w:beforeAutospacing="0" w:afterAutospacing="0" w:line="600" w:lineRule="exact"/>
        <w:rPr>
          <w:rFonts w:ascii="Times New Roman" w:hAnsi="Times New Roman"/>
          <w:kern w:val="2"/>
          <w:sz w:val="32"/>
          <w:lang w:val="zh-CN"/>
        </w:rPr>
      </w:pPr>
      <w:r>
        <w:rPr>
          <w:rFonts w:ascii="Times New Roman" w:hAnsi="Times New Roman"/>
          <w:kern w:val="2"/>
          <w:sz w:val="32"/>
          <w:lang w:val="zh-CN"/>
        </w:rPr>
        <w:t>认真落实202</w:t>
      </w:r>
      <w:r>
        <w:rPr>
          <w:rFonts w:hint="eastAsia" w:ascii="Times New Roman" w:hAnsi="Times New Roman"/>
          <w:kern w:val="2"/>
          <w:sz w:val="32"/>
          <w:lang w:val="zh-CN"/>
        </w:rPr>
        <w:t>6</w:t>
      </w:r>
      <w:r>
        <w:rPr>
          <w:rFonts w:ascii="Times New Roman" w:hAnsi="Times New Roman"/>
          <w:kern w:val="2"/>
          <w:sz w:val="32"/>
          <w:lang w:val="zh-CN"/>
        </w:rPr>
        <w:t>年全省商品房精准营和宣传计划，组织做好线上线下房地产交易展示。通过精准营销、以房兴业、租售并举等方式消化商品住宅、商办、车位库存。以“好地方＋好房子”为主题，优化增量、盘活存量。优化线上线下服务模式，逐步实现线下“一窗受理”，积极推动线上“一网通办”，不断压减办理时长和办事成本。</w:t>
      </w:r>
    </w:p>
    <w:p w14:paraId="1F48A10A">
      <w:pPr>
        <w:numPr>
          <w:ilvl w:val="0"/>
          <w:numId w:val="7"/>
        </w:numPr>
        <w:spacing w:line="600" w:lineRule="exact"/>
        <w:rPr>
          <w:rFonts w:ascii="Times New Roman" w:hAnsi="Times New Roman" w:eastAsia="方正楷体_GBK" w:cs="Times New Roman"/>
          <w:lang w:val="zh-CN"/>
        </w:rPr>
      </w:pPr>
      <w:r>
        <w:rPr>
          <w:rFonts w:ascii="Times New Roman" w:hAnsi="Times New Roman" w:eastAsia="方正楷体_GBK" w:cs="Times New Roman"/>
          <w:lang w:val="zh-CN"/>
        </w:rPr>
        <w:t>完善房地产融资方式</w:t>
      </w:r>
      <w:r>
        <w:rPr>
          <w:rFonts w:ascii="Times New Roman" w:hAnsi="Times New Roman" w:eastAsia="方正楷体_GBK" w:cs="Times New Roman"/>
        </w:rPr>
        <w:t>和</w:t>
      </w:r>
      <w:r>
        <w:rPr>
          <w:rFonts w:ascii="Times New Roman" w:hAnsi="Times New Roman" w:eastAsia="方正楷体_GBK" w:cs="Times New Roman"/>
          <w:lang w:val="zh-CN"/>
        </w:rPr>
        <w:t>全过程监管</w:t>
      </w:r>
    </w:p>
    <w:p w14:paraId="7651BDEF">
      <w:pPr>
        <w:pStyle w:val="8"/>
        <w:widowControl/>
        <w:shd w:val="clear" w:color="auto" w:fill="FFFFFF"/>
        <w:spacing w:beforeAutospacing="0" w:afterAutospacing="0" w:line="600" w:lineRule="exact"/>
        <w:rPr>
          <w:rFonts w:ascii="Times New Roman" w:hAnsi="Times New Roman"/>
          <w:kern w:val="2"/>
          <w:sz w:val="32"/>
          <w:lang w:val="zh-CN"/>
        </w:rPr>
      </w:pPr>
      <w:r>
        <w:rPr>
          <w:rFonts w:ascii="Times New Roman" w:hAnsi="Times New Roman"/>
          <w:kern w:val="2"/>
          <w:sz w:val="32"/>
          <w:lang w:val="zh-CN"/>
        </w:rPr>
        <w:t>持续落实房地产融资“白名单”制度，促进更多白名单项目授信审批、融资落地。分类分批推动合规项目“应进尽进”，努力扩大“白名单”覆盖范围，让更多住房开发项目纳入“白名单”适用配套支持政策，促进房地产融资协调机制常态化运行，推动项目加快建设交付，保障购房人合法权益。优化准入监管、开发监管、主体监管、资金监管、退出监管、协同监管，完善住房租赁房产中介机构管理，整治房地产市场秩序，切实维护群众合法权益。</w:t>
      </w:r>
    </w:p>
    <w:p w14:paraId="1618B230">
      <w:pPr>
        <w:numPr>
          <w:ilvl w:val="0"/>
          <w:numId w:val="7"/>
        </w:numPr>
        <w:spacing w:line="600" w:lineRule="exact"/>
        <w:rPr>
          <w:rFonts w:ascii="Times New Roman" w:hAnsi="Times New Roman" w:eastAsia="方正楷体_GBK" w:cs="Times New Roman"/>
          <w:lang w:val="zh-CN"/>
        </w:rPr>
      </w:pPr>
      <w:r>
        <w:rPr>
          <w:rFonts w:ascii="Times New Roman" w:hAnsi="Times New Roman" w:eastAsia="方正楷体_GBK" w:cs="Times New Roman"/>
          <w:lang w:val="zh-CN"/>
        </w:rPr>
        <w:t>完善体制机制</w:t>
      </w:r>
    </w:p>
    <w:p w14:paraId="430E0479">
      <w:pPr>
        <w:pStyle w:val="8"/>
        <w:widowControl/>
        <w:shd w:val="clear" w:color="auto" w:fill="FFFFFF"/>
        <w:spacing w:beforeAutospacing="0" w:afterAutospacing="0" w:line="600" w:lineRule="exact"/>
        <w:rPr>
          <w:rFonts w:ascii="Times New Roman" w:hAnsi="Times New Roman"/>
          <w:kern w:val="2"/>
          <w:sz w:val="32"/>
          <w:lang w:val="zh-CN"/>
        </w:rPr>
      </w:pPr>
      <w:r>
        <w:rPr>
          <w:rFonts w:ascii="Times New Roman" w:hAnsi="Times New Roman"/>
          <w:kern w:val="2"/>
          <w:sz w:val="32"/>
          <w:lang w:val="zh-CN"/>
        </w:rPr>
        <w:t>推行“高效办成一件事”改革，整合办事事项，将购房涉及的多个单事项合并为一个联办事项，减少申请材料和办理环节，缩短办理时限，优化流程、简便程序，实现“放心购、安心购、省心购”。以好房子为导向，构建支持住房品质提升的制度体系，大力发展顺应人民群众新期待的优质住房。</w:t>
      </w:r>
    </w:p>
    <w:p w14:paraId="526D2CC4">
      <w:pPr>
        <w:spacing w:line="600" w:lineRule="exact"/>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37888">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49F1D">
                          <w:pPr>
                            <w:pStyle w:val="6"/>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749F1D">
                    <w:pPr>
                      <w:pStyle w:val="6"/>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DDC3">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9B7D">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349A">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C9C8">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3C7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B4386"/>
    <w:multiLevelType w:val="singleLevel"/>
    <w:tmpl w:val="A1BB4386"/>
    <w:lvl w:ilvl="0" w:tentative="0">
      <w:start w:val="1"/>
      <w:numFmt w:val="decimal"/>
      <w:suff w:val="nothing"/>
      <w:lvlText w:val="%1."/>
      <w:lvlJc w:val="left"/>
      <w:pPr>
        <w:ind w:left="425" w:hanging="425"/>
      </w:pPr>
      <w:rPr>
        <w:rFonts w:hint="default"/>
      </w:rPr>
    </w:lvl>
  </w:abstractNum>
  <w:abstractNum w:abstractNumId="1">
    <w:nsid w:val="F1F6E29F"/>
    <w:multiLevelType w:val="singleLevel"/>
    <w:tmpl w:val="F1F6E29F"/>
    <w:lvl w:ilvl="0" w:tentative="0">
      <w:start w:val="1"/>
      <w:numFmt w:val="chineseCounting"/>
      <w:suff w:val="nothing"/>
      <w:lvlText w:val="（%1）"/>
      <w:lvlJc w:val="left"/>
      <w:pPr>
        <w:ind w:left="0" w:firstLine="420"/>
      </w:pPr>
      <w:rPr>
        <w:rFonts w:hint="eastAsia"/>
      </w:rPr>
    </w:lvl>
  </w:abstractNum>
  <w:abstractNum w:abstractNumId="2">
    <w:nsid w:val="F9E19F0B"/>
    <w:multiLevelType w:val="singleLevel"/>
    <w:tmpl w:val="F9E19F0B"/>
    <w:lvl w:ilvl="0" w:tentative="0">
      <w:start w:val="1"/>
      <w:numFmt w:val="chineseCounting"/>
      <w:suff w:val="nothing"/>
      <w:lvlText w:val="%1、"/>
      <w:lvlJc w:val="left"/>
      <w:pPr>
        <w:ind w:left="0" w:firstLine="420"/>
      </w:pPr>
      <w:rPr>
        <w:rFonts w:hint="eastAsia"/>
      </w:rPr>
    </w:lvl>
  </w:abstractNum>
  <w:abstractNum w:abstractNumId="3">
    <w:nsid w:val="102739EA"/>
    <w:multiLevelType w:val="singleLevel"/>
    <w:tmpl w:val="102739EA"/>
    <w:lvl w:ilvl="0" w:tentative="0">
      <w:start w:val="1"/>
      <w:numFmt w:val="decimal"/>
      <w:suff w:val="nothing"/>
      <w:lvlText w:val="%1."/>
      <w:lvlJc w:val="left"/>
      <w:pPr>
        <w:ind w:left="425" w:hanging="425"/>
      </w:pPr>
      <w:rPr>
        <w:rFonts w:hint="default"/>
      </w:rPr>
    </w:lvl>
  </w:abstractNum>
  <w:abstractNum w:abstractNumId="4">
    <w:nsid w:val="3142388F"/>
    <w:multiLevelType w:val="singleLevel"/>
    <w:tmpl w:val="3142388F"/>
    <w:lvl w:ilvl="0" w:tentative="0">
      <w:start w:val="1"/>
      <w:numFmt w:val="decimal"/>
      <w:suff w:val="nothing"/>
      <w:lvlText w:val="%1."/>
      <w:lvlJc w:val="left"/>
      <w:pPr>
        <w:ind w:left="425" w:hanging="425"/>
      </w:pPr>
      <w:rPr>
        <w:rFonts w:hint="default"/>
      </w:rPr>
    </w:lvl>
  </w:abstractNum>
  <w:abstractNum w:abstractNumId="5">
    <w:nsid w:val="52D9DE6C"/>
    <w:multiLevelType w:val="singleLevel"/>
    <w:tmpl w:val="52D9DE6C"/>
    <w:lvl w:ilvl="0" w:tentative="0">
      <w:start w:val="1"/>
      <w:numFmt w:val="chineseCounting"/>
      <w:suff w:val="nothing"/>
      <w:lvlText w:val="（%1）"/>
      <w:lvlJc w:val="left"/>
      <w:rPr>
        <w:rFonts w:hint="eastAsia"/>
      </w:rPr>
    </w:lvl>
  </w:abstractNum>
  <w:abstractNum w:abstractNumId="6">
    <w:nsid w:val="543FD02E"/>
    <w:multiLevelType w:val="singleLevel"/>
    <w:tmpl w:val="543FD02E"/>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2C"/>
    <w:rsid w:val="000A2E23"/>
    <w:rsid w:val="000D6953"/>
    <w:rsid w:val="00137E2C"/>
    <w:rsid w:val="001B2D00"/>
    <w:rsid w:val="00264A26"/>
    <w:rsid w:val="002939CE"/>
    <w:rsid w:val="003608AC"/>
    <w:rsid w:val="004C166D"/>
    <w:rsid w:val="005A28CD"/>
    <w:rsid w:val="00724F74"/>
    <w:rsid w:val="007B03F0"/>
    <w:rsid w:val="007F7940"/>
    <w:rsid w:val="008002F5"/>
    <w:rsid w:val="00802234"/>
    <w:rsid w:val="008612ED"/>
    <w:rsid w:val="008C3FD7"/>
    <w:rsid w:val="00A17AFA"/>
    <w:rsid w:val="00A343BB"/>
    <w:rsid w:val="00A81CC6"/>
    <w:rsid w:val="00A84D21"/>
    <w:rsid w:val="00C00ED3"/>
    <w:rsid w:val="00CA3032"/>
    <w:rsid w:val="00CC4985"/>
    <w:rsid w:val="00D45787"/>
    <w:rsid w:val="00D47507"/>
    <w:rsid w:val="00DD3320"/>
    <w:rsid w:val="00DF04E9"/>
    <w:rsid w:val="00DF2FFA"/>
    <w:rsid w:val="00E03747"/>
    <w:rsid w:val="00E60A05"/>
    <w:rsid w:val="00E62AA8"/>
    <w:rsid w:val="00ED1781"/>
    <w:rsid w:val="00F62934"/>
    <w:rsid w:val="00F80E79"/>
    <w:rsid w:val="04455AD9"/>
    <w:rsid w:val="04DD3F64"/>
    <w:rsid w:val="080A5211"/>
    <w:rsid w:val="08DA7443"/>
    <w:rsid w:val="0AFB1087"/>
    <w:rsid w:val="0F6B063F"/>
    <w:rsid w:val="137058FB"/>
    <w:rsid w:val="15F96130"/>
    <w:rsid w:val="18453A6F"/>
    <w:rsid w:val="18DE3A5A"/>
    <w:rsid w:val="19183A7D"/>
    <w:rsid w:val="201240C1"/>
    <w:rsid w:val="20B35DBD"/>
    <w:rsid w:val="26B1068F"/>
    <w:rsid w:val="28A3543A"/>
    <w:rsid w:val="28FE21EF"/>
    <w:rsid w:val="2B0100FD"/>
    <w:rsid w:val="2B3B22C6"/>
    <w:rsid w:val="2E0D7975"/>
    <w:rsid w:val="329144A3"/>
    <w:rsid w:val="32BA12BD"/>
    <w:rsid w:val="34711E4F"/>
    <w:rsid w:val="3545329B"/>
    <w:rsid w:val="361033C7"/>
    <w:rsid w:val="361A6463"/>
    <w:rsid w:val="368D7D10"/>
    <w:rsid w:val="3C404268"/>
    <w:rsid w:val="3CA078D1"/>
    <w:rsid w:val="3E835C1D"/>
    <w:rsid w:val="3F3E5024"/>
    <w:rsid w:val="3FA71E00"/>
    <w:rsid w:val="40CC1DB3"/>
    <w:rsid w:val="434075BC"/>
    <w:rsid w:val="45643F5B"/>
    <w:rsid w:val="489F4D85"/>
    <w:rsid w:val="4D387556"/>
    <w:rsid w:val="4F255263"/>
    <w:rsid w:val="52F03877"/>
    <w:rsid w:val="55B31E70"/>
    <w:rsid w:val="56877847"/>
    <w:rsid w:val="5BB205F5"/>
    <w:rsid w:val="5C6844FB"/>
    <w:rsid w:val="5DF71793"/>
    <w:rsid w:val="60632955"/>
    <w:rsid w:val="66CD648F"/>
    <w:rsid w:val="66ED0C0D"/>
    <w:rsid w:val="6F6B005A"/>
    <w:rsid w:val="7122667C"/>
    <w:rsid w:val="72865B80"/>
    <w:rsid w:val="729C2032"/>
    <w:rsid w:val="734C0DB6"/>
    <w:rsid w:val="747A795C"/>
    <w:rsid w:val="74BB7193"/>
    <w:rsid w:val="74F94C8D"/>
    <w:rsid w:val="75C75DD4"/>
    <w:rsid w:val="773C532B"/>
    <w:rsid w:val="77B434F2"/>
    <w:rsid w:val="797572B9"/>
    <w:rsid w:val="7B602A51"/>
    <w:rsid w:val="7EE36A72"/>
    <w:rsid w:val="7F0F7867"/>
    <w:rsid w:val="7FB2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eastAsia="方正仿宋_GBK"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line="600" w:lineRule="exact"/>
      <w:outlineLvl w:val="1"/>
    </w:pPr>
    <w:rPr>
      <w:rFonts w:ascii="Arial" w:hAnsi="Arial" w:eastAsia="方正楷体_GBK"/>
    </w:rPr>
  </w:style>
  <w:style w:type="paragraph" w:styleId="4">
    <w:name w:val="heading 3"/>
    <w:basedOn w:val="1"/>
    <w:next w:val="1"/>
    <w:unhideWhenUsed/>
    <w:qFormat/>
    <w:uiPriority w:val="0"/>
    <w:pPr>
      <w:keepNext/>
      <w:keepLines/>
      <w:spacing w:line="600" w:lineRule="exact"/>
      <w:outlineLvl w:val="2"/>
    </w:pPr>
    <w:rPr>
      <w:b/>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表格"/>
    <w:basedOn w:val="1"/>
    <w:qFormat/>
    <w:uiPriority w:val="0"/>
    <w:pPr>
      <w:ind w:firstLine="0" w:firstLineChars="0"/>
      <w:jc w:val="center"/>
      <w:textAlignment w:val="center"/>
    </w:pPr>
    <w:rPr>
      <w:rFonts w:hint="eastAsia" w:ascii="Times New Roman" w:hAnsi="Times New Roman" w:eastAsia="仿宋" w:cs="Times New Roman"/>
      <w:sz w:val="24"/>
    </w:rPr>
  </w:style>
  <w:style w:type="character" w:customStyle="1" w:styleId="14">
    <w:name w:val="font11"/>
    <w:basedOn w:val="10"/>
    <w:qFormat/>
    <w:uiPriority w:val="0"/>
    <w:rPr>
      <w:rFonts w:hint="default" w:ascii="Segoe UI" w:hAnsi="Segoe UI" w:eastAsia="Segoe UI" w:cs="Segoe UI"/>
      <w:color w:val="222222"/>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12</Pages>
  <Words>4213</Words>
  <Characters>4479</Characters>
  <Lines>38</Lines>
  <Paragraphs>10</Paragraphs>
  <TotalTime>146</TotalTime>
  <ScaleCrop>false</ScaleCrop>
  <LinksUpToDate>false</LinksUpToDate>
  <CharactersWithSpaces>4480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2024-11-13T13:17:00Z</dcterms:created>
  <dc:creator>刘俊宇</dc:creator>
  <cp:lastModifiedBy>YYunZ</cp:lastModifiedBy>
  <cp:lastPrinted>2026-04-01T09:28:00Z</cp:lastPrinted>
  <dcterms:modified xsi:type="dcterms:W3CDTF">2026-04-01T09:41:30Z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8AE98A4BDA5A438C9A8F61F2AB52C6F2_13</vt:lpwstr>
  </property>
  <property fmtid="{D5CDD505-2E9C-101B-9397-08002B2CF9AE}" pid="4" name="KSOTemplateDocerSaveRecord">
    <vt:lpwstr>eyJoZGlkIjoiMTBkYmU1ZjdkZGZmOGUyNzRkMjBiMzQ2ZjhlNzQ3ZDkiLCJ1c2VySWQiOiIxMTM1NDk3MjQ4In0=</vt:lpwstr>
  </property>
</Properties>
</file>