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-565785</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txbxContent>
                      </wps:txbx>
                      <wps:bodyPr rot="0" spcFirstLastPara="0" vertOverflow="overflow" horzOverflow="overflow" vert="horz" wrap="none" lIns="91440" tIns="45720" rIns="91440" bIns="4572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5.45pt;margin-top:-44.55pt;height:144pt;width:144pt;mso-wrap-distance-bottom:0pt;mso-wrap-distance-left:9pt;mso-wrap-distance-right:9pt;mso-wrap-distance-top:0pt;mso-wrap-style:none;z-index:251658240;mso-width-relative:page;mso-height-relative:page;" fillcolor="#FFFFFF [3201]" filled="t" stroked="f" coordsize="21600,21600" o:gfxdata="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M6wxxHaAAAACwEAAA8AAAAAAAAA&#10;AQAgAAAAOAAAAGRycy9kb3ducmV2LnhtbFBLAQIUABQAAAAIAIdO4kBUCuIZMgIAAFIEAAAOAAAA&#10;AAAAAAEAIAAAAD8BAABkcnMvZTJvRG9jLnhtbFBLBQYAAAAABgAGAFkBAADjBQAAAAA=&#10;">
                <v:fill on="t" focussize="0,0"/>
                <v:stroke on="f" weight="0.5pt"/>
                <v:imagedata o:title=""/>
                <o:lock v:ext="edit" aspectratio="f"/>
                <v:textbox style="mso-fit-shape-to-text:t;">
                  <w:txbxContent>
                    <w:p>
                      <w:pPr>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txbxContent>
                </v:textbox>
                <w10:wrap type="square"/>
              </v:shape>
            </w:pict>
          </mc:Fallback>
        </mc:AlternateConten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德宏州住房和城乡建设局关于《德宏州进一步促进房地产健康发展若干措施</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（征求意见稿）》的起草说明</w:t>
      </w:r>
    </w:p>
    <w:p/>
    <w:p>
      <w:pPr>
        <w:spacing w:line="600" w:lineRule="exact"/>
        <w:rPr>
          <w:rFonts w:ascii="黑体" w:hAnsi="黑体" w:eastAsia="黑体"/>
          <w:sz w:val="32"/>
          <w:szCs w:val="32"/>
        </w:rPr>
      </w:pPr>
      <w:r>
        <w:rPr>
          <w:rFonts w:hint="eastAsia" w:ascii="黑体" w:hAnsi="黑体" w:eastAsia="黑体"/>
          <w:sz w:val="32"/>
          <w:szCs w:val="32"/>
        </w:rPr>
        <w:t>一、起草背景和过程</w:t>
      </w:r>
    </w:p>
    <w:p>
      <w:pPr>
        <w:spacing w:line="6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sz w:val="32"/>
          <w:szCs w:val="32"/>
        </w:rPr>
        <w:t>为认真贯彻中央经济工作会议关于着力稳定房地产市场的决策部署，落实省委、省政府关于推进房地产高质量发展的工作要求，</w:t>
      </w:r>
      <w:r>
        <w:rPr>
          <w:rFonts w:hint="eastAsia" w:ascii="Times New Roman" w:hAnsi="Times New Roman" w:eastAsia="方正仿宋_GBK" w:cs="Times New Roman"/>
          <w:sz w:val="32"/>
          <w:szCs w:val="32"/>
        </w:rPr>
        <w:t>严格</w:t>
      </w:r>
      <w:r>
        <w:rPr>
          <w:rFonts w:ascii="Times New Roman" w:hAnsi="Times New Roman" w:eastAsia="方正仿宋_GBK" w:cs="Times New Roman"/>
          <w:sz w:val="32"/>
          <w:szCs w:val="32"/>
        </w:rPr>
        <w:t>对标省级9部门《关于云南省进一步促进房地产市场加快回稳向好的指导意见》 （云建房〔2025〕94号）文件精神，通过因城施策制定精准有效的政策措施</w:t>
      </w:r>
      <w:r>
        <w:rPr>
          <w:rFonts w:hint="eastAsia" w:ascii="Times New Roman" w:hAnsi="Times New Roman" w:eastAsia="方正仿宋_GBK" w:cs="Times New Roman"/>
          <w:sz w:val="32"/>
          <w:szCs w:val="32"/>
        </w:rPr>
        <w:t>，结合我州实际，州住房城乡建设局起草了《德宏州进一步促进房地产健康发展若干措施（征求意见）》（以下简称“《措施》”）。《措施》具体起草流程为：2025年12月30日完成初稿，2026年1月4日，向各县（市）住房城乡建设局征求意见，并进行修改完善；于2026年1月6日、2026年2月6日、2026年3月22日分别向各县（市）人民政府及13家州级部门征求意见，并均做了修改完善；期间于2026年1月26日，州住房城乡建设局会同自然资源等部门召开房地产行业政策制定征求意见座谈会，充分征求房地产开发企业和经纪机构意见，并进行修改完善；2026年3月22日，州政府分管领导召集财政、住房城乡建设及教体等部门就学位和购房一次性补贴等问题专题研究并修改；2026年3月23日，州政府副秘书长召集人民银行德宏分行、住房城乡建设局及对缅交流合作办公室就境外人员购房进行专题研究；5县（市）人</w:t>
      </w:r>
      <w:r>
        <w:rPr>
          <w:rFonts w:hint="eastAsia" w:ascii="Times New Roman" w:hAnsi="Times New Roman" w:eastAsia="方正仿宋_GBK" w:cs="Times New Roman"/>
          <w:color w:val="auto"/>
          <w:sz w:val="32"/>
          <w:szCs w:val="32"/>
        </w:rPr>
        <w:t>民政府和13家州级部门意见：5县（市）人民政府和11家州级部门无意见，州</w:t>
      </w:r>
      <w:r>
        <w:rPr>
          <w:rFonts w:hint="eastAsia" w:ascii="Times New Roman" w:hAnsi="Times New Roman" w:eastAsia="方正仿宋_GBK" w:cs="Times New Roman"/>
          <w:color w:val="auto"/>
          <w:sz w:val="32"/>
          <w:szCs w:val="32"/>
          <w:lang w:eastAsia="zh-CN"/>
        </w:rPr>
        <w:t>教育体育局</w:t>
      </w:r>
      <w:r>
        <w:rPr>
          <w:rFonts w:hint="eastAsia" w:ascii="Times New Roman" w:hAnsi="Times New Roman" w:eastAsia="方正仿宋_GBK" w:cs="Times New Roman"/>
          <w:color w:val="auto"/>
          <w:sz w:val="32"/>
          <w:szCs w:val="32"/>
        </w:rPr>
        <w:t>、州司法局提出意见建议</w:t>
      </w:r>
      <w:r>
        <w:rPr>
          <w:rFonts w:hint="eastAsia" w:ascii="Times New Roman" w:hAnsi="Times New Roman" w:eastAsia="方正仿宋_GBK" w:cs="Times New Roman"/>
          <w:color w:val="auto"/>
          <w:sz w:val="32"/>
          <w:szCs w:val="32"/>
          <w:lang w:eastAsia="zh-CN"/>
        </w:rPr>
        <w:t>均采纳</w:t>
      </w:r>
      <w:r>
        <w:rPr>
          <w:rFonts w:hint="eastAsia" w:ascii="Times New Roman" w:hAnsi="Times New Roman" w:eastAsia="方正仿宋_GBK" w:cs="Times New Roman"/>
          <w:color w:val="auto"/>
          <w:sz w:val="32"/>
          <w:szCs w:val="32"/>
        </w:rPr>
        <w:t>。2026年3月24日，州政府召集州住房城乡建设局、州财政局、州自然资源局、州税务局等相关州直单位再次对《措施》进行专题研究；2026年3月25日、3月26日，州住房城乡建设局分别向州政府、州委进行了《措施》起草过程报告，并再次进行修改完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二、主要框架和核心内容</w:t>
      </w:r>
    </w:p>
    <w:p>
      <w:pPr>
        <w:spacing w:line="600" w:lineRule="exact"/>
        <w:ind w:firstLine="640" w:firstLineChars="200"/>
        <w:rPr>
          <w:rFonts w:ascii="Times New Roman" w:hAnsi="Times New Roman" w:eastAsia="方正仿宋_GBK" w:cs="Times New Roman"/>
          <w:sz w:val="32"/>
          <w:szCs w:val="32"/>
        </w:rPr>
      </w:pPr>
      <w:r>
        <w:rPr>
          <w:rFonts w:hint="eastAsia" w:ascii="方正仿宋_GBK" w:hAnsi="黑体" w:eastAsia="方正仿宋_GBK" w:cs="Times New Roman"/>
          <w:sz w:val="32"/>
          <w:szCs w:val="32"/>
        </w:rPr>
        <w:t>本《措施》</w:t>
      </w:r>
      <w:r>
        <w:rPr>
          <w:rFonts w:ascii="Times New Roman" w:hAnsi="Times New Roman" w:eastAsia="方正仿宋_GBK" w:cs="Times New Roman"/>
          <w:sz w:val="32"/>
          <w:szCs w:val="32"/>
        </w:rPr>
        <w:t>共分为七大板块十</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条内容</w:t>
      </w:r>
      <w:r>
        <w:rPr>
          <w:rFonts w:hint="eastAsia" w:ascii="Times New Roman" w:hAnsi="Times New Roman" w:eastAsia="方正仿宋_GBK" w:cs="Times New Roman"/>
          <w:sz w:val="32"/>
          <w:szCs w:val="32"/>
        </w:rPr>
        <w:t>。</w:t>
      </w:r>
    </w:p>
    <w:p>
      <w:pPr>
        <w:autoSpaceDE w:val="0"/>
        <w:spacing w:line="600" w:lineRule="exact"/>
        <w:ind w:firstLine="640" w:firstLineChars="200"/>
        <w:rPr>
          <w:rFonts w:ascii="Times New Roman" w:hAnsi="Times New Roman" w:eastAsia="方正仿宋_GBK" w:cs="Times New Roman"/>
          <w:sz w:val="32"/>
          <w:szCs w:val="32"/>
        </w:rPr>
      </w:pPr>
      <w:bookmarkStart w:id="0" w:name="OLE_LINK35"/>
      <w:bookmarkStart w:id="1" w:name="OLE_LINK36"/>
      <w:bookmarkStart w:id="2" w:name="OLE_LINK37"/>
      <w:bookmarkStart w:id="3" w:name="OLE_LINK34"/>
      <w:r>
        <w:rPr>
          <w:rFonts w:hint="eastAsia" w:ascii="方正楷体_GBK" w:hAnsi="方正楷体_GBK" w:eastAsia="方正楷体_GBK" w:cs="方正楷体_GBK"/>
          <w:sz w:val="32"/>
          <w:szCs w:val="32"/>
        </w:rPr>
        <w:t>（一）强化土地开发管理。</w:t>
      </w:r>
      <w:bookmarkStart w:id="4" w:name="OLE_LINK15"/>
      <w:bookmarkStart w:id="5" w:name="OLE_LINK16"/>
      <w:r>
        <w:rPr>
          <w:rFonts w:hint="eastAsia" w:ascii="Times New Roman" w:hAnsi="Times New Roman" w:eastAsia="方正仿宋_GBK" w:cs="Times New Roman"/>
          <w:sz w:val="32"/>
          <w:szCs w:val="32"/>
        </w:rPr>
        <w:t>涵盖</w:t>
      </w:r>
      <w:r>
        <w:rPr>
          <w:rFonts w:ascii="Times New Roman" w:hAnsi="Times New Roman" w:eastAsia="方正仿宋_GBK" w:cs="Times New Roman"/>
          <w:sz w:val="32"/>
          <w:szCs w:val="32"/>
        </w:rPr>
        <w:t>严控新增</w:t>
      </w:r>
      <w:r>
        <w:rPr>
          <w:rFonts w:hint="eastAsia" w:ascii="Times New Roman" w:hAnsi="Times New Roman" w:eastAsia="方正仿宋_GBK" w:cs="Times New Roman"/>
          <w:sz w:val="32"/>
          <w:szCs w:val="32"/>
        </w:rPr>
        <w:t>商品房</w:t>
      </w:r>
      <w:r>
        <w:rPr>
          <w:rFonts w:ascii="Times New Roman" w:hAnsi="Times New Roman" w:eastAsia="方正仿宋_GBK" w:cs="Times New Roman"/>
          <w:sz w:val="32"/>
          <w:szCs w:val="32"/>
        </w:rPr>
        <w:t>用地</w:t>
      </w:r>
      <w:r>
        <w:rPr>
          <w:rFonts w:hint="eastAsia" w:ascii="Times New Roman" w:hAnsi="Times New Roman" w:eastAsia="方正仿宋_GBK" w:cs="Times New Roman"/>
          <w:sz w:val="32"/>
          <w:szCs w:val="32"/>
        </w:rPr>
        <w:t>供应</w:t>
      </w:r>
      <w:r>
        <w:rPr>
          <w:rFonts w:ascii="Times New Roman" w:hAnsi="Times New Roman" w:eastAsia="方正仿宋_GBK" w:cs="Times New Roman"/>
          <w:sz w:val="32"/>
          <w:szCs w:val="32"/>
        </w:rPr>
        <w:t>，支持土地合作开发、规范分割宗地开发或转让、允许用地性质调整</w:t>
      </w:r>
      <w:r>
        <w:rPr>
          <w:rFonts w:hint="eastAsia" w:ascii="Times New Roman" w:hAnsi="Times New Roman" w:eastAsia="方正仿宋_GBK" w:cs="Times New Roman"/>
          <w:sz w:val="32"/>
          <w:szCs w:val="32"/>
        </w:rPr>
        <w:t>等内容，</w:t>
      </w:r>
      <w:r>
        <w:rPr>
          <w:rFonts w:ascii="Times New Roman" w:hAnsi="Times New Roman" w:eastAsia="方正仿宋_GBK" w:cs="Times New Roman"/>
          <w:sz w:val="32"/>
          <w:szCs w:val="32"/>
        </w:rPr>
        <w:t>多措并举盘活闲置存量土地。</w:t>
      </w:r>
    </w:p>
    <w:bookmarkEnd w:id="0"/>
    <w:bookmarkEnd w:id="1"/>
    <w:bookmarkEnd w:id="2"/>
    <w:bookmarkEnd w:id="3"/>
    <w:bookmarkEnd w:id="4"/>
    <w:bookmarkEnd w:id="5"/>
    <w:p>
      <w:pPr>
        <w:autoSpaceDE w:val="0"/>
        <w:spacing w:line="600" w:lineRule="exact"/>
        <w:ind w:firstLine="640" w:firstLineChars="200"/>
        <w:rPr>
          <w:rFonts w:ascii="Times New Roman" w:hAnsi="Times New Roman" w:eastAsia="方正仿宋_GBK" w:cs="Times New Roman"/>
          <w:sz w:val="32"/>
          <w:szCs w:val="32"/>
        </w:rPr>
      </w:pPr>
      <w:bookmarkStart w:id="6" w:name="OLE_LINK5"/>
      <w:bookmarkStart w:id="7" w:name="OLE_LINK33"/>
      <w:bookmarkStart w:id="8" w:name="OLE_LINK6"/>
      <w:r>
        <w:rPr>
          <w:rFonts w:hint="eastAsia" w:ascii="方正楷体_GBK" w:hAnsi="方正楷体_GBK" w:eastAsia="方正楷体_GBK" w:cs="方正楷体_GBK"/>
          <w:sz w:val="32"/>
          <w:szCs w:val="32"/>
        </w:rPr>
        <w:t>（二）提升规划服务能力。</w:t>
      </w:r>
      <w:r>
        <w:rPr>
          <w:rFonts w:hint="eastAsia" w:ascii="Times New Roman" w:hAnsi="Times New Roman" w:eastAsia="方正仿宋_GBK" w:cs="Times New Roman"/>
          <w:sz w:val="32"/>
          <w:szCs w:val="32"/>
        </w:rPr>
        <w:t>围绕</w:t>
      </w:r>
      <w:r>
        <w:rPr>
          <w:rFonts w:ascii="Times New Roman" w:hAnsi="Times New Roman" w:eastAsia="方正仿宋_GBK" w:cs="Times New Roman"/>
          <w:sz w:val="32"/>
          <w:szCs w:val="32"/>
        </w:rPr>
        <w:t>优化容积率计算规则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简化规划变更流程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鼓励首层</w:t>
      </w:r>
      <w:r>
        <w:rPr>
          <w:rFonts w:hint="eastAsia" w:ascii="Times New Roman" w:hAnsi="Times New Roman" w:eastAsia="方正仿宋_GBK" w:cs="Times New Roman"/>
          <w:sz w:val="32"/>
          <w:szCs w:val="32"/>
        </w:rPr>
        <w:t>多样化利用等措施，着力破解规划服务中的瓶颈制约。</w:t>
      </w:r>
    </w:p>
    <w:bookmarkEnd w:id="6"/>
    <w:bookmarkEnd w:id="7"/>
    <w:bookmarkEnd w:id="8"/>
    <w:p>
      <w:pPr>
        <w:autoSpaceDE w:val="0"/>
        <w:spacing w:line="600" w:lineRule="exact"/>
        <w:ind w:firstLine="640" w:firstLineChars="200"/>
        <w:rPr>
          <w:rFonts w:ascii="方正楷体_GBK" w:hAnsi="方正楷体_GBK" w:eastAsia="方正楷体_GBK" w:cs="方正楷体_GBK"/>
          <w:sz w:val="32"/>
          <w:szCs w:val="32"/>
        </w:rPr>
      </w:pPr>
      <w:bookmarkStart w:id="9" w:name="OLE_LINK18"/>
      <w:bookmarkStart w:id="10" w:name="OLE_LINK17"/>
      <w:bookmarkStart w:id="11" w:name="OLE_LINK19"/>
      <w:bookmarkStart w:id="12" w:name="OLE_LINK21"/>
      <w:bookmarkStart w:id="13" w:name="OLE_LINK7"/>
      <w:bookmarkStart w:id="14" w:name="OLE_LINK20"/>
      <w:r>
        <w:rPr>
          <w:rFonts w:hint="eastAsia" w:ascii="方正楷体_GBK" w:hAnsi="方正楷体_GBK" w:eastAsia="方正楷体_GBK" w:cs="方正楷体_GBK"/>
          <w:sz w:val="32"/>
          <w:szCs w:val="32"/>
        </w:rPr>
        <w:t>（三）</w:t>
      </w:r>
      <w:bookmarkStart w:id="15" w:name="OLE_LINK1"/>
      <w:bookmarkStart w:id="16" w:name="OLE_LINK2"/>
      <w:r>
        <w:rPr>
          <w:rFonts w:hint="eastAsia" w:ascii="方正楷体_GBK" w:hAnsi="方正楷体_GBK" w:eastAsia="方正楷体_GBK" w:cs="方正楷体_GBK"/>
          <w:sz w:val="32"/>
          <w:szCs w:val="32"/>
        </w:rPr>
        <w:t>持续加大公积金和金融支持力度。</w:t>
      </w:r>
      <w:bookmarkEnd w:id="9"/>
      <w:bookmarkEnd w:id="10"/>
      <w:bookmarkEnd w:id="11"/>
      <w:r>
        <w:rPr>
          <w:rFonts w:hint="eastAsia" w:ascii="方正仿宋_GBK" w:hAnsi="方正楷体_GBK" w:eastAsia="方正仿宋_GBK" w:cs="方正楷体_GBK"/>
          <w:sz w:val="32"/>
          <w:szCs w:val="32"/>
        </w:rPr>
        <w:t>从发挥公积金作用、强化金融支持、</w:t>
      </w:r>
      <w:bookmarkEnd w:id="15"/>
      <w:bookmarkEnd w:id="16"/>
      <w:r>
        <w:rPr>
          <w:rFonts w:hint="eastAsia" w:ascii="Times New Roman" w:hAnsi="Times New Roman" w:eastAsia="方正仿宋_GBK" w:cs="Times New Roman"/>
          <w:sz w:val="32"/>
          <w:szCs w:val="32"/>
        </w:rPr>
        <w:t>便利境外购房三方面，强化金融对房地产市场的支撑作用。</w:t>
      </w:r>
    </w:p>
    <w:bookmarkEnd w:id="12"/>
    <w:bookmarkEnd w:id="13"/>
    <w:bookmarkEnd w:id="14"/>
    <w:p>
      <w:pPr>
        <w:autoSpaceDE w:val="0"/>
        <w:spacing w:line="600" w:lineRule="exact"/>
        <w:ind w:firstLine="640" w:firstLineChars="200"/>
        <w:rPr>
          <w:rFonts w:ascii="Times New Roman" w:hAnsi="Times New Roman" w:eastAsia="方正仿宋_GBK" w:cs="Times New Roman"/>
          <w:sz w:val="32"/>
          <w:szCs w:val="32"/>
        </w:rPr>
      </w:pPr>
      <w:bookmarkStart w:id="17" w:name="OLE_LINK25"/>
      <w:bookmarkStart w:id="18" w:name="OLE_LINK9"/>
      <w:bookmarkStart w:id="19" w:name="OLE_LINK8"/>
      <w:bookmarkStart w:id="20" w:name="OLE_LINK24"/>
      <w:r>
        <w:rPr>
          <w:rFonts w:hint="eastAsia" w:ascii="方正楷体_GBK" w:hAnsi="方正楷体_GBK" w:eastAsia="方正楷体_GBK" w:cs="方正楷体_GBK"/>
          <w:sz w:val="32"/>
          <w:szCs w:val="32"/>
        </w:rPr>
        <w:t>（四）扩大住房消费支持力度。</w:t>
      </w:r>
      <w:r>
        <w:rPr>
          <w:rFonts w:ascii="Times New Roman" w:hAnsi="Times New Roman" w:eastAsia="方正仿宋_GBK" w:cs="Times New Roman"/>
          <w:sz w:val="32"/>
          <w:szCs w:val="32"/>
        </w:rPr>
        <w:t>实施州级购房一次性补贴</w:t>
      </w:r>
      <w:r>
        <w:rPr>
          <w:rFonts w:hint="eastAsia" w:ascii="Times New Roman" w:hAnsi="Times New Roman" w:eastAsia="方正仿宋_GBK" w:cs="Times New Roman"/>
          <w:sz w:val="32"/>
          <w:szCs w:val="32"/>
        </w:rPr>
        <w:t>，延长住宅维修资金优惠政策。</w:t>
      </w:r>
    </w:p>
    <w:bookmarkEnd w:id="17"/>
    <w:bookmarkEnd w:id="18"/>
    <w:bookmarkEnd w:id="19"/>
    <w:bookmarkEnd w:id="20"/>
    <w:p>
      <w:pPr>
        <w:autoSpaceDE w:val="0"/>
        <w:spacing w:line="600" w:lineRule="exact"/>
        <w:ind w:firstLine="640" w:firstLineChars="200"/>
        <w:rPr>
          <w:rFonts w:ascii="方正楷体_GBK" w:hAnsi="方正楷体_GBK" w:eastAsia="方正楷体_GBK" w:cs="方正楷体_GBK"/>
          <w:sz w:val="32"/>
          <w:szCs w:val="32"/>
        </w:rPr>
      </w:pPr>
      <w:bookmarkStart w:id="21" w:name="OLE_LINK26"/>
      <w:bookmarkStart w:id="22" w:name="OLE_LINK27"/>
      <w:bookmarkStart w:id="23" w:name="OLE_LINK3"/>
      <w:r>
        <w:rPr>
          <w:rFonts w:hint="eastAsia" w:ascii="方正楷体_GBK" w:hAnsi="方正楷体_GBK" w:eastAsia="方正楷体_GBK" w:cs="方正楷体_GBK"/>
          <w:sz w:val="32"/>
          <w:szCs w:val="32"/>
        </w:rPr>
        <w:t>（五）强化政务服务工作</w:t>
      </w:r>
      <w:bookmarkEnd w:id="21"/>
      <w:bookmarkEnd w:id="22"/>
      <w:r>
        <w:rPr>
          <w:rFonts w:hint="eastAsia" w:ascii="方正楷体_GBK" w:hAnsi="方正楷体_GBK" w:eastAsia="方正楷体_GBK" w:cs="方正楷体_GBK"/>
          <w:sz w:val="32"/>
          <w:szCs w:val="32"/>
        </w:rPr>
        <w:t>。</w:t>
      </w:r>
      <w:bookmarkStart w:id="24" w:name="OLE_LINK4"/>
      <w:bookmarkStart w:id="25" w:name="OLE_LINK12"/>
      <w:r>
        <w:rPr>
          <w:rFonts w:hint="eastAsia" w:ascii="方正仿宋_GBK" w:hAnsi="方正楷体_GBK" w:eastAsia="方正仿宋_GBK" w:cs="方正楷体_GBK"/>
          <w:sz w:val="32"/>
          <w:szCs w:val="32"/>
        </w:rPr>
        <w:t>从优化项目建设审批流程、</w:t>
      </w:r>
      <w:r>
        <w:rPr>
          <w:rFonts w:ascii="Times New Roman" w:hAnsi="Times New Roman" w:eastAsia="方正仿宋_GBK" w:cs="Times New Roman"/>
          <w:sz w:val="32"/>
          <w:szCs w:val="32"/>
        </w:rPr>
        <w:t>调整商品房预售资金</w:t>
      </w:r>
      <w:r>
        <w:rPr>
          <w:rFonts w:hint="eastAsia" w:ascii="Times New Roman" w:hAnsi="Times New Roman" w:eastAsia="方正仿宋_GBK" w:cs="Times New Roman"/>
          <w:sz w:val="32"/>
          <w:szCs w:val="32"/>
        </w:rPr>
        <w:t>使用、</w:t>
      </w:r>
      <w:r>
        <w:rPr>
          <w:rFonts w:ascii="Times New Roman" w:hAnsi="Times New Roman" w:eastAsia="方正仿宋_GBK" w:cs="Times New Roman"/>
          <w:sz w:val="32"/>
          <w:szCs w:val="32"/>
        </w:rPr>
        <w:t>放宽业主子女入学条件</w:t>
      </w:r>
      <w:r>
        <w:rPr>
          <w:rFonts w:hint="eastAsia" w:ascii="Times New Roman" w:hAnsi="Times New Roman" w:eastAsia="方正仿宋_GBK" w:cs="Times New Roman"/>
          <w:sz w:val="32"/>
          <w:szCs w:val="32"/>
        </w:rPr>
        <w:t>等方面施策，进一步提升政务服务效能。</w:t>
      </w:r>
    </w:p>
    <w:bookmarkEnd w:id="23"/>
    <w:bookmarkEnd w:id="24"/>
    <w:bookmarkEnd w:id="25"/>
    <w:p>
      <w:pPr>
        <w:autoSpaceDE w:val="0"/>
        <w:spacing w:line="600" w:lineRule="exact"/>
        <w:ind w:firstLine="640" w:firstLineChars="200"/>
        <w:rPr>
          <w:rFonts w:ascii="Times New Roman" w:hAnsi="Times New Roman" w:eastAsia="方正仿宋_GBK" w:cs="Times New Roman"/>
          <w:sz w:val="32"/>
          <w:szCs w:val="32"/>
        </w:rPr>
      </w:pPr>
      <w:bookmarkStart w:id="26" w:name="OLE_LINK30"/>
      <w:r>
        <w:rPr>
          <w:rFonts w:hint="eastAsia" w:ascii="方正楷体_GBK" w:hAnsi="方正楷体_GBK" w:eastAsia="方正楷体_GBK" w:cs="方正楷体_GBK"/>
          <w:sz w:val="32"/>
          <w:szCs w:val="32"/>
        </w:rPr>
        <w:t>（六）培育旅居宜居发展新业态。</w:t>
      </w:r>
      <w:bookmarkEnd w:id="26"/>
      <w:bookmarkStart w:id="27" w:name="OLE_LINK28"/>
      <w:bookmarkStart w:id="28" w:name="OLE_LINK10"/>
      <w:bookmarkStart w:id="29" w:name="OLE_LINK11"/>
      <w:bookmarkStart w:id="30" w:name="OLE_LINK29"/>
      <w:r>
        <w:rPr>
          <w:rFonts w:hint="eastAsia" w:ascii="Times New Roman" w:hAnsi="Times New Roman" w:eastAsia="方正仿宋_GBK" w:cs="Times New Roman"/>
          <w:sz w:val="32"/>
          <w:szCs w:val="32"/>
        </w:rPr>
        <w:t>围绕</w:t>
      </w:r>
      <w:r>
        <w:rPr>
          <w:rFonts w:ascii="Times New Roman" w:hAnsi="Times New Roman" w:eastAsia="方正仿宋_GBK" w:cs="Times New Roman"/>
          <w:sz w:val="32"/>
          <w:szCs w:val="32"/>
        </w:rPr>
        <w:t>打造城镇旅居新模式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强化旅居地产政策扶持，拓宽城镇旅居市场发展渠道。</w:t>
      </w:r>
    </w:p>
    <w:p>
      <w:pPr>
        <w:autoSpaceDE w:val="0"/>
        <w:spacing w:line="60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w:t>
      </w:r>
      <w:bookmarkStart w:id="31" w:name="OLE_LINK14"/>
      <w:bookmarkStart w:id="32" w:name="OLE_LINK13"/>
      <w:r>
        <w:rPr>
          <w:rFonts w:hint="eastAsia" w:ascii="方正楷体_GBK" w:hAnsi="方正楷体_GBK" w:eastAsia="方正楷体_GBK" w:cs="方正楷体_GBK"/>
          <w:sz w:val="32"/>
          <w:szCs w:val="32"/>
        </w:rPr>
        <w:t>加大高品质“好房子”供给。</w:t>
      </w:r>
      <w:bookmarkEnd w:id="27"/>
      <w:bookmarkEnd w:id="28"/>
      <w:bookmarkEnd w:id="29"/>
      <w:bookmarkEnd w:id="30"/>
      <w:r>
        <w:rPr>
          <w:rFonts w:ascii="Times New Roman" w:hAnsi="Times New Roman" w:eastAsia="方正仿宋_GBK" w:cs="Times New Roman"/>
          <w:sz w:val="32"/>
          <w:szCs w:val="32"/>
        </w:rPr>
        <w:t>推动“好房子”建管营，强化物业信用评价及退出机制，搭建智慧物业平台，提升物业“好服务”。</w:t>
      </w:r>
    </w:p>
    <w:p>
      <w:pPr>
        <w:autoSpaceDE w:val="0"/>
        <w:spacing w:line="600" w:lineRule="exact"/>
        <w:ind w:firstLine="640" w:firstLineChars="200"/>
        <w:rPr>
          <w:rFonts w:ascii="Times New Roman" w:hAnsi="Times New Roman" w:eastAsia="方正仿宋_GBK" w:cs="Times New Roman"/>
          <w:sz w:val="32"/>
          <w:szCs w:val="32"/>
        </w:rPr>
      </w:pPr>
    </w:p>
    <w:p>
      <w:pPr>
        <w:autoSpaceDE w:val="0"/>
        <w:spacing w:line="600" w:lineRule="exact"/>
        <w:ind w:firstLine="640" w:firstLineChars="200"/>
        <w:rPr>
          <w:rFonts w:ascii="Times New Roman" w:hAnsi="Times New Roman" w:eastAsia="方正仿宋_GBK" w:cs="Times New Roman"/>
          <w:sz w:val="32"/>
          <w:szCs w:val="32"/>
        </w:rPr>
      </w:pPr>
    </w:p>
    <w:bookmarkEnd w:id="31"/>
    <w:bookmarkEnd w:id="32"/>
    <w:p>
      <w:pPr>
        <w:spacing w:line="600" w:lineRule="exact"/>
        <w:ind w:firstLine="640" w:firstLineChars="20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bookmarkStart w:id="33" w:name="_GoBack"/>
      <w:bookmarkEnd w:id="33"/>
      <w:r>
        <w:rPr>
          <w:rFonts w:ascii="Times New Roman" w:hAnsi="Times New Roman" w:eastAsia="方正仿宋_GBK" w:cs="Times New Roman"/>
          <w:sz w:val="32"/>
          <w:szCs w:val="32"/>
        </w:rPr>
        <w:t>德宏州住房和城乡建设局</w:t>
      </w:r>
    </w:p>
    <w:p>
      <w:pPr>
        <w:spacing w:line="600" w:lineRule="exact"/>
        <w:ind w:firstLine="640" w:firstLineChars="20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2026年3月31日</w:t>
      </w:r>
      <w:r>
        <w:rPr>
          <w:rFonts w:hint="eastAsia" w:ascii="Times New Roman" w:hAnsi="Times New Roman" w:eastAsia="方正仿宋_GBK" w:cs="Times New Roman"/>
          <w:sz w:val="32"/>
          <w:szCs w:val="32"/>
        </w:rPr>
        <w:t xml:space="preserve">   </w:t>
      </w:r>
    </w:p>
    <w:p>
      <w:pPr>
        <w:spacing w:line="600" w:lineRule="exact"/>
        <w:ind w:firstLine="640" w:firstLineChars="200"/>
        <w:jc w:val="right"/>
        <w:rPr>
          <w:rFonts w:ascii="Times New Roman" w:hAnsi="Times New Roman" w:eastAsia="方正仿宋_GBK" w:cs="Times New Roman"/>
          <w:sz w:val="32"/>
          <w:szCs w:val="32"/>
        </w:rPr>
      </w:pPr>
    </w:p>
    <w:sectPr>
      <w:footerReference r:id="rId3" w:type="default"/>
      <w:pgSz w:w="11906" w:h="16838"/>
      <w:pgMar w:top="2098" w:right="164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0D"/>
    <w:rsid w:val="0015222F"/>
    <w:rsid w:val="0024690D"/>
    <w:rsid w:val="002F35F5"/>
    <w:rsid w:val="0031310F"/>
    <w:rsid w:val="003C3214"/>
    <w:rsid w:val="0074788E"/>
    <w:rsid w:val="00914513"/>
    <w:rsid w:val="009F25FB"/>
    <w:rsid w:val="00CA24D3"/>
    <w:rsid w:val="00CE306B"/>
    <w:rsid w:val="00DD4225"/>
    <w:rsid w:val="00F70010"/>
    <w:rsid w:val="67DD484F"/>
    <w:rsid w:val="69EC6A8D"/>
    <w:rsid w:val="7C0E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3</Pages>
  <Words>185</Words>
  <Characters>1055</Characters>
  <Lines>8</Lines>
  <Paragraphs>2</Paragraphs>
  <TotalTime>1</TotalTime>
  <ScaleCrop>false</ScaleCrop>
  <LinksUpToDate>false</LinksUpToDate>
  <CharactersWithSpaces>1238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2026-03-31T10:54:00Z</dcterms:created>
  <dc:creator>User</dc:creator>
  <cp:lastModifiedBy>州住建局</cp:lastModifiedBy>
  <cp:lastPrinted>2026-03-31T14:40:14Z</cp:lastPrinted>
  <dcterms:modified xsi:type="dcterms:W3CDTF">2026-03-31T14:40:15Z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