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880" w:firstLineChars="200"/>
        <w:jc w:val="center"/>
        <w:textAlignment w:val="auto"/>
        <w:outlineLvl w:val="9"/>
        <w:rPr>
          <w:rFonts w:hint="eastAsia" w:ascii="黑体" w:hAnsi="黑体" w:eastAsia="黑体" w:cs="黑体"/>
          <w:b w:val="0"/>
          <w:bCs w:val="0"/>
          <w:sz w:val="44"/>
          <w:szCs w:val="44"/>
          <w:lang w:eastAsia="zh-CN"/>
        </w:rPr>
      </w:pPr>
      <w:r>
        <w:rPr>
          <w:rFonts w:hint="eastAsia" w:ascii="黑体" w:hAnsi="黑体" w:eastAsia="黑体" w:cs="黑体"/>
          <w:b w:val="0"/>
          <w:bCs w:val="0"/>
          <w:sz w:val="44"/>
          <w:szCs w:val="44"/>
          <w:lang w:eastAsia="zh-CN"/>
        </w:rPr>
        <w:t>工程建设许可阶段办事指南</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一、工程建设许可事项</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城市、镇规划区范围内的工程建设项目：建设工程设计方案审查，建设工程规划类许可证。</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乡、村庄规划区范围内的工程建设项目：乡村建设规划许可证。</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可在工程建设许可阶段并行的审批事项：防空地下室设计方案审批，危险化学品建设项目安全设施设计审查，生产、储存烟花爆竹建设项目安全设施设计审查，金属冶炼建设项目安全设施设计审查，非煤矿山建设项目安全设施设计审查，超限高层建筑工程抗震设防审批，房屋建筑工程与市政工程初步设计审批，水运工程设计文件审查，新建、扩建、改建建设工程避免危害气象探测环境审批，水利基建项目初步设计文件审批，防雷装置设计审核，城镇污水排入排水管网许可，排水许可证，房屋建筑和市政工程项目报建备案，房屋建筑和市政工程招标文件备案，房屋建筑和市政工程招标投标情况书面报告备案，房屋建筑和市政工程合同登记，煤矿建设项目设计审批，公路建设项目设计审批，公路、水运工程招标文件、招标结果备案。</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二、工程建设许可阶段涉及部门</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自然资源部门、人防部门、应急管理部门、住房城乡建设部门、交通运输部门、气象部门、水利部门、能源部门。</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三、适用范围</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适用范围主要包括全省范围内的房屋建筑和城市基础设施等工程建设项目，不包括保密、军事、核工程以及国际金融组织、外国政府贷款项目等特殊工程和交通、水利、能源等领域的重大工程</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四、受理机构</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牵头部门：德宏州自然资源部门</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参与部门：人防部门、中介服务部门</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五、受理窗口</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线下平台：各地自行明确实体大厅具体地址及联系电话。</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线上平台：云南省</w:t>
      </w:r>
      <w:bookmarkStart w:id="0" w:name="_GoBack"/>
      <w:bookmarkEnd w:id="0"/>
      <w:r>
        <w:rPr>
          <w:rFonts w:hint="eastAsia" w:ascii="方正仿宋_GBK" w:hAnsi="方正仿宋_GBK" w:eastAsia="方正仿宋_GBK" w:cs="方正仿宋_GBK"/>
          <w:b w:val="0"/>
          <w:bCs w:val="0"/>
          <w:sz w:val="32"/>
          <w:szCs w:val="32"/>
          <w:lang w:eastAsia="zh-CN"/>
        </w:rPr>
        <w:t>政务服务网上大厅工程建设项目审批专区</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六、相关依据</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《德宏州工程建设项目审批制度改革实施方案》</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sz w:val="32"/>
          <w:szCs w:val="32"/>
          <w:lang w:eastAsia="zh-CN"/>
        </w:rPr>
      </w:pPr>
      <w:r>
        <w:rPr>
          <w:rFonts w:hint="eastAsia" w:ascii="方正仿宋_GBK" w:hAnsi="方正仿宋_GBK" w:eastAsia="方正仿宋_GBK" w:cs="方正仿宋_GBK"/>
          <w:b w:val="0"/>
          <w:bCs w:val="0"/>
          <w:sz w:val="32"/>
          <w:szCs w:val="32"/>
          <w:lang w:eastAsia="zh-CN"/>
        </w:rPr>
        <w:t>申请表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textAlignment w:val="auto"/>
        <w:outlineLvl w:val="9"/>
        <w:rPr>
          <w:rFonts w:hint="eastAsia" w:ascii="方正仿宋_GBK" w:hAnsi="方正仿宋_GBK" w:eastAsia="方正仿宋_GBK" w:cs="方正仿宋_GBK"/>
          <w:b w:val="0"/>
          <w:bCs w:val="0"/>
          <w:sz w:val="32"/>
          <w:szCs w:val="32"/>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DF99AA"/>
    <w:multiLevelType w:val="singleLevel"/>
    <w:tmpl w:val="5DDF99AA"/>
    <w:lvl w:ilvl="0" w:tentative="0">
      <w:start w:val="7"/>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334E69"/>
    <w:rsid w:val="08C26191"/>
    <w:rsid w:val="26334E69"/>
    <w:rsid w:val="368265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2019-12-02T12:53:00Z</dcterms:created>
  <dc:creator>聂磊</dc:creator>
  <cp:lastModifiedBy>聂磊</cp:lastModifiedBy>
  <dcterms:modified xsi:type="dcterms:W3CDTF">2020-07-10T02:48:15Z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