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设置大型户外广告审批（县级权限）（初次申请）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设置大型户外广告审批（县级权限）【000117139003】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设置大型户外广告审批（县级权限）（初次申请）(00011713900301)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  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xml:space="preserve">（1）《城市市容和环境卫生管理条例》第十一条在城市中设置户外广告、标语牌、画廊、橱窗等，应当内容健康、外型美观，并定期维修、油饰或者拆除。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大型户外广告的设置必须征得城市人民政府市容环境卫生行政主管部门同意后，按照有关规定办理审批手续。</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（2）《中华人民共和国广告法》第四十一条县级以上地方人民政府应当组织有关部门对利用户外场所、空间、设施等发布户外广告的监督管理，制定户外广告设置规划和安全要求。</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BFDC9B4"/>
    <w:rsid w:val="51ED8E5B"/>
    <w:rsid w:val="6DFB3B10"/>
    <w:rsid w:val="7FBF2D5A"/>
    <w:rsid w:val="DBFDC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2023-11-03T07:47:00Z</dcterms:created>
  <dc:creator>user</dc:creator>
  <cp:lastModifiedBy>lenovo</cp:lastModifiedBy>
  <dcterms:modified xsi:type="dcterms:W3CDTF">2023-11-28T03:15:44Z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