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540" w:lineRule="exact"/>
        <w:jc w:val="center"/>
        <w:outlineLvl w:val="0"/>
        <w:rPr>
          <w:rFonts w:hint="eastAsia" w:ascii="方正小标宋_GBK" w:hAnsi="方正小标宋_GBK" w:eastAsia="方正小标宋_GBK" w:cs="方正小标宋_GBK"/>
          <w:sz w:val="40"/>
          <w:szCs w:val="40"/>
        </w:rPr>
      </w:pPr>
    </w:p>
    <w:p>
      <w:pPr>
        <w:spacing w:after="156" w:afterLines="50" w:line="540" w:lineRule="exact"/>
        <w:jc w:val="center"/>
        <w:outlineLvl w:val="0"/>
        <w:rPr>
          <w:rFonts w:hint="eastAsia" w:ascii="宋体" w:hAnsi="宋体" w:cs="宋体"/>
          <w:color w:val="FF0000"/>
          <w:sz w:val="28"/>
          <w:szCs w:val="28"/>
        </w:rPr>
      </w:pPr>
      <w:r>
        <w:rPr>
          <w:rFonts w:hint="eastAsia" w:ascii="方正小标宋_GBK" w:hAnsi="方正小标宋_GBK" w:eastAsia="方正小标宋_GBK" w:cs="方正小标宋_GBK"/>
          <w:sz w:val="40"/>
          <w:szCs w:val="40"/>
        </w:rPr>
        <w:t>行政许可事项实施规范</w:t>
      </w:r>
    </w:p>
    <w:p>
      <w:pPr>
        <w:spacing w:after="156" w:afterLines="50" w:line="540" w:lineRule="exact"/>
        <w:jc w:val="center"/>
        <w:outlineLvl w:val="0"/>
        <w:rPr>
          <w:rFonts w:hint="eastAsia" w:ascii="宋体" w:hAnsi="宋体" w:cs="宋体"/>
          <w:sz w:val="28"/>
          <w:szCs w:val="28"/>
        </w:rPr>
      </w:pPr>
      <w:r>
        <w:rPr>
          <w:rFonts w:hint="eastAsia" w:ascii="方正楷体_GBK" w:hAnsi="方正楷体_GBK" w:eastAsia="方正楷体_GBK" w:cs="方正楷体_GBK"/>
          <w:sz w:val="32"/>
          <w:szCs w:val="32"/>
        </w:rPr>
        <w:t>（基本要素）</w:t>
      </w:r>
    </w:p>
    <w:p>
      <w:pPr>
        <w:spacing w:after="156" w:afterLines="50" w:line="540" w:lineRule="exact"/>
        <w:jc w:val="center"/>
        <w:outlineLvl w:val="0"/>
        <w:rPr>
          <w:rFonts w:hint="eastAsia" w:ascii="宋体" w:hAnsi="宋体" w:cs="宋体"/>
          <w:color w:val="FF0000"/>
          <w:sz w:val="28"/>
          <w:szCs w:val="28"/>
        </w:rPr>
      </w:pP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一、行政许可事项名称：</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由于工程施工、设备维修等原因确需停止供水的审批</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二、主管部门：</w:t>
      </w:r>
    </w:p>
    <w:p>
      <w:pPr>
        <w:spacing w:line="540" w:lineRule="exact"/>
        <w:ind w:firstLine="420"/>
        <w:outlineLvl w:val="1"/>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住房城乡建设</w:t>
      </w:r>
      <w:r>
        <w:rPr>
          <w:rFonts w:hint="eastAsia" w:ascii="方正仿宋_GBK" w:hAnsi="方正仿宋_GBK" w:eastAsia="方正仿宋_GBK" w:cs="方正仿宋_GBK"/>
          <w:sz w:val="28"/>
          <w:szCs w:val="28"/>
          <w:lang w:eastAsia="zh-CN"/>
        </w:rPr>
        <w:t>局</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三、实施机关：</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县级</w:t>
      </w:r>
      <w:r>
        <w:rPr>
          <w:rFonts w:hint="eastAsia" w:ascii="方正仿宋_GBK" w:hAnsi="方正仿宋_GBK" w:eastAsia="方正仿宋_GBK" w:cs="方正仿宋_GBK"/>
          <w:sz w:val="28"/>
          <w:szCs w:val="28"/>
        </w:rPr>
        <w:t>城市政府供水部门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四、设定和实施依据：</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《城市供水条例》</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五、子项：</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由于工程施工、设备维修等原因确需停止供水的审批（县级权限）</w:t>
      </w: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由于工程施工、设备维修等原因确需停止供水的审批（县级权限）</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【000117126003】</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一、基本要素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由于工程施工、设备维修等原因确需停止供水的审批【00011712600Y】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由于工程施工、设备维修等原因确需停止供水的审批（县级权限）【000117126003】</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1.由于工程施工、设备维修等原因确需停止供水的审批（县级权限）(00011712600301)(审核通过)</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（1）《城市供水条例》  (中华人民共和国国务院令第158号，根据2020年3月27日《国务院关于修改和废止部分行政法规的决定》第二次修订)第二十二条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（1）《城市供水条例》  (中华人民共和国国务院令第158号，根据2020年3月27日《国务院关于修改和废止部分行政法规的决定》第二次修订)第二十二条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（1）《城市供水条例》  (中华人民共和国国务院令第158号，根据2020年3月27日《国务院关于修改和废止部分行政法规的决定》第二次修订)第二十二条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（2）《城市供水条例》  (中华人民共和国国务院令第158号，根据2020年3月27日《国务院关于修改和废止部分行政法规的决定》第二次修订)第三十三条</w:t>
      </w:r>
    </w:p>
    <w:p>
      <w:pPr>
        <w:spacing w:line="600" w:lineRule="exact"/>
        <w:ind w:firstLine="562" w:firstLineChars="200"/>
        <w:rPr>
          <w:rFonts w:hint="eastAsia" w:ascii="Times New Roman" w:hAnsi="Times New Roman" w:eastAsia="仿宋GB2312"/>
          <w:b w:val="0"/>
          <w:bCs w:val="0"/>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hint="eastAsia" w:ascii="Times New Roman" w:hAnsi="Times New Roman" w:eastAsia="仿宋GB2312"/>
          <w:b w:val="0"/>
          <w:bCs w:val="0"/>
          <w:sz w:val="28"/>
          <w:szCs w:val="28"/>
        </w:rPr>
        <w:t>县级城市政府供水部门</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bookmarkStart w:id="0" w:name="_GoBack"/>
      <w:bookmarkEnd w:id="0"/>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停止供水（气）、改（迁、拆）公共供水的审批,由于工程施工、设备维修等原因确需停止供水的审批</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15.要素统一情况：</w:t>
      </w:r>
      <w:r>
        <w:rPr>
          <w:rFonts w:hint="eastAsia" w:ascii="方正仿宋_GBK" w:hAnsi="方正仿宋_GBK" w:eastAsia="方正仿宋_GBK" w:cs="方正仿宋_GBK"/>
          <w:sz w:val="28"/>
          <w:szCs w:val="28"/>
        </w:rPr>
        <w:t>全部要素全国统一</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二、行政许可事项类型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由于工程施工、设备维修等原因确需停止供水</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停水和恢复供水方案合理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应急预案真实可靠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（1）《城市供水条例》  (中华人民共和国国务院令第158号，根据2020年3月27日《国务院关于修改和废止部分行政法规的决定》第二次修订)第二十二条城市自来水供水企业和自建设施对外供水的企业应当保持不间断供水。由于工程施工、设备维修等原因确需停止供水的，应当经城市供水行政主管部门批准并提前24小时通知用水单位和个人；因发生灾害或者紧急事故，不能提前通知的，应当在抢修的同时通知用水单位和个人，尽快恢复正常供水，并报告城市供水行政主管部门。</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企业法人,事业单位法人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精简许可条件和审批材料，优化审批流程，压减审批时限</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1.完善常态化监管机制，根据停水影响程度实施分级管理，对停水影响范围大、停水时间长的进行重点检查。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2.加强信息公开，要求城市自来水供水企业按规定提前24小时将停水情况通知用水单位和个人。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3.强化供水企业设施运行维护主体责任落实，加强停水管理，严格控制停水范围和停水时长，及时恢复正常供水，无法及时恢复的，应采取应急供水措施。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4.运用互联网和大数据技术，依托当地政务服务网上平台，实现动态监管。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5.拓宽公众参与监督的渠道和方式，发挥社会监督作用，鼓励用水单位和个人通过互联网、举报电话等方式参与监督。</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停水申请表</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停水和恢复供水方案</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应急预案</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（1）《城市供水条例》  (中华人民共和国国务院令第158号，根据2020年3月27日《国务院关于修改和废止部分行政法规的决定》第二次修订)第二十二条城市自来水供水企业和自建设施对外供水的企业应当保持不间断供水。由于工程施工、设备维修等原因确需停止供水的，应当经城市供水行政主管部门批准并提前24小时通知用水单位和个人；因发生灾害或者紧急事故，不能提前通知的，应当在抢修的同时通知用水单位和个人，尽快恢复正常供水，并报告城市供水行政主管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六、中介服务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七、审批程序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（1）《中华人民共和国行政许可法》第二十九条、第三十一条、第三十二条、第三十四条、第三十七条、第三十九条第二十九条　公民、法人或者其他组织从事特定活动，依法需要取得行政许可的，应当向行政机关提出申请。申请书需要采用格式文本的，行政机关应当向申请人提供行政许可申请书格式文本。申请书格式文本中不得包含与申请行政许可事项没有直接关系的内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申请人可以委托代理人提出行政许可申请。但是，依法应当由申请人到行政机关办公场所提出行政许可申请的除外。</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行政许可申请可以通过信函、电报、电传、传真、电子数据交换和电子邮件等方式提出。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第三十一条　申请人申请行政许可，应当如实向行政机关提交有关材料和反映真实情况，并对其申请材料实质内容的真实性负责。行政机关不得要求申请人提交与其申请的行政许可事项无关的技术资料和其他材料。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行政机关及其工作人员不得以转让技术作为取得行政许可的条件；不得在实施行政许可的过程中，直接或者间接地要求转让技术。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第三十二条　行政机关对申请人提出的行政许可申请，应当根据下列情况分别作出处理：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（一）申请事项依法不需要取得行政许可的，应当即时告知申请人不受理；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（二）申请事项依法不属于本行政机关职权范围的，应当即时作出不予受理的决定，并告知申请人向有关行政机关申请；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 （三）申请材料存在可以当场更正的错误的，应当允许申请人当场更正；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（四）申请材料不齐全或者不符合法定形式的，应当当场或者在五日内一次告知申请人需要补正的全部内容，逾期不告知的，自收到申请材料之日起即为受理；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（五）申请事项属于本行政机关职权范围，申请材料齐全、符合法定形式，或者申请人按照本行政机关的要求提交全部补正申请材料的，应当受理行政许可申请。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行政机关受理或者不予受理行政许可申请，应当出具加盖本行政机关专用印章和注明日期的书面凭证。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第三十四条　行政机关应当对申请人提交的申请材料进行审查。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申请人提交的申请材料齐全、符合法定形式，行政机关能够当场作出决定的，应当当场作出书面的行政许可决定。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根据法定条件和程序，需要对申请材料的实质内容进行核实的，行政机关应当指派两名以上工作人员进行核查。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第三十七条　行政机关对行政许可申请进行审查后，除当场作出行政许可决定的外，应当在法定期限内按照规定程序作出行政许可决定。 第三十八条　申请人的申请符合法定条件、标准的，行政机关应当依法作出准予行政许可的书面决定。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行政机关依法作出不予行政许可的书面决定的，应当说明理由，并告知申请人享有依法申请行政复议或者提起行政诉讼的权利。</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第三十九条　行政机关作出准予行政许可的决定，需要颁发行政许可证件的，应当向申请人颁发加盖本行政机关印章的下列行政许可证件：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    （一）许可证、执照或者其他许可证书；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    （二）资格证、资质证或者其他合格证书；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    （三）行政机关的批准文件或者证明文件；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    （四）法律、法规规定的其他行政许可证件。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    行政机关实施检验、检测、检疫的，可以在检验、检测、检疫合格的设备、设施、产品、物品上加贴标签或者加盖检验、检测、检疫印章。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八、受理和审批时限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5个工作日</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ascii="方正仿宋_GBK" w:hAnsi="方正仿宋_GBK" w:eastAsia="方正仿宋_GBK" w:cs="方正仿宋_GBK"/>
          <w:sz w:val="28"/>
          <w:szCs w:val="28"/>
        </w:rPr>
        <w:t>20</w:t>
      </w:r>
      <w:r>
        <w:rPr>
          <w:rFonts w:hint="eastAsia" w:ascii="方正仿宋_GBK" w:hAnsi="方正仿宋_GBK" w:eastAsia="方正仿宋_GBK" w:cs="方正仿宋_GBK"/>
          <w:sz w:val="28"/>
          <w:szCs w:val="28"/>
        </w:rPr>
        <w:t>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中华人民共和国行政许可法》第四十二条第一款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rPr>
        <w:t>5</w:t>
      </w:r>
      <w:r>
        <w:rPr>
          <w:rFonts w:ascii="方正仿宋_GBK" w:hAnsi="方正仿宋_GBK" w:eastAsia="方正仿宋_GBK" w:cs="方正仿宋_GBK"/>
          <w:sz w:val="28"/>
          <w:szCs w:val="28"/>
        </w:rPr>
        <w:t>个工作日</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九、收费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600" w:lineRule="exact"/>
        <w:ind w:firstLine="560" w:firstLineChars="200"/>
        <w:rPr>
          <w:rFonts w:hint="eastAsia" w:ascii="方正仿宋_GBK" w:hAnsi="方正仿宋_GBK" w:eastAsia="方正仿宋_GBK" w:cs="方正仿宋_GBK"/>
          <w:b/>
          <w:bCs/>
          <w:color w:val="FF0000"/>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批文</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由于工程施工、设备维修等原因确需停止供水的审批批文</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当次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（1）《城市供水条例》  (中华人民共和国国务院令第158号，根据2020年3月27日《国务院关于修改和废止部分行政法规的决定》第二次修订)第二十二条城市自来水供水企业和自建设施对外供水的企业应当保持不间断供水。由于工程施工、设备维修等原因确需停止供水的，应当经城市供水行政主管部门批准并提前24小时通知用水单位和个人；因发生灾害或者紧急事故，不能提前通知的，应当在抢修的同时通知用水单位和个人，尽快恢复正常供水，并报告城市供水行政主管部门。</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工程施工、设备维修等原因确需停止供水范围</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（1）《城市供水条例》  (中华人民共和国国务院令第158号，根据2020年3月27日《国务院关于修改和废止部分行政法规的决定》第二次修订)第二十二条城市自来水供水企业和自建设施对外供水的企业应当保持不间断供水。由于工程施工、设备维修等原因确需停止供水的，应当经城市供水行政主管部门批准并提前24小时通知用水单位和个人；因发生灾害或者紧急事故，不能提前通知的，应当在抢修的同时通知用水单位和个人，尽快恢复正常供水，并报告城市供水行政主管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十一、行政许可数量限制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十二、行政许可后年检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十三、行政许可后年报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十四、监管主体</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县级政府供水部门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《德宏州人民政府关于调整63项州级行政权力事项的决定》（德政发〔2021〕10号）附件2 州级不再实施，保留县级审核权限。</w:t>
      </w:r>
    </w:p>
    <w:p>
      <w:pPr>
        <w:spacing w:line="600" w:lineRule="exact"/>
        <w:ind w:firstLine="560" w:firstLineChars="200"/>
        <w:rPr>
          <w:rFonts w:hint="eastAsia" w:ascii="方正仿宋_GBK" w:hAnsi="方正仿宋_GBK" w:eastAsia="方正仿宋_GBK" w:cs="方正仿宋_GBK"/>
          <w:sz w:val="28"/>
          <w:szCs w:val="28"/>
        </w:rPr>
      </w:pPr>
    </w:p>
    <w:p>
      <w:pPr>
        <w:spacing w:line="600" w:lineRule="exact"/>
        <w:ind w:firstLine="560" w:firstLineChars="200"/>
        <w:rPr>
          <w:rFonts w:hint="eastAsia" w:ascii="方正仿宋_GBK" w:hAnsi="方正仿宋_GBK" w:eastAsia="方正仿宋_GBK" w:cs="方正仿宋_GBK"/>
          <w:sz w:val="28"/>
          <w:szCs w:val="28"/>
        </w:rPr>
      </w:pPr>
    </w:p>
    <w:p>
      <w:pPr>
        <w:spacing w:line="540" w:lineRule="exact"/>
        <w:outlineLvl w:val="1"/>
        <w:rPr>
          <w:rFonts w:ascii="Times New Roman" w:hAnsi="Times New Roman" w:eastAsia="黑体"/>
          <w:sz w:val="28"/>
          <w:szCs w:val="28"/>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DEAAD674"/>
    <w:rsid w:val="29910110"/>
    <w:rsid w:val="385F8475"/>
    <w:rsid w:val="5EB73734"/>
    <w:rsid w:val="734F05AF"/>
    <w:rsid w:val="7EBD4753"/>
    <w:rsid w:val="AA9DF2A7"/>
    <w:rsid w:val="DEAAD6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2023-11-16T01:10:00Z</dcterms:created>
  <dc:creator>user</dc:creator>
  <cp:lastModifiedBy>lenovo</cp:lastModifiedBy>
  <dcterms:modified xsi:type="dcterms:W3CDTF">2023-12-04T00:52:57Z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