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line="540" w:lineRule="exact"/>
        <w:jc w:val="center"/>
        <w:outlineLvl w:val="0"/>
        <w:rPr>
          <w:rFonts w:hint="eastAsia" w:ascii="方正小标宋_GBK" w:hAnsi="方正小标宋_GBK" w:eastAsia="方正小标宋_GBK" w:cs="方正小标宋_GBK"/>
          <w:sz w:val="40"/>
          <w:szCs w:val="40"/>
        </w:rPr>
      </w:pPr>
    </w:p>
    <w:p>
      <w:pPr>
        <w:spacing w:after="156" w:afterLines="50" w:line="540" w:lineRule="exact"/>
        <w:jc w:val="center"/>
        <w:outlineLvl w:val="0"/>
        <w:rPr>
          <w:rFonts w:hint="eastAsia" w:ascii="宋体" w:hAnsi="宋体" w:cs="宋体"/>
          <w:color w:val="FF0000"/>
          <w:sz w:val="28"/>
          <w:szCs w:val="28"/>
        </w:rPr>
      </w:pPr>
      <w:r>
        <w:rPr>
          <w:rFonts w:hint="eastAsia" w:ascii="方正小标宋_GBK" w:hAnsi="方正小标宋_GBK" w:eastAsia="方正小标宋_GBK" w:cs="方正小标宋_GBK"/>
          <w:sz w:val="40"/>
          <w:szCs w:val="40"/>
        </w:rPr>
        <w:t>行政许可事项实施规范</w:t>
      </w:r>
    </w:p>
    <w:p>
      <w:pPr>
        <w:spacing w:after="156" w:afterLines="50" w:line="540" w:lineRule="exact"/>
        <w:jc w:val="center"/>
        <w:outlineLvl w:val="0"/>
        <w:rPr>
          <w:rFonts w:hint="eastAsia" w:ascii="宋体" w:hAnsi="宋体" w:cs="宋体"/>
          <w:sz w:val="28"/>
          <w:szCs w:val="28"/>
        </w:rPr>
      </w:pPr>
      <w:r>
        <w:rPr>
          <w:rFonts w:hint="eastAsia" w:ascii="方正楷体_GBK" w:hAnsi="方正楷体_GBK" w:eastAsia="方正楷体_GBK" w:cs="方正楷体_GBK"/>
          <w:sz w:val="32"/>
          <w:szCs w:val="32"/>
        </w:rPr>
        <w:t>（基本要素）</w:t>
      </w:r>
    </w:p>
    <w:p>
      <w:pPr>
        <w:spacing w:after="156" w:afterLines="50" w:line="540" w:lineRule="exact"/>
        <w:jc w:val="center"/>
        <w:outlineLvl w:val="0"/>
        <w:rPr>
          <w:rFonts w:hint="eastAsia" w:ascii="宋体" w:hAnsi="宋体" w:cs="宋体"/>
          <w:color w:val="FF0000"/>
          <w:sz w:val="28"/>
          <w:szCs w:val="28"/>
        </w:rPr>
      </w:pP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一、行政许可事项名称：</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关闭、闲置、拆除城市环境卫生设施许可</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二、主管部门：</w:t>
      </w:r>
    </w:p>
    <w:p>
      <w:pPr>
        <w:spacing w:line="540" w:lineRule="exact"/>
        <w:ind w:firstLine="560" w:firstLineChars="200"/>
        <w:outlineLvl w:val="1"/>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eastAsia="zh-CN"/>
        </w:rPr>
        <w:t>州住房城乡建设局</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三、实施机关：</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县级环境卫生部门会同生态环境部门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四、设定和实施依据：</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1.《中华人民共和国固体废物污染环境防治法》</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2.《云南省人民政府关于调整1</w:t>
      </w:r>
      <w:r>
        <w:rPr>
          <w:rFonts w:ascii="方正仿宋_GBK" w:hAnsi="方正仿宋_GBK" w:eastAsia="方正仿宋_GBK" w:cs="方正仿宋_GBK"/>
          <w:sz w:val="28"/>
          <w:szCs w:val="28"/>
        </w:rPr>
        <w:t>12</w:t>
      </w:r>
      <w:r>
        <w:rPr>
          <w:rFonts w:hint="eastAsia" w:ascii="方正仿宋_GBK" w:hAnsi="方正仿宋_GBK" w:eastAsia="方正仿宋_GBK" w:cs="方正仿宋_GBK"/>
          <w:sz w:val="28"/>
          <w:szCs w:val="28"/>
        </w:rPr>
        <w:t>项涉及州市及以下行政权力事权的决定》（云政发</w:t>
      </w:r>
      <w:r>
        <w:rPr>
          <w:rFonts w:hint="eastAsia" w:ascii="微软雅黑" w:hAnsi="微软雅黑" w:eastAsia="微软雅黑" w:cs="方正仿宋_GBK"/>
          <w:sz w:val="28"/>
          <w:szCs w:val="28"/>
        </w:rPr>
        <w:t>〔2</w:t>
      </w:r>
      <w:r>
        <w:rPr>
          <w:rFonts w:ascii="微软雅黑" w:hAnsi="微软雅黑" w:eastAsia="微软雅黑" w:cs="方正仿宋_GBK"/>
          <w:sz w:val="28"/>
          <w:szCs w:val="28"/>
        </w:rPr>
        <w:t>020</w:t>
      </w:r>
      <w:r>
        <w:rPr>
          <w:rFonts w:hint="eastAsia" w:ascii="微软雅黑" w:hAnsi="微软雅黑" w:eastAsia="微软雅黑" w:cs="方正仿宋_GBK"/>
          <w:sz w:val="28"/>
          <w:szCs w:val="28"/>
        </w:rPr>
        <w:t>〕2</w:t>
      </w:r>
      <w:r>
        <w:rPr>
          <w:rFonts w:ascii="微软雅黑" w:hAnsi="微软雅黑" w:eastAsia="微软雅黑" w:cs="方正仿宋_GBK"/>
          <w:sz w:val="28"/>
          <w:szCs w:val="28"/>
        </w:rPr>
        <w:t>1</w:t>
      </w:r>
      <w:r>
        <w:rPr>
          <w:rFonts w:hint="eastAsia" w:ascii="微软雅黑" w:hAnsi="微软雅黑" w:eastAsia="微软雅黑" w:cs="方正仿宋_GBK"/>
          <w:sz w:val="28"/>
          <w:szCs w:val="28"/>
        </w:rPr>
        <w:t>号）</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五、子项：</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关闭、闲置、拆除城市环境卫生设施许可（县级权限）</w:t>
      </w: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jc w:val="center"/>
        <w:rPr>
          <w:rFonts w:hint="eastAsia" w:ascii="方正小标宋_GBK" w:hAnsi="方正小标宋_GBK" w:eastAsia="方正小标宋_GBK" w:cs="方正小标宋_GBK"/>
          <w:sz w:val="40"/>
          <w:szCs w:val="40"/>
        </w:rPr>
      </w:pPr>
    </w:p>
    <w:p>
      <w:pPr>
        <w:spacing w:line="600" w:lineRule="exact"/>
        <w:ind w:firstLine="560" w:firstLineChars="200"/>
        <w:rPr>
          <w:rFonts w:hint="eastAsia" w:ascii="方正仿宋_GBK" w:hAnsi="方正仿宋_GBK" w:eastAsia="方正仿宋_GBK" w:cs="方正仿宋_GBK"/>
          <w:sz w:val="28"/>
          <w:szCs w:val="28"/>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关闭、闲置、拆除城市环境卫生设施许可（县级权限）</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【000117119003】</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一、基本要素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关闭、闲置、拆除城市环境卫生设施许可【00011711900Y】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关闭、闲置、拆除城市环境卫生设施许可（县级权限）【000117119003】</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1.关闭、闲置、拆除城市环境卫生设施许可首次申请(00011711900301)</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（1）《中华人民共和国固体废物污染环境防治法》第五十五条</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（2）《云南省人民政府关于调整1</w:t>
      </w:r>
      <w:r>
        <w:rPr>
          <w:rFonts w:ascii="方正仿宋_GBK" w:hAnsi="方正仿宋_GBK" w:eastAsia="方正仿宋_GBK" w:cs="方正仿宋_GBK"/>
          <w:sz w:val="28"/>
          <w:szCs w:val="28"/>
        </w:rPr>
        <w:t>12</w:t>
      </w:r>
      <w:r>
        <w:rPr>
          <w:rFonts w:hint="eastAsia" w:ascii="方正仿宋_GBK" w:hAnsi="方正仿宋_GBK" w:eastAsia="方正仿宋_GBK" w:cs="方正仿宋_GBK"/>
          <w:sz w:val="28"/>
          <w:szCs w:val="28"/>
        </w:rPr>
        <w:t>项涉及州市及以下行政权力事权的决定》（云政发</w:t>
      </w:r>
      <w:r>
        <w:rPr>
          <w:rFonts w:hint="eastAsia" w:ascii="微软雅黑" w:hAnsi="微软雅黑" w:eastAsia="微软雅黑" w:cs="方正仿宋_GBK"/>
          <w:sz w:val="28"/>
          <w:szCs w:val="28"/>
        </w:rPr>
        <w:t>〔2</w:t>
      </w:r>
      <w:r>
        <w:rPr>
          <w:rFonts w:ascii="微软雅黑" w:hAnsi="微软雅黑" w:eastAsia="微软雅黑" w:cs="方正仿宋_GBK"/>
          <w:sz w:val="28"/>
          <w:szCs w:val="28"/>
        </w:rPr>
        <w:t>020</w:t>
      </w:r>
      <w:r>
        <w:rPr>
          <w:rFonts w:hint="eastAsia" w:ascii="微软雅黑" w:hAnsi="微软雅黑" w:eastAsia="微软雅黑" w:cs="方正仿宋_GBK"/>
          <w:sz w:val="28"/>
          <w:szCs w:val="28"/>
        </w:rPr>
        <w:t>〕2</w:t>
      </w:r>
      <w:r>
        <w:rPr>
          <w:rFonts w:ascii="微软雅黑" w:hAnsi="微软雅黑" w:eastAsia="微软雅黑" w:cs="方正仿宋_GBK"/>
          <w:sz w:val="28"/>
          <w:szCs w:val="28"/>
        </w:rPr>
        <w:t>1</w:t>
      </w:r>
      <w:r>
        <w:rPr>
          <w:rFonts w:hint="eastAsia" w:ascii="微软雅黑" w:hAnsi="微软雅黑" w:eastAsia="微软雅黑" w:cs="方正仿宋_GBK"/>
          <w:sz w:val="28"/>
          <w:szCs w:val="28"/>
        </w:rPr>
        <w:t>号）</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（1）《中华人民共和国固体废物污染环境防治法》第五十五条、第一百一十一条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（2）《城市生活垃圾管理办法》（中华人民共和国建设部令第157号）第八条、第十三条、第十四条、第三十五条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（3）《住房和城乡建设部关于取消部分部门规章和规范性文件设定的证明事项的决定》（建法规〔2019〕6号）附件1第二条</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4</w:t>
      </w:r>
      <w:r>
        <w:rPr>
          <w:rFonts w:hint="eastAsia" w:ascii="方正仿宋_GBK" w:hAnsi="方正仿宋_GBK" w:eastAsia="方正仿宋_GBK" w:cs="方正仿宋_GBK"/>
          <w:sz w:val="28"/>
          <w:szCs w:val="28"/>
        </w:rPr>
        <w:t>）《云南省人民政府关于调整1</w:t>
      </w:r>
      <w:r>
        <w:rPr>
          <w:rFonts w:ascii="方正仿宋_GBK" w:hAnsi="方正仿宋_GBK" w:eastAsia="方正仿宋_GBK" w:cs="方正仿宋_GBK"/>
          <w:sz w:val="28"/>
          <w:szCs w:val="28"/>
        </w:rPr>
        <w:t>12</w:t>
      </w:r>
      <w:r>
        <w:rPr>
          <w:rFonts w:hint="eastAsia" w:ascii="方正仿宋_GBK" w:hAnsi="方正仿宋_GBK" w:eastAsia="方正仿宋_GBK" w:cs="方正仿宋_GBK"/>
          <w:sz w:val="28"/>
          <w:szCs w:val="28"/>
        </w:rPr>
        <w:t>项涉及州市及以下行政权力事权的决定》（云政发</w:t>
      </w:r>
      <w:r>
        <w:rPr>
          <w:rFonts w:hint="eastAsia" w:ascii="微软雅黑" w:hAnsi="微软雅黑" w:eastAsia="微软雅黑" w:cs="方正仿宋_GBK"/>
          <w:sz w:val="28"/>
          <w:szCs w:val="28"/>
        </w:rPr>
        <w:t>〔2</w:t>
      </w:r>
      <w:r>
        <w:rPr>
          <w:rFonts w:ascii="微软雅黑" w:hAnsi="微软雅黑" w:eastAsia="微软雅黑" w:cs="方正仿宋_GBK"/>
          <w:sz w:val="28"/>
          <w:szCs w:val="28"/>
        </w:rPr>
        <w:t>020</w:t>
      </w:r>
      <w:r>
        <w:rPr>
          <w:rFonts w:hint="eastAsia" w:ascii="微软雅黑" w:hAnsi="微软雅黑" w:eastAsia="微软雅黑" w:cs="方正仿宋_GBK"/>
          <w:sz w:val="28"/>
          <w:szCs w:val="28"/>
        </w:rPr>
        <w:t>〕2</w:t>
      </w:r>
      <w:r>
        <w:rPr>
          <w:rFonts w:ascii="微软雅黑" w:hAnsi="微软雅黑" w:eastAsia="微软雅黑" w:cs="方正仿宋_GBK"/>
          <w:sz w:val="28"/>
          <w:szCs w:val="28"/>
        </w:rPr>
        <w:t>1</w:t>
      </w:r>
      <w:r>
        <w:rPr>
          <w:rFonts w:hint="eastAsia" w:ascii="微软雅黑" w:hAnsi="微软雅黑" w:eastAsia="微软雅黑" w:cs="方正仿宋_GBK"/>
          <w:sz w:val="28"/>
          <w:szCs w:val="28"/>
        </w:rPr>
        <w:t>号）</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（1）《中华人民共和国固体废物污染环境防治法》第五十五条、第一百一十一条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（2）《城市生活垃圾管理办法》（中华人民共和国建设部令第157号）第十三条、第四十一条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县级环境卫生部门会同生态环境部门</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关闭、闲置、拆除城市环卫设施许可</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15.要素统一情况：</w:t>
      </w:r>
      <w:r>
        <w:rPr>
          <w:rFonts w:hint="eastAsia" w:ascii="方正仿宋_GBK" w:hAnsi="方正仿宋_GBK" w:eastAsia="方正仿宋_GBK" w:cs="方正仿宋_GBK"/>
          <w:sz w:val="28"/>
          <w:szCs w:val="28"/>
        </w:rPr>
        <w:t>全部要素全国统一</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二、行政许可事项类型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申请人属于设施权属人；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设施丧失使用功能或使用功能已被其他设施替代；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制定设施后期防止环境污染方案；应该由申请人委托第三方机构出具符合关闭、闲置、拆除城市环境卫生设施条件的认定报告。</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因实施城市规划需要闲置、关闭或者拆除的，应当取得规划、建设主管部门批准文件。</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固体废物污染环境防治法》第五十五条禁止擅自关闭、闲置或者拆除生活垃圾处理设施、场所；确有必要关闭、闲置或者拆除的，应当经所在地的市、县级人民政府环境卫生主管部门商所在地生态环境主管部门同意后核准，并采取防止污染环境的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（2）《城市生活垃圾管理办法》（中华人民共和国建设部令第157号）第十四条申请关闭、闲置或者拆除城市生活垃圾处置设施、场所的，应当提交以下材料：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（一）书面申请；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（二）权属关系证明材料；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（三）丧失使用功能或其使用功能被其他设施替代的证明；</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（四）防止环境污染的方案；</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（五）拟关闭、闲置或者拆除设施的现状图及拆除方案；</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（六）拟新建设施设计图；</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（七）因实施城市规划需要闲置、关闭或者拆除的，还应当提供规划、建设主管部门的批准文件。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住房和城乡建设部关于取消部分部门规章和规范性文件设定的证明事项的决定》（建法规〔2019〕6号）附件1第二条附件《取消部门规章设定的证明事项目录》明确申请人办理关闭、闲置或者拆除城市生活垃圾处置设施、场所的核准时不再需提交权属关系证明材料。</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企业法人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关闭、闲置、拆除城市环境卫生设施许可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关闭、闲置、拆除城市环境卫生设施（生活垃圾处理设施场所）批复</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优化审批服务</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精简许可条件和审批材料，减轻企业办事负担；优化审批流程，压减审批时限，提高审批效率</w:t>
      </w:r>
      <w:r>
        <w:rPr>
          <w:rFonts w:hint="eastAsia" w:ascii="方正仿宋_GBK" w:hAnsi="方正仿宋_GBK" w:eastAsia="方正仿宋_GBK" w:cs="方正仿宋_GBK"/>
          <w:sz w:val="28"/>
          <w:szCs w:val="28"/>
        </w:rPr>
        <w:t>，将承诺审批时限由45个工作日压减至11个工作日。</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1.完善常态化监管机制，通过书面检查、实地检查、定期抽验、随机抽查等强化日常监管网、人工智能等手段精准预警风险隐患。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2.运用互联网和大数据技术，依托政务服务网上平台，实时动态监管，实现“制度+技术”的有效监管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3.加快推进社会信用体系建设，完善信用信息征集、存储、共享与应用等环节的管理制度，建立健全信用信息档案和交换共享机制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4.拓宽公众参与社会监督的渠道和方式，建立健全公众举报受理平台，鼓励通过互联网、举报电话、投诉信箱等反映行政相对人在产品和服务质量、违法经营等方面的问题</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书面申请；</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权属关系证明材料；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丧失使用功能或其使用功能被其他设施替代的证明；</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防止环境污染的方案；</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拟关闭、闲置或者拆除设施的现状图及拆除方案；</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拟新建设施设计图；</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因实施城市规划需要闲置、关闭或者拆除的，还应当提供规划、建设主管部门的批准文件。</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（1）《城市生活垃圾管理办法》（中华人民共和国建设部令第157号）第十四条申请关闭、闲置或者拆除城市生活垃圾处置设施、场所的，应当提交以下材料：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（一）书面申请；</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（二）权属关系证明材料；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（三）丧失使用功能或其使用功能被其他设施替代的证明；</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（四）防止环境污染的方案；</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（五）拟关闭、闲置或者拆除设施的现状图及拆除方案；</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（六）拟新建设施设计图；</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（七）因实施城市规划需要闲置、关闭或者拆除的，还应当提供规划、建设主管部门的批准文件。</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六、中介服务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七、审批程序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现场勘验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行政许可法第二十九条、第三十条、第三十一条、第三十二条、第三十三条、第三十四条、第三十五条、第三十六条、第三十七条、第三十八条、第三十九条、第四十条、第四十一条第二十九条公民、法人或者其他组织从事特定活动，依法需要取得行政许可的，应当向行政机关提出申请。申请书需要采用格式文本的，行政机关应当向申请人提供行政许可申请书格式文本。申请书格式文本中不得包含与申请行政许可事项没有直接关系的内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申请人可以委托代理人提出行政许可申请。但是，依法应当由申请人到行政机关办公场所提出行政许可申请的除外。</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行政许可申请可以通过信函、电报、电传、传真、电子数据交换和电子邮件等方式提出。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第三十条行政机关应当将法律、法规、规章规定的有关行政许可的事项、依据、条件、数量、程序、期限以及需要提交的全部材料的目录和申请书示范文本等在办公场所公示。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申请人要求行政机关对公示内容予以说明、解释的，行政机关应当说明、解释，提供准确、可靠的信息。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第三十一条申请人申请行政许可，应当如实向行政机关提交有关材料和反映真实情况，并对其申请材料实质内容的真实性负责。行政机关不得要求申请人提交与其申请的行政许可事项无关的技术资料和其他材料。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第三十二条行政机关对申请人提出的行政许可申请，应当根据下列情况分别作出处理：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（一）申请事项依法不需要取得行政许可的，应当即时告知申请人不受理；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（二）申请事项依法不属于本行政机关职权范围的，应当即时作出不予受理的决定，并告知申请人向有关行政机关申请；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（三）申请材料存在可以当场更正的错误的，应当允许申请人当场更正；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（四）申请材料不齐全或者不符合法定形式的，应当当场或者在五日内一次告知申请人需要补正的全部内容，逾期不告知的，自收到申请材料之日起即为受理；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（五）申请事项属于本行政机关职权范围，申请材料齐全、符合法定形式，或者申请人按照本行政机关的要求提交全部补正申请材料的，应当受理行政许可申请。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行政机关受理或者不予受理行政许可申请，应当出具加盖本行政机关专用印章和注明日期的书面凭证。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三条行政机关应当建立和完善有关制度，推行电子政务，在行政机关的网站上公布行政许可事项，方便申请人采取数据电文等方式提出行政许可申请；应当与其他行政机关共享有关行政许可信息，提高办事效率。</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第二节 审查与决定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第三十四条行政机关应当对申请人提交的申请材料进行审查。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申请人提交的申请材料齐全、符合法定形式，行政机关能够当场作出决定的，应当当场作出书面的行政许可决定。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根据法定条件和程序，需要对申请材料的实质内容进行核实的，行政机关应当指派两名以上工作人员进行核查。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五条依法应当先经下级行政机关审查后报上级行政机关决定的行政许可，下级行政机关应当在法定期限内将初步审查意见和全部申请材料直接报送上级行政机关。上级行政机关不得要求申请人重复提供申请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第三十七条行政机关对行政许可申请进行审查后，除当场作出行政许可决定的外，应当在法定期限内按照规定程序作出行政许可决定。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第三十八条申请人的申请符合法定条件、标准的，行政机关应当依法作出准予行政许可的书面决定。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行政机关依法作出不予行政许可的书面决定的，应当说明理由，并告知申请人享有依法申请行政复议或者提起行政诉讼的权利。</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第三十九条行政机关作出准予行政许可的决定，需要颁发行政许可证件的，应当向申请人颁发加盖本行政机关印章的下列行政许可证件：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（一）许可证、执照或者其他许可证书；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（二）资格证、资质证或者其他合格证书；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（三）行政机关的批准文件或者证明文件；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（四）法律、法规规定的其他行政许可证件。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行政机关实施检验、检测、检疫的，可以在检验、检测、检疫合格的设备、设施、产品、物品上加贴标签或者加盖检验、检测、检疫印章。</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第四十条行政机关作出的准予行政许可决定，应当予以公开，公众有权查阅。</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第四十一条法律、行政法规设定的行政许可，其适用范围没有地域限制的，申请人取得的行政许可在全国范围内有效。</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八、受理和审批时限</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当场办理</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45个工作日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中华人民共和国行政许可法》第四十二条……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ascii="方正仿宋_GBK" w:hAnsi="方正仿宋_GBK" w:eastAsia="方正仿宋_GBK" w:cs="方正仿宋_GBK"/>
          <w:sz w:val="28"/>
          <w:szCs w:val="28"/>
        </w:rPr>
        <w:t>11个工作日</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九、收费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pPr>
        <w:spacing w:line="600" w:lineRule="exact"/>
        <w:ind w:firstLine="560" w:firstLineChars="200"/>
        <w:rPr>
          <w:rFonts w:hint="eastAsia" w:ascii="方正仿宋_GBK" w:hAnsi="方正仿宋_GBK" w:eastAsia="方正仿宋_GBK" w:cs="方正仿宋_GBK"/>
          <w:b/>
          <w:bCs/>
          <w:color w:val="FF0000"/>
          <w:sz w:val="28"/>
          <w:szCs w:val="28"/>
        </w:rPr>
      </w:pP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关闭、闲置、拆除城市环境卫生设施（生活垃圾处理设施场所）批复</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无期限</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（1）《城市市容和环境卫生管理条例》第二十二条一切单位和个人都不得擅自拆除环境卫生设施；因建设需要必须拆除的，建设单位必须事先提出拆迁方案，报城市人民政府市容环境卫生行政主管部门批准。</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本省</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（1）《中华人民共和国行政许可法》第四十四条行政机关作出准予行政许可的决定，应当自作出决定之日起十日内向申请人颁发、送达行政许可证件，或者加贴标签、加盖检验、检测、检疫印章。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十一、行政许可数量限制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十二、行政许可后年检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outlineLvl w:val="2"/>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十三、行政许可后年报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十四、监管主体</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住房城乡建设部；省级环境卫生部门会同生态环境部门。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hint="eastAsia" w:ascii="方正仿宋_GBK" w:hAnsi="方正仿宋_GBK" w:eastAsia="方正仿宋_GBK" w:cs="方正仿宋_GBK"/>
          <w:sz w:val="28"/>
          <w:szCs w:val="28"/>
        </w:rPr>
      </w:pPr>
      <w:bookmarkStart w:id="0" w:name="_GoBack"/>
      <w:bookmarkEnd w:id="0"/>
    </w:p>
    <w:p>
      <w:pPr>
        <w:spacing w:line="600" w:lineRule="exact"/>
        <w:ind w:firstLine="560" w:firstLineChars="200"/>
        <w:rPr>
          <w:rFonts w:hint="eastAsia" w:ascii="方正仿宋_GBK" w:hAnsi="方正仿宋_GBK" w:eastAsia="方正仿宋_GBK" w:cs="方正仿宋_GBK"/>
          <w:sz w:val="28"/>
          <w:szCs w:val="28"/>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仿宋GB2312">
    <w:altName w:val="方正仿宋_GBK"/>
    <w:panose1 w:val="00000000000000000000"/>
    <w:charset w:val="00"/>
    <w:family w:val="roman"/>
    <w:pitch w:val="default"/>
    <w:sig w:usb0="00000000"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BF7FB1DE"/>
    <w:rsid w:val="1BFC89A6"/>
    <w:rsid w:val="3B0B471A"/>
    <w:rsid w:val="5FFB03B1"/>
    <w:rsid w:val="BF7FB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2023-11-15T00:26:00Z</dcterms:created>
  <dc:creator>user</dc:creator>
  <cp:lastModifiedBy>lenovo</cp:lastModifiedBy>
  <dcterms:modified xsi:type="dcterms:W3CDTF">2023-11-27T05:58:42Z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