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房地产开发企业二级资质核定（</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【00011711800301】</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房地产开发企业资质核定【00011711800Y】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级权限）【000117118003】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级权限）新申请(00011711800301)</w:t>
      </w: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（1）《城市房地产开发经营管理条例》第九条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（2）《房地产开发企业资质管理规定》（建设部令第77号，住房和城乡建设部令第24号、第45号、第54号修改）第三条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房地产开发企业资质核定（二级）</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有职称的建筑、结构、财务、房地产及有关经济类的专业管理人员不少于5人，其中专职会计人员不少于2人；</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工程技术负责人具有相应专业中级以上职称，财务负责人具有相应专业初级以上职称，配有统计人员；</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具有完善的质量保证体系。</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房地产开发企业资质管理规定》（建设部令第77号，住房和城乡建设部令第24号、第45号、第54号修改）。第五条1.有职称的建筑、结构、财务、房地产及有关经济类的专业管理人员不少于5人，其中专职会计人员不少于2人；2.工程技术负责人具有相应专业中级以上职称，财务负责人具有相应专业初级以上职称，配有统计人员；3.具有完善的质量保证体系。</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房地产开发企业资质核定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房地产开发企业资质证书（二级）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将房地产开发企业资质由四级调整为两级，取消三级、四级资质，相应调整二级资质的许可条件。将承诺审批时限由20个工作日压减至5个工作日。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县级以上人民政府房地产开发主管部门依法依规开展“双随机、一公开”监管，依法查处房地产开发企业的违法违规行为。</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县级以上人民政府房地产开发主管部门依法依规加强对房地产开发企业信用监管，不断提升信用监管水平。</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指导行业协会发挥自律作用，推进房地产开发企业的规范诚信运作，杜绝违法违规行为。</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（1）企业资质等级申报表；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（2）专业管理、技术人员的职称证件；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（3）建立质量管理制度、具有质量管理部门及相应质量管理人员等质量保证体系情况说明。</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资质管理规定》（建设部令第77号，住房和城乡建设部令第24号、第45号、第54号修改）。第七条1.企业资质等级申报表；2.专业管理、技术人员的职称证件；3.建立质量管理制度、具有质量管理部门及相应质量管理人员等质量保证体系情况说明。</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申请企业提交申请；</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核定发证机关受理/不予受理；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核定发证机关审查；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作出行政许可决定，不予许可的，告知申请人不予许可原因；准予许可的，制作并发放证书。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《房地产开发企业资质管理规定》（建设部令第77号，住房和城乡建设部令第24号、第45号、第54号修改）。第八条房地产开发企业资质等级实行分级审批。 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一级资质由省、自治区、直辖市人民政府住房和城乡建设主管部门初审，报国务院住房和城乡建设主管部门审批。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二级资质由省、自治区、直辖市人民政府住房和城乡建设主管部门或者其确定的设区的市级人民政府房地产开发主管部门审批。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经资质审查合格的企业，由资质审批部门发给相应等级的资质证书。资质证书有效期为3年。 申请核定资质的房地产开发企业，应当通过相应的政务服务平台提出申请。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4.承诺审批时限：5</w:t>
      </w:r>
      <w:r>
        <w:rPr>
          <w:rFonts w:ascii="方正仿宋_GBK" w:hAnsi="方正仿宋_GBK" w:eastAsia="方正仿宋_GBK" w:cs="方正仿宋_GBK"/>
          <w:sz w:val="28"/>
          <w:szCs w:val="28"/>
        </w:rPr>
        <w:t>个工作日</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房地产开发企业资质证书（二级）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《房地产开发企业资质管理规定》（建设部令第77号，住房和城乡建设部令第24号、第45号、第54号修改）。第八条资质证书有效期为3年。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企业变更名称、法定代表人和主要管理、技术负责人，应当在变更30日内，向原资质审批部门办理变更手续。 </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（1）有职称的建筑、结构、财务、房地产及有关经济类的专业管理人员不少于5人，其中专职会计人员不少于2人；</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（2）工程技术负责人具有相应专业中级以上职称，财务负责人具有相应专业初级以上职称，配有统计人员；</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（3）具有完善的质量保证体系。</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《中华人民共和国行政许可法》第四十一条法律、行政法规设定的行政许可，其适用范围没有地域限制的，申请人取得的行政许可在全国范围内有效。</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省、自治区、直辖市人民政府住房和城乡建设主管部门确定的</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级人民政府房地产开发主管部门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9C1DA"/>
    <w:rsid w:val="3D3BE8A0"/>
    <w:rsid w:val="59B9C1DA"/>
    <w:rsid w:val="69D56994"/>
    <w:rsid w:val="DDFE2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2023-11-02T06:16:00Z</dcterms:created>
  <dc:creator>user</dc:creator>
  <cp:lastModifiedBy>lenovo</cp:lastModifiedBy>
  <dcterms:modified xsi:type="dcterms:W3CDTF">2024-03-07T07:06:59Z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