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default" w:ascii="方正黑体_GBK" w:hAnsi="方正黑体_GBK" w:eastAsia="方正黑体_GBK" w:cs="方正黑体_GBK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eastAsia" w:cs="方正仿宋_GBK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eastAsia="zh-CN"/>
        </w:rPr>
      </w:pPr>
    </w:p>
    <w:p>
      <w:pPr>
        <w:pStyle w:val="16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beforeLines="0" w:afterLines="0" w:line="560" w:lineRule="exact"/>
        <w:ind w:left="0"/>
        <w:textAlignment w:val="auto"/>
        <w:rPr>
          <w:rFonts w:hint="eastAsia"/>
          <w:spacing w:val="0"/>
          <w:sz w:val="44"/>
          <w:lang w:eastAsia="zh-CN"/>
        </w:rPr>
      </w:pPr>
      <w:r>
        <w:rPr>
          <w:rFonts w:hint="eastAsia"/>
          <w:spacing w:val="0"/>
          <w:sz w:val="44"/>
          <w:lang w:val="en-US" w:eastAsia="zh-CN"/>
        </w:rPr>
        <w:t>德宏</w:t>
      </w:r>
      <w:bookmarkStart w:id="0" w:name="_GoBack"/>
      <w:bookmarkEnd w:id="0"/>
      <w:r>
        <w:rPr>
          <w:rFonts w:hint="eastAsia"/>
          <w:spacing w:val="0"/>
          <w:sz w:val="44"/>
          <w:lang w:val="en-US" w:eastAsia="zh-CN"/>
        </w:rPr>
        <w:t>州</w:t>
      </w:r>
      <w:r>
        <w:rPr>
          <w:rFonts w:hint="eastAsia"/>
          <w:spacing w:val="0"/>
          <w:sz w:val="44"/>
          <w:lang w:eastAsia="zh-CN"/>
        </w:rPr>
        <w:t>基本药物制度</w:t>
      </w:r>
      <w:r>
        <w:rPr>
          <w:rFonts w:hint="eastAsia"/>
          <w:spacing w:val="0"/>
          <w:sz w:val="44"/>
          <w:lang w:val="en-US" w:eastAsia="zh-CN"/>
        </w:rPr>
        <w:t>中央对地方转移</w:t>
      </w:r>
      <w:r>
        <w:rPr>
          <w:rFonts w:hint="eastAsia"/>
          <w:spacing w:val="0"/>
          <w:sz w:val="44"/>
          <w:lang w:eastAsia="zh-CN"/>
        </w:rPr>
        <w:t>支付</w:t>
      </w:r>
    </w:p>
    <w:p>
      <w:pPr>
        <w:pStyle w:val="16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beforeLines="0" w:afterLines="0" w:line="560" w:lineRule="exact"/>
        <w:ind w:left="0"/>
        <w:textAlignment w:val="auto"/>
        <w:rPr>
          <w:rFonts w:hint="eastAsia"/>
          <w:spacing w:val="0"/>
          <w:sz w:val="44"/>
          <w:lang w:eastAsia="zh-CN"/>
        </w:rPr>
      </w:pPr>
      <w:r>
        <w:rPr>
          <w:rFonts w:hint="eastAsia"/>
          <w:spacing w:val="0"/>
          <w:sz w:val="44"/>
          <w:lang w:val="en-US" w:eastAsia="zh-CN"/>
        </w:rPr>
        <w:t>2023年度</w:t>
      </w:r>
      <w:r>
        <w:rPr>
          <w:rFonts w:hint="eastAsia"/>
          <w:spacing w:val="0"/>
          <w:sz w:val="44"/>
          <w:lang w:eastAsia="zh-CN"/>
        </w:rPr>
        <w:t>绩效自评报告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eastAsia" w:cs="方正仿宋_GBK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beforeLines="0" w:afterLines="0" w:line="560" w:lineRule="exact"/>
        <w:ind w:left="0"/>
        <w:textAlignment w:val="auto"/>
      </w:pPr>
      <w:r>
        <w:rPr>
          <w:rFonts w:hint="eastAsia"/>
          <w:lang w:val="en-US" w:eastAsia="zh-CN"/>
        </w:rPr>
        <w:t>绩效目标分解下达情况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方正仿宋_GBK" w:hAnsi="方正仿宋_GBK" w:eastAsia="方正仿宋_GBK" w:cs="方正仿宋_GBK"/>
          <w:color w:val="000000"/>
          <w:sz w:val="31"/>
          <w:szCs w:val="31"/>
        </w:rPr>
        <w:t>为巩固国家基本药物制度，保障基层医疗卫生机构运行发展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，根据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德宏州财政局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德宏州卫生健康委员会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关于下达 2023 年基本药物制度中央补助资金的通知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》（德财社〔2023〕23号）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cs="Times New Roman"/>
          <w:sz w:val="32"/>
          <w:szCs w:val="32"/>
          <w:lang w:val="en-US" w:eastAsia="zh-CN"/>
        </w:rPr>
        <w:t>《关于下达2023年基本药物制度中央结算补助资金的通知》（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德财社〔2023〕</w:t>
      </w:r>
      <w:r>
        <w:rPr>
          <w:rFonts w:hint="eastAsia" w:cs="Times New Roman"/>
          <w:sz w:val="32"/>
          <w:szCs w:val="32"/>
          <w:lang w:val="en-US" w:eastAsia="zh-CN"/>
        </w:rPr>
        <w:t>106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号</w:t>
      </w:r>
      <w:r>
        <w:rPr>
          <w:rFonts w:hint="eastAsia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《关于下达2023年基层</w:t>
      </w:r>
      <w:r>
        <w:rPr>
          <w:rFonts w:hint="eastAsia" w:cs="Times New Roman"/>
          <w:sz w:val="32"/>
          <w:szCs w:val="32"/>
          <w:lang w:val="en-US" w:eastAsia="zh-CN"/>
        </w:rPr>
        <w:t>医疗卫生机构实施基本药物制度和综合改革省级补助资金的通知》（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德财社〔2023〕</w:t>
      </w:r>
      <w:r>
        <w:rPr>
          <w:rFonts w:hint="eastAsia" w:cs="Times New Roman"/>
          <w:sz w:val="32"/>
          <w:szCs w:val="32"/>
          <w:lang w:val="en-US" w:eastAsia="zh-CN"/>
        </w:rPr>
        <w:t>35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号</w:t>
      </w:r>
      <w:r>
        <w:rPr>
          <w:rFonts w:hint="eastAsia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关于下达2023年基本药物制度省级结算补助资金的通知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（德财社〔2023〕76号）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cs="Times New Roman"/>
          <w:sz w:val="32"/>
          <w:szCs w:val="32"/>
          <w:lang w:val="en-US" w:eastAsia="zh-CN"/>
        </w:rPr>
        <w:t>下达基本药物制度补助资金2242.82万元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beforeLines="0" w:afterLines="0" w:line="560" w:lineRule="exact"/>
        <w:ind w:left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绩效情况分析</w:t>
      </w:r>
    </w:p>
    <w:p>
      <w:pPr>
        <w:pStyle w:val="3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beforeLines="0" w:afterLines="0" w:line="560" w:lineRule="exact"/>
        <w:ind w:left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资金</w:t>
      </w:r>
      <w:r>
        <w:rPr>
          <w:rFonts w:hint="eastAsia"/>
          <w:lang w:val="en-US" w:eastAsia="zh-CN"/>
        </w:rPr>
        <w:t>投入</w:t>
      </w:r>
      <w:r>
        <w:rPr>
          <w:rFonts w:hint="eastAsia"/>
          <w:lang w:eastAsia="zh-CN"/>
        </w:rPr>
        <w:t>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2023年下达</w:t>
      </w:r>
      <w:r>
        <w:rPr>
          <w:rFonts w:hint="eastAsia" w:cs="Times New Roman"/>
          <w:sz w:val="32"/>
          <w:szCs w:val="32"/>
          <w:lang w:val="en-US" w:eastAsia="zh-CN"/>
        </w:rPr>
        <w:t>德宏州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基本药物制度中央补助资金</w:t>
      </w:r>
      <w:r>
        <w:rPr>
          <w:rFonts w:hint="eastAsia" w:cs="Times New Roman"/>
          <w:sz w:val="32"/>
          <w:szCs w:val="32"/>
          <w:lang w:val="en-US" w:eastAsia="zh-CN"/>
        </w:rPr>
        <w:t>2242.82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万元，支出</w:t>
      </w:r>
      <w:r>
        <w:rPr>
          <w:rFonts w:hint="eastAsia" w:cs="Times New Roman"/>
          <w:sz w:val="32"/>
          <w:szCs w:val="32"/>
          <w:lang w:val="en-US" w:eastAsia="zh-CN"/>
        </w:rPr>
        <w:t>1339.39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万元，全年预算执行率</w:t>
      </w:r>
      <w:r>
        <w:rPr>
          <w:rFonts w:hint="eastAsia" w:cs="Times New Roman"/>
          <w:sz w:val="32"/>
          <w:szCs w:val="32"/>
          <w:lang w:val="en-US" w:eastAsia="zh-CN"/>
        </w:rPr>
        <w:t>59.72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%</w:t>
      </w:r>
      <w:r>
        <w:rPr>
          <w:rFonts w:hint="eastAsia" w:cs="Times New Roman"/>
          <w:sz w:val="32"/>
          <w:szCs w:val="32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beforeLines="0" w:afterLines="0" w:line="560" w:lineRule="exact"/>
        <w:ind w:left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资金管理情况分析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lang w:eastAsia="zh-CN"/>
        </w:rPr>
        <w:t>一是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严格按照相应资金管理办法</w:t>
      </w:r>
      <w:r>
        <w:rPr>
          <w:rFonts w:hint="eastAsia" w:cs="Times New Roman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下达预算的科目和项目执行，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对专项资金进行专项管理，做到专款专用</w:t>
      </w:r>
      <w:r>
        <w:rPr>
          <w:rFonts w:hint="eastAsia" w:cs="Times New Roman"/>
          <w:sz w:val="32"/>
          <w:szCs w:val="32"/>
          <w:lang w:eastAsia="zh-CN"/>
        </w:rPr>
        <w:t>。</w:t>
      </w:r>
      <w:r>
        <w:rPr>
          <w:rFonts w:hint="eastAsia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在财政保障资金的前提下，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提高预算执行效率和资金使用效益，确保财政资金使用安全。</w:t>
      </w:r>
      <w:r>
        <w:rPr>
          <w:rFonts w:hint="eastAsia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eastAsia" w:cs="Times New Roman"/>
          <w:sz w:val="32"/>
          <w:szCs w:val="32"/>
          <w:lang w:val="en-US" w:eastAsia="zh-CN"/>
        </w:rPr>
        <w:t>使用单位在</w:t>
      </w:r>
      <w:r>
        <w:rPr>
          <w:rFonts w:hint="eastAsia"/>
          <w:lang w:val="en-US" w:eastAsia="zh-CN"/>
        </w:rPr>
        <w:t>支出管理中按审批权限进行层级审批签字，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未出现截留、挤占、挪用或者擅自调整等问题</w:t>
      </w:r>
      <w:r>
        <w:rPr>
          <w:rFonts w:hint="eastAsia" w:cs="Times New Roman"/>
          <w:sz w:val="32"/>
          <w:szCs w:val="32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beforeLines="0" w:afterLines="0" w:line="560" w:lineRule="exact"/>
        <w:ind w:left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总体目标完成情况分析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全年实现绩效目标总体要求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eastAsia" w:cs="Times New Roman"/>
          <w:sz w:val="32"/>
          <w:szCs w:val="32"/>
          <w:lang w:val="en-US" w:eastAsia="zh-CN"/>
        </w:rPr>
        <w:t>54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个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基层医疗卫生机构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严格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实施国家基本药物制度，药品实行零差率。对实施国家基本药物制度的村卫生室给予补助，支持国家基本药物制度在村卫生室顺利实施。</w:t>
      </w:r>
    </w:p>
    <w:p>
      <w:pPr>
        <w:pStyle w:val="3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beforeLines="0" w:afterLines="0" w:line="560" w:lineRule="exact"/>
        <w:ind w:left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绩效指标完成情况分析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1.产出指标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数量指标</w:t>
      </w:r>
      <w:r>
        <w:rPr>
          <w:rFonts w:hint="eastAsia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一是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政府办基层医疗机构实施基本药物制度覆盖率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100%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（指标值100%）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村卫生室实施基本药物制度覆盖率100%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（指标值100%）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2.效益指标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经济效益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指标</w:t>
      </w:r>
      <w:r>
        <w:rPr>
          <w:rFonts w:hint="eastAsia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乡村医生收入保持稳定。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eastAsia="zh-CN"/>
        </w:rPr>
        <w:t>社会效益指标：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覆盖乡村医生人数（人）</w:t>
      </w:r>
      <w:r>
        <w:rPr>
          <w:rFonts w:hint="eastAsia" w:cs="Times New Roman"/>
          <w:sz w:val="32"/>
          <w:szCs w:val="32"/>
          <w:lang w:eastAsia="zh-CN"/>
        </w:rPr>
        <w:t>为</w:t>
      </w:r>
      <w:r>
        <w:rPr>
          <w:rFonts w:hint="eastAsia" w:cs="Times New Roman"/>
          <w:sz w:val="32"/>
          <w:szCs w:val="32"/>
          <w:lang w:val="en-US" w:eastAsia="zh-CN"/>
        </w:rPr>
        <w:t>1075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人</w:t>
      </w:r>
      <w:r>
        <w:rPr>
          <w:rFonts w:hint="eastAsia" w:cs="Times New Roman"/>
          <w:sz w:val="32"/>
          <w:szCs w:val="32"/>
          <w:lang w:val="en-US" w:eastAsia="zh-CN"/>
        </w:rPr>
        <w:t>（指标值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≥</w:t>
      </w:r>
      <w:r>
        <w:rPr>
          <w:rFonts w:hint="eastAsia" w:cs="Times New Roman"/>
          <w:sz w:val="32"/>
          <w:szCs w:val="32"/>
          <w:lang w:val="en-US" w:eastAsia="zh-CN"/>
        </w:rPr>
        <w:t>925人）；基层医疗卫生机构“优质服务基层行”活动开展评价机构数比例为93%（指标值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≥</w:t>
      </w:r>
      <w:r>
        <w:rPr>
          <w:rFonts w:hint="eastAsia" w:cs="Times New Roman"/>
          <w:sz w:val="32"/>
          <w:szCs w:val="32"/>
          <w:lang w:val="en-US" w:eastAsia="zh-CN"/>
        </w:rPr>
        <w:t>90%），达到基本标准及以上的比例为83.33%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（指标值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≥</w:t>
      </w:r>
      <w:r>
        <w:rPr>
          <w:rFonts w:hint="eastAsia" w:cs="Times New Roman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%）</w:t>
      </w:r>
      <w:r>
        <w:rPr>
          <w:rFonts w:hint="eastAsia" w:cs="Times New Roman"/>
          <w:sz w:val="32"/>
          <w:szCs w:val="32"/>
          <w:lang w:val="en-US" w:eastAsia="zh-CN"/>
        </w:rPr>
        <w:t>；基本药物用药负担降低率较上年有所下降；群众获得感增强。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可持续影响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指标</w:t>
      </w:r>
      <w:r>
        <w:rPr>
          <w:rFonts w:hint="eastAsia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国家基本药物制度在基层持续实施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中长期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满意度指标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cs="Times New Roman"/>
          <w:sz w:val="32"/>
          <w:szCs w:val="32"/>
          <w:lang w:eastAsia="zh-CN"/>
        </w:rPr>
        <w:t>服务对象满意度：乡村医生满意度为</w:t>
      </w:r>
      <w:r>
        <w:rPr>
          <w:rFonts w:hint="eastAsia" w:cs="Times New Roman"/>
          <w:sz w:val="32"/>
          <w:szCs w:val="32"/>
          <w:lang w:val="en-US" w:eastAsia="zh-CN"/>
        </w:rPr>
        <w:t>90%（指标值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≧</w:t>
      </w:r>
      <w:r>
        <w:rPr>
          <w:rFonts w:hint="eastAsia" w:cs="Times New Roman"/>
          <w:sz w:val="32"/>
          <w:szCs w:val="32"/>
          <w:lang w:val="en-US" w:eastAsia="zh-CN"/>
        </w:rPr>
        <w:t>85%）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beforeLines="0" w:afterLines="0" w:line="560" w:lineRule="exact"/>
        <w:ind w:left="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偏离绩效目标的原因和进一步改进措施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32" w:firstLineChars="200"/>
        <w:textAlignment w:val="auto"/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存在问题：财政收支矛盾突出，资金拨付不及时，未能及时发挥效益。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32" w:firstLineChars="200"/>
        <w:textAlignment w:val="auto"/>
        <w:rPr>
          <w:rFonts w:hint="eastAsia"/>
          <w:lang w:eastAsia="zh-CN"/>
        </w:rPr>
      </w:pPr>
      <w:r>
        <w:rPr>
          <w:rFonts w:hint="eastAsia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改进措施：</w:t>
      </w:r>
      <w:r>
        <w:rPr>
          <w:rFonts w:hint="eastAsia" w:cs="Times New Roman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积极对接财政部门，加强资金执行数，提高预算执行率。</w:t>
      </w:r>
      <w:r>
        <w:rPr>
          <w:rFonts w:hint="eastAsia" w:cs="Times New Roman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继续强化资金管理，确保资金执行到位。</w:t>
      </w:r>
      <w:r>
        <w:rPr>
          <w:rFonts w:hint="eastAsia" w:cs="Times New Roman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对资金使用单位</w:t>
      </w:r>
      <w:r>
        <w:rPr>
          <w:rFonts w:hint="eastAsia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持续开展实施基本药物制度考核，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并强化考核结果应用</w:t>
      </w:r>
      <w:r>
        <w:rPr>
          <w:rFonts w:hint="eastAsia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奖优罚劣。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beforeLines="0" w:afterLines="0" w:line="560" w:lineRule="exact"/>
        <w:ind w:left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绩效自评结果拟应用和公开情况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32" w:firstLineChars="200"/>
        <w:textAlignment w:val="auto"/>
        <w:rPr>
          <w:rFonts w:hint="eastAsia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高度重视绩效评价结果的应用工作，积极探索和建立一套与预算管理相结合、多渠道应用评价结果的有效机制，着力提高绩效意识和财政资金使用效益。同时，将绩效目标自评报告进行公开，广泛接受社会监督。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beforeLines="0" w:afterLines="0" w:line="560" w:lineRule="exact"/>
        <w:ind w:left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其他需要说明的问题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pacing w:beforeLines="0" w:afterLines="0" w:line="560" w:lineRule="exact"/>
        <w:ind w:left="0" w:leftChars="0" w:firstLine="632" w:firstLineChars="200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eastAsia="zh-CN"/>
        </w:rPr>
        <w:t>无。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beforeLines="0" w:afterLines="0" w:line="560" w:lineRule="exact"/>
        <w:ind w:left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转移支付</w:t>
      </w:r>
      <w:r>
        <w:rPr>
          <w:rFonts w:hint="eastAsia"/>
          <w:lang w:val="en-US" w:eastAsia="zh-CN"/>
        </w:rPr>
        <w:t>区域（项目）</w:t>
      </w:r>
      <w:r>
        <w:rPr>
          <w:rFonts w:hint="eastAsia"/>
          <w:lang w:eastAsia="zh-CN"/>
        </w:rPr>
        <w:t>绩效目标自评表</w:t>
      </w: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8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0FA036"/>
    <w:multiLevelType w:val="multilevel"/>
    <w:tmpl w:val="B90FA036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leftChars="0" w:firstLine="640" w:firstLineChars="0"/>
      </w:pPr>
      <w:rPr>
        <w:rFonts w:hint="eastAsia" w:ascii="方正黑体_GBK" w:hAnsi="方正黑体_GBK" w:eastAsia="方正黑体_GBK" w:cs="方正黑体_GBK"/>
        <w:outline w:val="0"/>
        <w:shadow w:val="0"/>
        <w:emboss w:val="0"/>
        <w:imprint w:val="0"/>
        <w:vanish w:val="0"/>
        <w:w w:val="100"/>
        <w:sz w:val="32"/>
        <w:szCs w:val="32"/>
        <w:u w:val="none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tabs>
          <w:tab w:val="left" w:pos="0"/>
        </w:tabs>
        <w:ind w:left="0" w:leftChars="0" w:firstLine="640" w:firstLineChars="0"/>
      </w:pPr>
      <w:rPr>
        <w:rFonts w:hint="eastAsia" w:ascii="方正楷体_GBK" w:hAnsi="方正楷体_GBK" w:eastAsia="方正楷体_GBK" w:cs="方正楷体_GBK"/>
        <w:outline w:val="0"/>
        <w:shadow w:val="0"/>
        <w:emboss w:val="0"/>
        <w:imprint w:val="0"/>
        <w:vanish w:val="0"/>
        <w:w w:val="100"/>
        <w:sz w:val="32"/>
        <w:szCs w:val="32"/>
        <w:u w:val="none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tabs>
          <w:tab w:val="left" w:pos="0"/>
        </w:tabs>
        <w:ind w:left="0" w:leftChars="0" w:firstLine="640" w:firstLineChars="0"/>
      </w:pPr>
      <w:rPr>
        <w:rFonts w:hint="eastAsia" w:ascii="仿宋_GB2312" w:hAnsi="方正仿宋_GBK" w:eastAsia="方正仿宋_GBK" w:cs="方正仿宋_GBK"/>
        <w:outline w:val="0"/>
        <w:shadow w:val="0"/>
        <w:emboss w:val="0"/>
        <w:imprint w:val="0"/>
        <w:vanish w:val="0"/>
        <w:w w:val="100"/>
        <w:sz w:val="32"/>
        <w:szCs w:val="32"/>
        <w:u w:val="none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tabs>
          <w:tab w:val="left" w:pos="0"/>
        </w:tabs>
        <w:ind w:left="0" w:leftChars="0" w:firstLine="640" w:firstLineChars="0"/>
      </w:pPr>
      <w:rPr>
        <w:rFonts w:hint="eastAsia" w:ascii="仿宋_GB2312" w:hAnsi="仿宋_GB2312" w:eastAsia="方正仿宋_GBK" w:cs="方正仿宋_GBK"/>
        <w:outline w:val="0"/>
        <w:shadow w:val="0"/>
        <w:emboss w:val="0"/>
        <w:imprint w:val="0"/>
        <w:vanish w:val="0"/>
        <w:w w:val="100"/>
        <w:sz w:val="32"/>
        <w:szCs w:val="32"/>
        <w:u w:val="none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tabs>
          <w:tab w:val="left" w:pos="0"/>
        </w:tabs>
        <w:ind w:left="0" w:leftChars="0" w:firstLine="640" w:firstLineChars="0"/>
      </w:pPr>
      <w:rPr>
        <w:rFonts w:hint="eastAsia" w:ascii="仿宋_GB2312" w:hAnsi="仿宋_GB2312" w:eastAsia="方正仿宋_GBK" w:cs="方正仿宋_GBK"/>
        <w:outline w:val="0"/>
        <w:shadow w:val="0"/>
        <w:emboss w:val="0"/>
        <w:imprint w:val="0"/>
        <w:vanish w:val="0"/>
        <w:w w:val="100"/>
        <w:sz w:val="32"/>
        <w:szCs w:val="32"/>
        <w:u w:val="none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tabs>
          <w:tab w:val="left" w:pos="0"/>
        </w:tabs>
        <w:ind w:left="0" w:leftChars="0" w:firstLine="640" w:firstLineChars="0"/>
      </w:pPr>
      <w:rPr>
        <w:rFonts w:hint="eastAsia" w:ascii="仿宋_GB2312" w:hAnsi="仿宋_GB2312" w:eastAsia="方正仿宋_GBK" w:cs="方正仿宋_GBK"/>
        <w:outline w:val="0"/>
        <w:shadow w:val="0"/>
        <w:emboss w:val="0"/>
        <w:imprint w:val="0"/>
        <w:vanish w:val="0"/>
        <w:w w:val="100"/>
        <w:sz w:val="32"/>
        <w:szCs w:val="32"/>
        <w:u w:val="none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tabs>
          <w:tab w:val="left" w:pos="0"/>
        </w:tabs>
        <w:ind w:left="0" w:leftChars="0" w:firstLine="640" w:firstLineChars="0"/>
      </w:pPr>
      <w:rPr>
        <w:rFonts w:hint="eastAsia" w:ascii="仿宋_GB2312" w:hAnsi="仿宋_GB2312" w:eastAsia="方正仿宋_GBK" w:cs="方正仿宋_GBK"/>
        <w:outline w:val="0"/>
        <w:shadow w:val="0"/>
        <w:emboss w:val="0"/>
        <w:imprint w:val="0"/>
        <w:vanish w:val="0"/>
        <w:w w:val="100"/>
        <w:sz w:val="32"/>
        <w:szCs w:val="32"/>
        <w:u w:val="none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tabs>
          <w:tab w:val="left" w:pos="0"/>
        </w:tabs>
        <w:ind w:left="0" w:leftChars="0" w:firstLine="640" w:firstLineChars="0"/>
      </w:pPr>
      <w:rPr>
        <w:rFonts w:hint="eastAsia" w:ascii="仿宋_GB2312" w:hAnsi="仿宋_GB2312" w:eastAsia="方正仿宋_GBK" w:cs="方正仿宋_GBK"/>
        <w:outline w:val="0"/>
        <w:shadow w:val="0"/>
        <w:emboss w:val="0"/>
        <w:imprint w:val="0"/>
        <w:vanish w:val="0"/>
        <w:w w:val="100"/>
        <w:sz w:val="32"/>
        <w:szCs w:val="32"/>
        <w:u w:val="none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tabs>
          <w:tab w:val="left" w:pos="0"/>
        </w:tabs>
        <w:ind w:left="0" w:leftChars="0" w:firstLine="640" w:firstLineChars="0"/>
      </w:pPr>
      <w:rPr>
        <w:rFonts w:hint="eastAsia" w:ascii="仿宋_GB2312" w:hAnsi="仿宋_GB2312" w:eastAsia="方正仿宋_GBK" w:cs="方正仿宋_GBK"/>
        <w:outline w:val="0"/>
        <w:shadow w:val="0"/>
        <w:emboss w:val="0"/>
        <w:imprint w:val="0"/>
        <w:vanish w:val="0"/>
        <w:w w:val="100"/>
        <w:sz w:val="32"/>
        <w:szCs w:val="3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632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MWFiNGViYTBhMzVkZDAyYmU5NjMzYzE1Yzg2MjgifQ=="/>
  </w:docVars>
  <w:rsids>
    <w:rsidRoot w:val="BE592974"/>
    <w:rsid w:val="05E76500"/>
    <w:rsid w:val="10DA3D8C"/>
    <w:rsid w:val="15692F72"/>
    <w:rsid w:val="16374BE0"/>
    <w:rsid w:val="1890733E"/>
    <w:rsid w:val="1B613C9A"/>
    <w:rsid w:val="1B9E2D10"/>
    <w:rsid w:val="1BB41A39"/>
    <w:rsid w:val="1D9C277E"/>
    <w:rsid w:val="21884273"/>
    <w:rsid w:val="21902632"/>
    <w:rsid w:val="233D5594"/>
    <w:rsid w:val="246411D6"/>
    <w:rsid w:val="2745757D"/>
    <w:rsid w:val="29A5697E"/>
    <w:rsid w:val="29C8106F"/>
    <w:rsid w:val="2A4E6BE6"/>
    <w:rsid w:val="35847960"/>
    <w:rsid w:val="379679DD"/>
    <w:rsid w:val="3EFFFD16"/>
    <w:rsid w:val="3FFF21E3"/>
    <w:rsid w:val="4A906C2F"/>
    <w:rsid w:val="54A541F0"/>
    <w:rsid w:val="56253605"/>
    <w:rsid w:val="58337298"/>
    <w:rsid w:val="5A34058B"/>
    <w:rsid w:val="5EE603E2"/>
    <w:rsid w:val="5F7527DE"/>
    <w:rsid w:val="626934C6"/>
    <w:rsid w:val="68D70236"/>
    <w:rsid w:val="6973688B"/>
    <w:rsid w:val="6A9C6F1F"/>
    <w:rsid w:val="7F703279"/>
    <w:rsid w:val="7FA37519"/>
    <w:rsid w:val="AED1CCE5"/>
    <w:rsid w:val="BE592974"/>
    <w:rsid w:val="DDFBA69E"/>
    <w:rsid w:val="FE278BE0"/>
    <w:rsid w:val="FFB78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ind w:firstLine="850" w:firstLineChars="200"/>
      <w:jc w:val="both"/>
    </w:pPr>
    <w:rPr>
      <w:rFonts w:ascii="Times New Roman" w:hAnsi="Times New Roman" w:eastAsia="方正仿宋_GBK" w:cs="方正仿宋_GBK"/>
      <w:kern w:val="0"/>
      <w:sz w:val="32"/>
      <w:szCs w:val="32"/>
      <w:lang w:val="en-US" w:eastAsia="zh-CN" w:bidi="ar-SA"/>
    </w:rPr>
  </w:style>
  <w:style w:type="paragraph" w:styleId="2">
    <w:name w:val="heading 1"/>
    <w:next w:val="1"/>
    <w:qFormat/>
    <w:uiPriority w:val="0"/>
    <w:pPr>
      <w:keepNext w:val="0"/>
      <w:keepLines w:val="0"/>
      <w:widowControl w:val="0"/>
      <w:numPr>
        <w:ilvl w:val="0"/>
        <w:numId w:val="1"/>
      </w:numPr>
      <w:overflowPunct w:val="0"/>
      <w:spacing w:beforeLines="0" w:beforeAutospacing="0" w:afterLines="0" w:afterAutospacing="0" w:line="240" w:lineRule="auto"/>
      <w:ind w:firstLine="640" w:firstLineChars="0"/>
      <w:jc w:val="both"/>
      <w:outlineLvl w:val="0"/>
    </w:pPr>
    <w:rPr>
      <w:rFonts w:ascii="方正黑体_GBK" w:hAnsi="方正黑体_GBK" w:eastAsia="方正黑体_GBK" w:cs="方正黑体_GBK"/>
      <w:kern w:val="0"/>
      <w:sz w:val="32"/>
      <w:szCs w:val="32"/>
    </w:rPr>
  </w:style>
  <w:style w:type="paragraph" w:styleId="3">
    <w:name w:val="heading 2"/>
    <w:next w:val="1"/>
    <w:unhideWhenUsed/>
    <w:qFormat/>
    <w:uiPriority w:val="0"/>
    <w:pPr>
      <w:keepNext w:val="0"/>
      <w:keepLines w:val="0"/>
      <w:widowControl w:val="0"/>
      <w:numPr>
        <w:ilvl w:val="1"/>
        <w:numId w:val="1"/>
      </w:numPr>
      <w:overflowPunct w:val="0"/>
      <w:spacing w:beforeLines="0" w:beforeAutospacing="0" w:afterLines="0" w:afterAutospacing="0" w:line="240" w:lineRule="auto"/>
      <w:ind w:firstLine="640" w:firstLineChars="0"/>
      <w:jc w:val="both"/>
      <w:outlineLvl w:val="1"/>
    </w:pPr>
    <w:rPr>
      <w:rFonts w:ascii="方正楷体_GBK" w:hAnsi="方正楷体_GBK" w:eastAsia="方正楷体_GBK" w:cs="方正楷体_GBK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 w:val="0"/>
      <w:keepLines w:val="0"/>
      <w:widowControl w:val="0"/>
      <w:numPr>
        <w:ilvl w:val="2"/>
        <w:numId w:val="1"/>
      </w:numPr>
      <w:overflowPunct w:val="0"/>
      <w:spacing w:beforeLines="0" w:beforeAutospacing="0" w:afterLines="0" w:afterAutospacing="0" w:line="240" w:lineRule="auto"/>
      <w:ind w:firstLine="640" w:firstLineChars="0"/>
      <w:jc w:val="both"/>
      <w:outlineLvl w:val="2"/>
    </w:pPr>
    <w:rPr>
      <w:rFonts w:ascii="Times New Roman" w:hAnsi="方正仿宋_GBK" w:eastAsia="方正仿宋_GBK" w:cs="方正仿宋_GBK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 w:val="0"/>
      <w:keepLines w:val="0"/>
      <w:widowControl w:val="0"/>
      <w:numPr>
        <w:ilvl w:val="3"/>
        <w:numId w:val="1"/>
      </w:numPr>
      <w:overflowPunct w:val="0"/>
      <w:spacing w:beforeLines="0" w:beforeAutospacing="0" w:afterLines="0" w:afterAutospacing="0" w:line="240" w:lineRule="auto"/>
      <w:ind w:firstLine="640" w:firstLineChars="0"/>
      <w:jc w:val="both"/>
      <w:outlineLvl w:val="3"/>
    </w:pPr>
    <w:rPr>
      <w:rFonts w:ascii="Times New Roman" w:hAnsi="方正仿宋_GBK" w:eastAsia="方正仿宋_GBK" w:cs="方正仿宋_GBK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keepNext w:val="0"/>
      <w:keepLines w:val="0"/>
      <w:widowControl w:val="0"/>
      <w:numPr>
        <w:ilvl w:val="4"/>
        <w:numId w:val="1"/>
      </w:numPr>
      <w:overflowPunct w:val="0"/>
      <w:spacing w:beforeLines="0" w:beforeAutospacing="0" w:afterLines="0" w:afterAutospacing="0" w:line="240" w:lineRule="auto"/>
      <w:ind w:firstLine="640" w:firstLineChars="0"/>
      <w:jc w:val="both"/>
      <w:outlineLvl w:val="4"/>
    </w:pPr>
    <w:rPr>
      <w:rFonts w:ascii="Times New Roman" w:hAnsi="方正仿宋_GBK" w:eastAsia="方正仿宋_GBK" w:cs="方正仿宋_GBK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keepNext w:val="0"/>
      <w:keepLines w:val="0"/>
      <w:widowControl w:val="0"/>
      <w:numPr>
        <w:ilvl w:val="5"/>
        <w:numId w:val="1"/>
      </w:numPr>
      <w:overflowPunct w:val="0"/>
      <w:spacing w:beforeLines="0" w:beforeAutospacing="0" w:afterLines="0" w:afterAutospacing="0" w:line="240" w:lineRule="auto"/>
      <w:ind w:firstLine="640" w:firstLineChars="0"/>
      <w:jc w:val="both"/>
      <w:outlineLvl w:val="5"/>
    </w:pPr>
    <w:rPr>
      <w:rFonts w:ascii="Times New Roman" w:hAnsi="方正仿宋_GBK" w:eastAsia="方正仿宋_GBK" w:cs="方正仿宋_GBK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keepNext w:val="0"/>
      <w:keepLines w:val="0"/>
      <w:widowControl w:val="0"/>
      <w:numPr>
        <w:ilvl w:val="6"/>
        <w:numId w:val="1"/>
      </w:numPr>
      <w:overflowPunct w:val="0"/>
      <w:spacing w:beforeLines="0" w:beforeAutospacing="0" w:afterLines="0" w:afterAutospacing="0" w:line="240" w:lineRule="auto"/>
      <w:ind w:firstLine="640" w:firstLineChars="0"/>
      <w:jc w:val="both"/>
      <w:outlineLvl w:val="6"/>
    </w:pPr>
    <w:rPr>
      <w:rFonts w:ascii="Times New Roman" w:hAnsi="方正仿宋_GBK" w:eastAsia="方正仿宋_GBK" w:cs="方正仿宋_GBK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keepNext w:val="0"/>
      <w:keepLines w:val="0"/>
      <w:widowControl w:val="0"/>
      <w:numPr>
        <w:ilvl w:val="7"/>
        <w:numId w:val="1"/>
      </w:numPr>
      <w:overflowPunct w:val="0"/>
      <w:spacing w:beforeLines="0" w:beforeAutospacing="0" w:afterLines="0" w:afterAutospacing="0" w:line="240" w:lineRule="auto"/>
      <w:ind w:firstLine="640" w:firstLineChars="0"/>
      <w:jc w:val="both"/>
      <w:outlineLvl w:val="7"/>
    </w:pPr>
    <w:rPr>
      <w:rFonts w:ascii="Times New Roman" w:hAnsi="方正仿宋_GBK" w:eastAsia="方正仿宋_GBK" w:cs="方正仿宋_GBK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keepNext w:val="0"/>
      <w:keepLines w:val="0"/>
      <w:widowControl w:val="0"/>
      <w:numPr>
        <w:ilvl w:val="8"/>
        <w:numId w:val="1"/>
      </w:numPr>
      <w:overflowPunct w:val="0"/>
      <w:spacing w:beforeLines="0" w:beforeAutospacing="0" w:afterLines="0" w:afterAutospacing="0" w:line="240" w:lineRule="auto"/>
      <w:ind w:firstLine="850" w:firstLineChars="200"/>
      <w:jc w:val="both"/>
      <w:outlineLvl w:val="8"/>
    </w:pPr>
    <w:rPr>
      <w:rFonts w:ascii="Times New Roman" w:hAnsi="方正仿宋_GBK" w:eastAsia="方正仿宋_GBK" w:cs="方正仿宋_GBK"/>
      <w:sz w:val="32"/>
      <w:szCs w:val="32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next w:val="1"/>
    <w:qFormat/>
    <w:uiPriority w:val="0"/>
    <w:pPr>
      <w:widowControl w:val="0"/>
      <w:overflowPunct w:val="0"/>
      <w:spacing w:beforeLines="0" w:beforeAutospacing="0" w:afterLines="0" w:afterAutospacing="0" w:line="240" w:lineRule="auto"/>
      <w:jc w:val="center"/>
      <w:outlineLvl w:val="9"/>
    </w:pPr>
    <w:rPr>
      <w:rFonts w:ascii="方正楷体_GBK" w:hAnsi="方正楷体_GBK" w:eastAsia="方正楷体_GBK" w:cs="方正楷体_GBK"/>
      <w:kern w:val="0"/>
      <w:sz w:val="32"/>
      <w:szCs w:val="32"/>
    </w:rPr>
  </w:style>
  <w:style w:type="paragraph" w:styleId="1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6">
    <w:name w:val="Title"/>
    <w:next w:val="1"/>
    <w:qFormat/>
    <w:uiPriority w:val="0"/>
    <w:pPr>
      <w:widowControl w:val="0"/>
      <w:overflowPunct w:val="0"/>
      <w:snapToGrid w:val="0"/>
      <w:spacing w:beforeLines="0" w:beforeAutospacing="0" w:afterLines="0" w:afterAutospacing="0"/>
      <w:jc w:val="center"/>
      <w:outlineLvl w:val="9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YYC/C:\home\user\D:\data\home\user\MyDataDisk\Document_Backup\2019\&#20844;&#25991;&#27169;&#26495;\&#20844;&#25991;&#27169;&#26495;&#65288;&#30333;&#22836;&#65289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公文模板（白头）.dotx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2023-03-01T07:32:00Z</dcterms:created>
  <dc:creator>杨玉成</dc:creator>
  <cp:lastModifiedBy>杨玉成</cp:lastModifiedBy>
  <cp:lastPrinted>2024-03-04T17:48:00Z</cp:lastPrinted>
  <dcterms:modified xsi:type="dcterms:W3CDTF">2024-04-05T19:17:36Z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B56E7FE149A84F2FA37C41EA2A316E13</vt:lpwstr>
  </property>
</Properties>
</file>