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rPr>
          <w:rFonts w:hint="eastAsia" w:ascii="方正黑体_GBK" w:hAnsi="方正黑体_GBK" w:eastAsia="方正黑体_GBK" w:cs="方正黑体_GBK"/>
          <w:outline w:val="0"/>
          <w:shadow w:val="0"/>
          <w:emboss w:val="0"/>
          <w:imprint w:val="0"/>
          <w:vanish w:val="0"/>
          <w:w w:val="100"/>
          <w:sz w:val="32"/>
          <w:szCs w:val="32"/>
          <w:u w:val="none"/>
          <w:lang w:eastAsia="zh-CN"/>
        </w:rPr>
      </w:pPr>
    </w:p>
    <w:p>
      <w:pPr>
        <w:ind w:left="0" w:leftChars="0" w:firstLine="0" w:firstLineChars="0"/>
        <w:rPr>
          <w:rFonts w:hint="eastAsia" w:cs="方正仿宋_GBK"/>
          <w:outline w:val="0"/>
          <w:shadow w:val="0"/>
          <w:emboss w:val="0"/>
          <w:imprint w:val="0"/>
          <w:vanish w:val="0"/>
          <w:w w:val="100"/>
          <w:sz w:val="32"/>
          <w:szCs w:val="32"/>
          <w:u w:val="none"/>
          <w:lang w:eastAsia="zh-CN"/>
        </w:rPr>
      </w:pPr>
    </w:p>
    <w:p>
      <w:pPr>
        <w:pStyle w:val="15"/>
        <w:bidi w:val="0"/>
        <w:rPr>
          <w:rFonts w:hint="eastAsia"/>
          <w:spacing w:val="0"/>
          <w:sz w:val="44"/>
          <w:lang w:eastAsia="zh-CN"/>
        </w:rPr>
      </w:pPr>
      <w:r>
        <w:rPr>
          <w:rFonts w:hint="eastAsia"/>
          <w:spacing w:val="0"/>
          <w:sz w:val="44"/>
          <w:lang w:eastAsia="zh-CN"/>
        </w:rPr>
        <w:t>德宏州</w:t>
      </w:r>
      <w:r>
        <w:rPr>
          <w:rFonts w:hint="eastAsia"/>
          <w:spacing w:val="0"/>
          <w:sz w:val="44"/>
          <w:lang w:val="en-US" w:eastAsia="zh-CN"/>
        </w:rPr>
        <w:t>2023年度</w:t>
      </w:r>
      <w:r>
        <w:rPr>
          <w:rFonts w:hint="eastAsia"/>
          <w:spacing w:val="0"/>
          <w:sz w:val="44"/>
          <w:lang w:eastAsia="zh-CN"/>
        </w:rPr>
        <w:t>医疗服务与保障能力提升</w:t>
      </w:r>
      <w:r>
        <w:rPr>
          <w:rFonts w:hint="eastAsia"/>
          <w:spacing w:val="0"/>
          <w:sz w:val="44"/>
          <w:lang w:eastAsia="zh-CN"/>
        </w:rPr>
        <w:br w:type="textWrapping"/>
      </w:r>
      <w:r>
        <w:rPr>
          <w:rFonts w:hint="eastAsia"/>
          <w:spacing w:val="0"/>
          <w:sz w:val="44"/>
          <w:lang w:eastAsia="zh-CN"/>
        </w:rPr>
        <w:t>中央专项转移支付资金绩效自评报告</w:t>
      </w:r>
    </w:p>
    <w:p>
      <w:pPr>
        <w:pStyle w:val="14"/>
        <w:bidi w:val="0"/>
        <w:rPr>
          <w:rFonts w:hint="eastAsia"/>
          <w:lang w:eastAsia="zh-CN"/>
        </w:rPr>
      </w:pPr>
    </w:p>
    <w:p>
      <w:pPr>
        <w:pStyle w:val="14"/>
        <w:bidi w:val="0"/>
        <w:rPr>
          <w:rFonts w:hint="eastAsia"/>
          <w:lang w:eastAsia="zh-CN"/>
        </w:rPr>
      </w:pPr>
      <w:r>
        <w:rPr>
          <w:rFonts w:hint="eastAsia"/>
          <w:lang w:eastAsia="zh-CN"/>
        </w:rPr>
        <w:t>（德宏州卫生健康委员会）</w:t>
      </w:r>
    </w:p>
    <w:p>
      <w:pPr>
        <w:ind w:left="0" w:leftChars="0" w:firstLine="0" w:firstLineChars="0"/>
        <w:rPr>
          <w:rFonts w:hint="eastAsia" w:cs="方正仿宋_GBK"/>
          <w:outline w:val="0"/>
          <w:shadow w:val="0"/>
          <w:emboss w:val="0"/>
          <w:imprint w:val="0"/>
          <w:vanish w:val="0"/>
          <w:w w:val="100"/>
          <w:sz w:val="32"/>
          <w:szCs w:val="32"/>
          <w:u w:val="none"/>
          <w:lang w:eastAsia="zh-CN"/>
        </w:rPr>
      </w:pPr>
    </w:p>
    <w:p>
      <w:pPr>
        <w:pStyle w:val="2"/>
        <w:bidi w:val="0"/>
        <w:rPr>
          <w:rFonts w:hint="eastAsia"/>
          <w:lang w:eastAsia="zh-CN"/>
        </w:rPr>
      </w:pPr>
      <w:r>
        <w:rPr>
          <w:rFonts w:hint="eastAsia"/>
          <w:lang w:eastAsia="zh-CN"/>
        </w:rPr>
        <w:t>基本情况</w:t>
      </w:r>
    </w:p>
    <w:p>
      <w:pPr>
        <w:pStyle w:val="3"/>
        <w:bidi w:val="0"/>
        <w:rPr>
          <w:rFonts w:hint="eastAsia"/>
          <w:lang w:eastAsia="zh-CN"/>
        </w:rPr>
      </w:pPr>
      <w:r>
        <w:rPr>
          <w:rFonts w:hint="eastAsia"/>
          <w:lang w:eastAsia="zh-CN"/>
        </w:rPr>
        <w:t>转移支付概况</w:t>
      </w:r>
    </w:p>
    <w:p>
      <w:pPr>
        <w:pStyle w:val="4"/>
        <w:bidi w:val="0"/>
        <w:rPr>
          <w:rFonts w:hint="eastAsia"/>
          <w:b/>
          <w:bCs/>
          <w:lang w:eastAsia="zh-CN"/>
        </w:rPr>
      </w:pPr>
      <w:r>
        <w:rPr>
          <w:rFonts w:hint="eastAsia"/>
          <w:b/>
          <w:bCs/>
          <w:lang w:eastAsia="zh-CN"/>
        </w:rPr>
        <w:t>政策背景</w:t>
      </w:r>
    </w:p>
    <w:p>
      <w:pPr>
        <w:bidi w:val="0"/>
        <w:rPr>
          <w:rFonts w:hint="eastAsia"/>
          <w:lang w:eastAsia="zh-CN"/>
        </w:rPr>
      </w:pPr>
      <w:r>
        <w:rPr>
          <w:rFonts w:hint="eastAsia"/>
          <w:lang w:eastAsia="zh-CN"/>
        </w:rPr>
        <w:t>根据国务院《</w:t>
      </w:r>
      <w:r>
        <w:rPr>
          <w:rFonts w:hint="eastAsia" w:ascii="方正仿宋_GBK" w:hAnsi="方正仿宋_GBK" w:eastAsia="方正仿宋_GBK" w:cs="方正仿宋_GBK"/>
          <w:lang w:eastAsia="zh-CN"/>
        </w:rPr>
        <w:t>“</w:t>
      </w:r>
      <w:r>
        <w:rPr>
          <w:rFonts w:hint="eastAsia"/>
          <w:lang w:eastAsia="zh-CN"/>
        </w:rPr>
        <w:t>健康中国2030</w:t>
      </w:r>
      <w:r>
        <w:rPr>
          <w:rFonts w:hint="eastAsia" w:ascii="方正仿宋_GBK" w:hAnsi="方正仿宋_GBK" w:eastAsia="方正仿宋_GBK" w:cs="方正仿宋_GBK"/>
          <w:lang w:eastAsia="zh-CN"/>
        </w:rPr>
        <w:t>”</w:t>
      </w:r>
      <w:r>
        <w:rPr>
          <w:rFonts w:hint="eastAsia"/>
          <w:lang w:eastAsia="zh-CN"/>
        </w:rPr>
        <w:t>规划纲要》《中医药发展战略规划纲要（2016－2030年）》,以及深化医药卫生体制改革总体要求和工作部署安排使用,医疗服务与保障能力提升补助资金重点支持公立医院综合改革、医疗卫生机构能力建设、卫生健康人才培养、医疗保障服务能力建设、中医药事业传承与发展以及其他医改相关工作，具体内容和方式由财政部会同国家卫生健康委、国家医疗保障局、国家中医药管理局根据国务院有关要求、相关规划以及医疗服务与医疗保障领域年度重点工作安排研究确定。</w:t>
      </w:r>
    </w:p>
    <w:p>
      <w:pPr>
        <w:pStyle w:val="4"/>
        <w:bidi w:val="0"/>
        <w:rPr>
          <w:rFonts w:hint="eastAsia"/>
          <w:b/>
          <w:bCs/>
          <w:lang w:eastAsia="zh-CN"/>
        </w:rPr>
      </w:pPr>
      <w:r>
        <w:rPr>
          <w:rFonts w:hint="eastAsia"/>
          <w:b/>
          <w:bCs/>
          <w:lang w:eastAsia="zh-CN"/>
        </w:rPr>
        <w:t>资金情况</w:t>
      </w:r>
    </w:p>
    <w:p>
      <w:pPr>
        <w:bidi w:val="0"/>
        <w:rPr>
          <w:rFonts w:hint="eastAsia"/>
          <w:lang w:val="en-US" w:eastAsia="zh-CN"/>
        </w:rPr>
      </w:pPr>
      <w:r>
        <w:rPr>
          <w:rFonts w:hint="eastAsia"/>
          <w:lang w:val="en-US" w:eastAsia="zh-CN"/>
        </w:rPr>
        <w:t>补助资金上级采用因素法分配，通过共同财政事权转移支付方式安排，其中公立医院综合改革、卫生健康人才培养、医疗卫生机构能力建设补助资金分配主要考虑补助对象数量、补助标准等因素。中医药事业传承与发展补助资金分配时主要考虑基础因素、工作任务量因素、绩效因素等因素。实施期限根据医疗卫生领域中央与地方财政事权和支出责任划分改革方案的调整相应进行调整。</w:t>
      </w:r>
    </w:p>
    <w:p>
      <w:pPr>
        <w:bidi w:val="0"/>
        <w:rPr>
          <w:rFonts w:hint="eastAsia"/>
          <w:lang w:eastAsia="zh-CN"/>
        </w:rPr>
      </w:pPr>
      <w:r>
        <w:rPr>
          <w:rFonts w:hint="eastAsia"/>
        </w:rPr>
        <w:t>2023年上级下达我州医疗服务与保障能力提升</w:t>
      </w:r>
      <w:r>
        <w:rPr>
          <w:rFonts w:hint="eastAsia"/>
          <w:lang w:eastAsia="zh-CN"/>
        </w:rPr>
        <w:t>项目</w:t>
      </w:r>
      <w:r>
        <w:rPr>
          <w:rFonts w:hint="eastAsia"/>
        </w:rPr>
        <w:t>中央补助资金</w:t>
      </w:r>
      <w:r>
        <w:rPr>
          <w:rFonts w:hint="eastAsia"/>
          <w:lang w:val="en-US" w:eastAsia="zh-CN"/>
        </w:rPr>
        <w:t>10</w:t>
      </w:r>
      <w:r>
        <w:rPr>
          <w:rFonts w:hint="eastAsia"/>
        </w:rPr>
        <w:t>笔共计4193.76万元，我州对应中央资金下达预算，分批下达各县市、各单位</w:t>
      </w:r>
      <w:r>
        <w:rPr>
          <w:rFonts w:hint="eastAsia"/>
          <w:lang w:eastAsia="zh-CN"/>
        </w:rPr>
        <w:t>。</w:t>
      </w:r>
    </w:p>
    <w:p>
      <w:pPr>
        <w:bidi w:val="0"/>
        <w:rPr>
          <w:rFonts w:hint="eastAsia"/>
          <w:lang w:eastAsia="zh-CN"/>
        </w:rPr>
      </w:pPr>
    </w:p>
    <w:p>
      <w:pPr>
        <w:keepNext w:val="0"/>
        <w:keepLines w:val="0"/>
        <w:pageBreakBefore w:val="0"/>
        <w:widowControl w:val="0"/>
        <w:kinsoku/>
        <w:wordWrap/>
        <w:overflowPunct w:val="0"/>
        <w:topLinePunct w:val="0"/>
        <w:autoSpaceDE/>
        <w:autoSpaceDN/>
        <w:bidi w:val="0"/>
        <w:adjustRightInd/>
        <w:snapToGrid w:val="0"/>
        <w:spacing w:line="20" w:lineRule="exact"/>
        <w:textAlignment w:val="auto"/>
        <w:rPr>
          <w:rFonts w:hint="eastAsia"/>
          <w:lang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3946525</wp:posOffset>
                </wp:positionH>
                <wp:positionV relativeFrom="paragraph">
                  <wp:posOffset>53975</wp:posOffset>
                </wp:positionV>
                <wp:extent cx="571500" cy="212090"/>
                <wp:effectExtent l="0" t="0" r="0" b="16510"/>
                <wp:wrapNone/>
                <wp:docPr id="1" name="文本框 1"/>
                <wp:cNvGraphicFramePr/>
                <a:graphic xmlns:a="http://schemas.openxmlformats.org/drawingml/2006/main">
                  <a:graphicData uri="http://schemas.microsoft.com/office/word/2010/wordprocessingShape">
                    <wps:wsp>
                      <wps:cNvSpPr txBox="1"/>
                      <wps:spPr>
                        <a:xfrm>
                          <a:off x="1758950" y="4328795"/>
                          <a:ext cx="571500" cy="2120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keepLines w:val="0"/>
                              <w:pageBreakBefore w:val="0"/>
                              <w:widowControl w:val="0"/>
                              <w:kinsoku/>
                              <w:wordWrap/>
                              <w:overflowPunct w:val="0"/>
                              <w:topLinePunct w:val="0"/>
                              <w:autoSpaceDE/>
                              <w:autoSpaceDN/>
                              <w:bidi w:val="0"/>
                              <w:adjustRightInd/>
                              <w:snapToGrid w:val="0"/>
                              <w:ind w:firstLine="0" w:firstLineChars="0"/>
                              <w:textAlignment w:val="auto"/>
                              <w:rPr>
                                <w:sz w:val="21"/>
                                <w:szCs w:val="21"/>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10.75pt;margin-top:4.25pt;height:16.7pt;width:45pt;z-index:251660288;mso-width-relative:page;mso-height-relative:page;" fillcolor="#FFFFFF [3201]" filled="t" stroked="f" coordsize="21600,21600" o:gfxdata="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">
                <v:fill on="t" focussize="0,0"/>
                <v:stroke on="f" weight="0.5pt"/>
                <v:imagedata o:title=""/>
                <o:lock v:ext="edit" aspectratio="f"/>
                <v:textbox inset="0mm,0mm,0mm,0mm">
                  <w:txbxContent>
                    <w:p>
                      <w:pPr>
                        <w:keepNext/>
                        <w:keepLines w:val="0"/>
                        <w:pageBreakBefore w:val="0"/>
                        <w:widowControl w:val="0"/>
                        <w:kinsoku/>
                        <w:wordWrap/>
                        <w:overflowPunct w:val="0"/>
                        <w:topLinePunct w:val="0"/>
                        <w:autoSpaceDE/>
                        <w:autoSpaceDN/>
                        <w:bidi w:val="0"/>
                        <w:adjustRightInd/>
                        <w:snapToGrid w:val="0"/>
                        <w:ind w:firstLine="0" w:firstLineChars="0"/>
                        <w:textAlignment w:val="auto"/>
                        <w:rPr>
                          <w:sz w:val="21"/>
                          <w:szCs w:val="21"/>
                        </w:rPr>
                      </w:pPr>
                    </w:p>
                  </w:txbxContent>
                </v:textbox>
              </v:shape>
            </w:pict>
          </mc:Fallback>
        </mc:AlternateContent>
      </w:r>
    </w:p>
    <w:p>
      <w:pPr>
        <w:keepNext w:val="0"/>
        <w:keepLines w:val="0"/>
        <w:pageBreakBefore w:val="0"/>
        <w:widowControl w:val="0"/>
        <w:kinsoku/>
        <w:wordWrap/>
        <w:overflowPunct w:val="0"/>
        <w:topLinePunct w:val="0"/>
        <w:autoSpaceDE/>
        <w:autoSpaceDN/>
        <w:bidi w:val="0"/>
        <w:adjustRightInd/>
        <w:snapToGrid/>
        <w:spacing w:line="20" w:lineRule="exact"/>
        <w:textAlignment w:val="auto"/>
        <w:rPr>
          <w:rFonts w:hint="eastAsia"/>
          <w:lang w:val="en-US" w:eastAsia="zh-CN"/>
        </w:rPr>
      </w:pP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391"/>
        <w:gridCol w:w="2349"/>
        <w:gridCol w:w="872"/>
        <w:gridCol w:w="872"/>
        <w:gridCol w:w="872"/>
        <w:gridCol w:w="872"/>
        <w:gridCol w:w="872"/>
        <w:gridCol w:w="872"/>
        <w:gridCol w:w="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352" w:hRule="atLeast"/>
          <w:tblHeader/>
          <w:jc w:val="center"/>
        </w:trPr>
        <w:tc>
          <w:tcPr>
            <w:tcW w:w="5000" w:type="pct"/>
            <w:gridSpan w:val="9"/>
            <w:tcBorders>
              <w:top w:val="nil"/>
              <w:left w:val="nil"/>
              <w:bottom w:val="nil"/>
              <w:right w:val="nil"/>
            </w:tcBorders>
            <w:shd w:val="clear" w:color="auto" w:fill="auto"/>
            <w:noWrap/>
            <w:vAlign w:val="center"/>
          </w:tcPr>
          <w:p>
            <w:pPr>
              <w:pStyle w:val="11"/>
              <w:keepNext/>
              <w:keepLines/>
              <w:pageBreakBefore w:val="0"/>
              <w:widowControl/>
              <w:tabs>
                <w:tab w:val="center" w:pos="4422"/>
              </w:tabs>
              <w:kinsoku/>
              <w:wordWrap/>
              <w:overflowPunct w:val="0"/>
              <w:topLinePunct w:val="0"/>
              <w:autoSpaceDE/>
              <w:autoSpaceDN/>
              <w:bidi w:val="0"/>
              <w:adjustRightInd/>
              <w:snapToGrid w:val="0"/>
              <w:ind w:firstLine="0" w:firstLineChars="0"/>
              <w:jc w:val="center"/>
              <w:textAlignment w:val="auto"/>
              <w:rPr>
                <w:rFonts w:hint="default" w:ascii="Times New Roman" w:hAnsi="Times New Roman" w:eastAsia="方正仿宋_GBK" w:cs="Times New Roman"/>
                <w:b w:val="0"/>
                <w:bCs w:val="0"/>
                <w:i w:val="0"/>
                <w:iCs w:val="0"/>
                <w:color w:val="000000"/>
                <w:spacing w:val="0"/>
                <w:w w:val="100"/>
                <w:kern w:val="0"/>
                <w:sz w:val="21"/>
                <w:szCs w:val="21"/>
                <w:u w:val="none"/>
                <w:lang w:val="en-US" w:eastAsia="zh-CN" w:bidi="ar"/>
              </w:rPr>
            </w:pPr>
            <w:r>
              <w:rPr>
                <w:sz w:val="28"/>
                <w:szCs w:val="28"/>
              </w:rPr>
              <w:t>表</w:t>
            </w:r>
            <w:r>
              <w:rPr>
                <w:sz w:val="28"/>
                <w:szCs w:val="28"/>
              </w:rPr>
              <w:fldChar w:fldCharType="begin"/>
            </w:r>
            <w:r>
              <w:rPr>
                <w:sz w:val="28"/>
                <w:szCs w:val="28"/>
              </w:rPr>
              <w:instrText xml:space="preserve"> SEQ 表 \* ARABIC </w:instrText>
            </w:r>
            <w:r>
              <w:rPr>
                <w:sz w:val="28"/>
                <w:szCs w:val="28"/>
              </w:rPr>
              <w:fldChar w:fldCharType="separate"/>
            </w:r>
            <w:r>
              <w:rPr>
                <w:sz w:val="28"/>
                <w:szCs w:val="28"/>
              </w:rPr>
              <w:t>1</w:t>
            </w:r>
            <w:r>
              <w:rPr>
                <w:sz w:val="28"/>
                <w:szCs w:val="28"/>
              </w:rPr>
              <w:fldChar w:fldCharType="end"/>
            </w:r>
            <w:r>
              <w:rPr>
                <w:rFonts w:hint="eastAsia"/>
                <w:sz w:val="28"/>
                <w:szCs w:val="28"/>
                <w:lang w:eastAsia="zh-CN"/>
              </w:rPr>
              <w:t xml:space="preserve"> </w:t>
            </w:r>
            <w:r>
              <w:rPr>
                <w:rFonts w:hint="eastAsia"/>
                <w:sz w:val="28"/>
                <w:szCs w:val="28"/>
                <w:lang w:val="en-US" w:eastAsia="zh-CN"/>
              </w:rPr>
              <w:t xml:space="preserve"> </w:t>
            </w:r>
            <w:r>
              <w:rPr>
                <w:rFonts w:hint="eastAsia"/>
                <w:sz w:val="28"/>
                <w:szCs w:val="28"/>
                <w:lang w:eastAsia="zh-CN"/>
              </w:rPr>
              <w:t>中央转移支付资金下达情况表（续）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2" w:hRule="atLeast"/>
          <w:tblHeader/>
          <w:jc w:val="center"/>
        </w:trPr>
        <w:tc>
          <w:tcPr>
            <w:tcW w:w="5000" w:type="pct"/>
            <w:gridSpan w:val="9"/>
            <w:tcBorders>
              <w:top w:val="nil"/>
              <w:left w:val="nil"/>
              <w:right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right"/>
              <w:textAlignment w:val="center"/>
              <w:rPr>
                <w:rFonts w:hint="default" w:ascii="Times New Roman" w:hAnsi="Times New Roman" w:eastAsia="方正仿宋_GBK" w:cs="Times New Roman"/>
                <w:b w:val="0"/>
                <w:bCs w:val="0"/>
                <w:i w:val="0"/>
                <w:iCs w:val="0"/>
                <w:color w:val="000000"/>
                <w:spacing w:val="0"/>
                <w:w w:val="100"/>
                <w:kern w:val="0"/>
                <w:sz w:val="21"/>
                <w:szCs w:val="21"/>
                <w:u w:val="none"/>
                <w:lang w:val="en-US" w:eastAsia="zh-CN" w:bidi="ar"/>
              </w:rPr>
            </w:pPr>
            <w:r>
              <w:rPr>
                <w:rFonts w:hint="default" w:ascii="Times New Roman" w:hAnsi="Times New Roman" w:eastAsia="方正仿宋_GBK" w:cs="Times New Roman"/>
                <w:b w:val="0"/>
                <w:bCs w:val="0"/>
                <w:i w:val="0"/>
                <w:iCs w:val="0"/>
                <w:color w:val="000000"/>
                <w:spacing w:val="0"/>
                <w:w w:val="100"/>
                <w:kern w:val="0"/>
                <w:sz w:val="21"/>
                <w:szCs w:val="21"/>
                <w:u w:val="none"/>
                <w:lang w:val="en-US" w:eastAsia="zh-CN" w:bidi="ar"/>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6" w:hRule="atLeast"/>
          <w:tblHeader/>
          <w:jc w:val="center"/>
        </w:trPr>
        <w:tc>
          <w:tcPr>
            <w:tcW w:w="221"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b/>
                <w:bCs/>
                <w:i w:val="0"/>
                <w:iCs w:val="0"/>
                <w:color w:val="000000"/>
                <w:spacing w:val="0"/>
                <w:w w:val="100"/>
                <w:sz w:val="21"/>
                <w:szCs w:val="21"/>
                <w:u w:val="none"/>
              </w:rPr>
            </w:pPr>
            <w:r>
              <w:rPr>
                <w:rFonts w:hint="default" w:ascii="Times New Roman" w:hAnsi="Times New Roman" w:eastAsia="方正仿宋_GBK" w:cs="Times New Roman"/>
                <w:b/>
                <w:bCs/>
                <w:i w:val="0"/>
                <w:iCs w:val="0"/>
                <w:color w:val="000000"/>
                <w:spacing w:val="0"/>
                <w:w w:val="100"/>
                <w:kern w:val="0"/>
                <w:sz w:val="21"/>
                <w:szCs w:val="21"/>
                <w:u w:val="none"/>
                <w:lang w:val="en-US" w:eastAsia="zh-CN" w:bidi="ar"/>
              </w:rPr>
              <w:t>序号</w:t>
            </w:r>
          </w:p>
        </w:tc>
        <w:tc>
          <w:tcPr>
            <w:tcW w:w="1327"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b/>
                <w:bCs/>
                <w:i w:val="0"/>
                <w:iCs w:val="0"/>
                <w:color w:val="000000"/>
                <w:spacing w:val="0"/>
                <w:w w:val="100"/>
                <w:sz w:val="21"/>
                <w:szCs w:val="21"/>
                <w:u w:val="none"/>
              </w:rPr>
            </w:pPr>
            <w:r>
              <w:rPr>
                <w:rFonts w:hint="default" w:ascii="Times New Roman" w:hAnsi="Times New Roman" w:eastAsia="方正仿宋_GBK" w:cs="Times New Roman"/>
                <w:b/>
                <w:bCs/>
                <w:i w:val="0"/>
                <w:iCs w:val="0"/>
                <w:color w:val="000000"/>
                <w:spacing w:val="0"/>
                <w:w w:val="100"/>
                <w:kern w:val="0"/>
                <w:sz w:val="21"/>
                <w:szCs w:val="21"/>
                <w:u w:val="none"/>
                <w:lang w:val="en-US" w:eastAsia="zh-CN" w:bidi="ar"/>
              </w:rPr>
              <w:t>下达指标文号</w:t>
            </w:r>
          </w:p>
        </w:tc>
        <w:tc>
          <w:tcPr>
            <w:tcW w:w="492"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b/>
                <w:bCs/>
                <w:i w:val="0"/>
                <w:iCs w:val="0"/>
                <w:color w:val="000000"/>
                <w:spacing w:val="0"/>
                <w:w w:val="100"/>
                <w:sz w:val="21"/>
                <w:szCs w:val="21"/>
                <w:u w:val="none"/>
              </w:rPr>
            </w:pPr>
            <w:r>
              <w:rPr>
                <w:rFonts w:hint="default" w:ascii="Times New Roman" w:hAnsi="Times New Roman" w:eastAsia="方正仿宋_GBK" w:cs="Times New Roman"/>
                <w:b/>
                <w:bCs/>
                <w:i w:val="0"/>
                <w:iCs w:val="0"/>
                <w:color w:val="000000"/>
                <w:spacing w:val="0"/>
                <w:w w:val="100"/>
                <w:kern w:val="0"/>
                <w:sz w:val="21"/>
                <w:szCs w:val="21"/>
                <w:u w:val="none"/>
                <w:lang w:val="en-US" w:eastAsia="zh-CN" w:bidi="ar"/>
              </w:rPr>
              <w:t>合计</w:t>
            </w:r>
          </w:p>
        </w:tc>
        <w:tc>
          <w:tcPr>
            <w:tcW w:w="492"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b/>
                <w:bCs/>
                <w:i w:val="0"/>
                <w:iCs w:val="0"/>
                <w:color w:val="000000"/>
                <w:spacing w:val="0"/>
                <w:w w:val="100"/>
                <w:sz w:val="21"/>
                <w:szCs w:val="21"/>
                <w:u w:val="none"/>
              </w:rPr>
            </w:pPr>
            <w:r>
              <w:rPr>
                <w:rFonts w:hint="default" w:ascii="Times New Roman" w:hAnsi="Times New Roman" w:eastAsia="方正仿宋_GBK" w:cs="Times New Roman"/>
                <w:b/>
                <w:bCs/>
                <w:i w:val="0"/>
                <w:iCs w:val="0"/>
                <w:color w:val="000000"/>
                <w:spacing w:val="0"/>
                <w:w w:val="100"/>
                <w:kern w:val="0"/>
                <w:sz w:val="21"/>
                <w:szCs w:val="21"/>
                <w:u w:val="none"/>
                <w:lang w:val="en-US" w:eastAsia="zh-CN" w:bidi="ar"/>
              </w:rPr>
              <w:t>芒市</w:t>
            </w:r>
          </w:p>
        </w:tc>
        <w:tc>
          <w:tcPr>
            <w:tcW w:w="492"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b/>
                <w:bCs/>
                <w:i w:val="0"/>
                <w:iCs w:val="0"/>
                <w:color w:val="000000"/>
                <w:spacing w:val="0"/>
                <w:w w:val="100"/>
                <w:sz w:val="21"/>
                <w:szCs w:val="21"/>
                <w:u w:val="none"/>
              </w:rPr>
            </w:pPr>
            <w:r>
              <w:rPr>
                <w:rFonts w:hint="default" w:ascii="Times New Roman" w:hAnsi="Times New Roman" w:eastAsia="方正仿宋_GBK" w:cs="Times New Roman"/>
                <w:b/>
                <w:bCs/>
                <w:i w:val="0"/>
                <w:iCs w:val="0"/>
                <w:color w:val="000000"/>
                <w:spacing w:val="0"/>
                <w:w w:val="100"/>
                <w:kern w:val="0"/>
                <w:sz w:val="21"/>
                <w:szCs w:val="21"/>
                <w:u w:val="none"/>
                <w:lang w:val="en-US" w:eastAsia="zh-CN" w:bidi="ar"/>
              </w:rPr>
              <w:t>梁河县</w:t>
            </w:r>
          </w:p>
        </w:tc>
        <w:tc>
          <w:tcPr>
            <w:tcW w:w="492"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b/>
                <w:bCs/>
                <w:i w:val="0"/>
                <w:iCs w:val="0"/>
                <w:color w:val="000000"/>
                <w:spacing w:val="0"/>
                <w:w w:val="100"/>
                <w:sz w:val="21"/>
                <w:szCs w:val="21"/>
                <w:u w:val="none"/>
              </w:rPr>
            </w:pPr>
            <w:r>
              <w:rPr>
                <w:rFonts w:hint="default" w:ascii="Times New Roman" w:hAnsi="Times New Roman" w:eastAsia="方正仿宋_GBK" w:cs="Times New Roman"/>
                <w:b/>
                <w:bCs/>
                <w:i w:val="0"/>
                <w:iCs w:val="0"/>
                <w:color w:val="000000"/>
                <w:spacing w:val="0"/>
                <w:w w:val="100"/>
                <w:kern w:val="0"/>
                <w:sz w:val="21"/>
                <w:szCs w:val="21"/>
                <w:u w:val="none"/>
                <w:lang w:val="en-US" w:eastAsia="zh-CN" w:bidi="ar"/>
              </w:rPr>
              <w:t>盈江县</w:t>
            </w:r>
          </w:p>
        </w:tc>
        <w:tc>
          <w:tcPr>
            <w:tcW w:w="492"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b/>
                <w:bCs/>
                <w:i w:val="0"/>
                <w:iCs w:val="0"/>
                <w:color w:val="000000"/>
                <w:spacing w:val="0"/>
                <w:w w:val="100"/>
                <w:sz w:val="21"/>
                <w:szCs w:val="21"/>
                <w:u w:val="none"/>
              </w:rPr>
            </w:pPr>
            <w:r>
              <w:rPr>
                <w:rFonts w:hint="default" w:ascii="Times New Roman" w:hAnsi="Times New Roman" w:eastAsia="方正仿宋_GBK" w:cs="Times New Roman"/>
                <w:b/>
                <w:bCs/>
                <w:i w:val="0"/>
                <w:iCs w:val="0"/>
                <w:color w:val="000000"/>
                <w:spacing w:val="0"/>
                <w:w w:val="100"/>
                <w:kern w:val="0"/>
                <w:sz w:val="21"/>
                <w:szCs w:val="21"/>
                <w:u w:val="none"/>
                <w:lang w:val="en-US" w:eastAsia="zh-CN" w:bidi="ar"/>
              </w:rPr>
              <w:t>陇川县</w:t>
            </w:r>
          </w:p>
        </w:tc>
        <w:tc>
          <w:tcPr>
            <w:tcW w:w="492"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b/>
                <w:bCs/>
                <w:i w:val="0"/>
                <w:iCs w:val="0"/>
                <w:color w:val="000000"/>
                <w:spacing w:val="0"/>
                <w:w w:val="100"/>
                <w:sz w:val="21"/>
                <w:szCs w:val="21"/>
                <w:u w:val="none"/>
              </w:rPr>
            </w:pPr>
            <w:r>
              <w:rPr>
                <w:rFonts w:hint="default" w:ascii="Times New Roman" w:hAnsi="Times New Roman" w:eastAsia="方正仿宋_GBK" w:cs="Times New Roman"/>
                <w:b/>
                <w:bCs/>
                <w:i w:val="0"/>
                <w:iCs w:val="0"/>
                <w:color w:val="000000"/>
                <w:spacing w:val="0"/>
                <w:w w:val="100"/>
                <w:kern w:val="0"/>
                <w:sz w:val="21"/>
                <w:szCs w:val="21"/>
                <w:u w:val="none"/>
                <w:lang w:val="en-US" w:eastAsia="zh-CN" w:bidi="ar"/>
              </w:rPr>
              <w:t>瑞丽市</w:t>
            </w:r>
          </w:p>
        </w:tc>
        <w:tc>
          <w:tcPr>
            <w:tcW w:w="493"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b/>
                <w:bCs/>
                <w:i w:val="0"/>
                <w:iCs w:val="0"/>
                <w:color w:val="000000"/>
                <w:spacing w:val="0"/>
                <w:w w:val="100"/>
                <w:sz w:val="21"/>
                <w:szCs w:val="21"/>
                <w:u w:val="none"/>
                <w:lang w:val="en-US"/>
              </w:rPr>
            </w:pPr>
            <w:r>
              <w:rPr>
                <w:rFonts w:hint="default" w:ascii="Times New Roman" w:hAnsi="Times New Roman" w:eastAsia="方正仿宋_GBK" w:cs="Times New Roman"/>
                <w:b/>
                <w:bCs/>
                <w:i w:val="0"/>
                <w:iCs w:val="0"/>
                <w:color w:val="000000"/>
                <w:spacing w:val="0"/>
                <w:w w:val="100"/>
                <w:kern w:val="0"/>
                <w:sz w:val="21"/>
                <w:szCs w:val="21"/>
                <w:u w:val="none"/>
                <w:lang w:val="en-US" w:eastAsia="zh-CN" w:bidi="ar"/>
              </w:rPr>
              <w:t>州直</w:t>
            </w:r>
            <w:r>
              <w:rPr>
                <w:rFonts w:hint="default" w:ascii="Times New Roman" w:hAnsi="Times New Roman" w:eastAsia="方正仿宋_GBK" w:cs="Times New Roman"/>
                <w:b/>
                <w:bCs/>
                <w:i w:val="0"/>
                <w:iCs w:val="0"/>
                <w:color w:val="000000"/>
                <w:spacing w:val="0"/>
                <w:w w:val="1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spacing w:val="0"/>
                <w:w w:val="100"/>
                <w:kern w:val="0"/>
                <w:sz w:val="21"/>
                <w:szCs w:val="21"/>
                <w:u w:val="none"/>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6" w:hRule="atLeast"/>
          <w:jc w:val="center"/>
        </w:trPr>
        <w:tc>
          <w:tcPr>
            <w:tcW w:w="221"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eastAsia" w:ascii="Times New Roman" w:hAnsi="Times New Roman" w:eastAsia="方正仿宋_GBK" w:cs="Times New Roman"/>
                <w:i w:val="0"/>
                <w:iCs w:val="0"/>
                <w:color w:val="000000"/>
                <w:spacing w:val="0"/>
                <w:w w:val="100"/>
                <w:sz w:val="21"/>
                <w:szCs w:val="21"/>
                <w:u w:val="none"/>
                <w:lang w:val="en-US" w:eastAsia="zh-CN"/>
              </w:rPr>
            </w:pPr>
            <w:r>
              <w:rPr>
                <w:rFonts w:hint="eastAsia" w:cs="Times New Roman"/>
                <w:i w:val="0"/>
                <w:iCs w:val="0"/>
                <w:color w:val="000000"/>
                <w:spacing w:val="0"/>
                <w:w w:val="100"/>
                <w:sz w:val="21"/>
                <w:szCs w:val="21"/>
                <w:u w:val="none"/>
                <w:lang w:val="en-US" w:eastAsia="zh-CN"/>
              </w:rPr>
              <w:t>1</w:t>
            </w:r>
          </w:p>
        </w:tc>
        <w:tc>
          <w:tcPr>
            <w:tcW w:w="1327" w:type="pct"/>
            <w:tcBorders>
              <w:tl2br w:val="nil"/>
              <w:tr2bl w:val="nil"/>
            </w:tcBorders>
            <w:shd w:val="clear" w:color="auto" w:fill="auto"/>
            <w:noWrap/>
            <w:vAlign w:val="center"/>
          </w:tcPr>
          <w:p>
            <w:pPr>
              <w:keepNext w:val="0"/>
              <w:keepLines w:val="0"/>
              <w:pageBreakBefore w:val="0"/>
              <w:widowControl/>
              <w:suppressLineNumbers w:val="0"/>
              <w:kinsoku/>
              <w:wordWrap/>
              <w:overflowPunct w:val="0"/>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pacing w:val="0"/>
                <w:w w:val="1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云财社[2022]295号/</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德财社[2023]25号</w:t>
            </w:r>
          </w:p>
        </w:tc>
        <w:tc>
          <w:tcPr>
            <w:tcW w:w="872" w:type="dxa"/>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pacing w:val="0"/>
                <w:w w:val="1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1055</w:t>
            </w:r>
          </w:p>
        </w:tc>
        <w:tc>
          <w:tcPr>
            <w:tcW w:w="872" w:type="dxa"/>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pacing w:val="0"/>
                <w:w w:val="1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200</w:t>
            </w:r>
          </w:p>
        </w:tc>
        <w:tc>
          <w:tcPr>
            <w:tcW w:w="872" w:type="dxa"/>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pacing w:val="0"/>
                <w:w w:val="1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400</w:t>
            </w:r>
          </w:p>
        </w:tc>
        <w:tc>
          <w:tcPr>
            <w:tcW w:w="872" w:type="dxa"/>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pacing w:val="0"/>
                <w:w w:val="1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200</w:t>
            </w:r>
          </w:p>
        </w:tc>
        <w:tc>
          <w:tcPr>
            <w:tcW w:w="872" w:type="dxa"/>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pacing w:val="0"/>
                <w:w w:val="1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200</w:t>
            </w:r>
          </w:p>
        </w:tc>
        <w:tc>
          <w:tcPr>
            <w:tcW w:w="872" w:type="dxa"/>
            <w:tcBorders>
              <w:tl2br w:val="nil"/>
              <w:tr2bl w:val="nil"/>
            </w:tcBorders>
            <w:shd w:val="clear" w:color="auto" w:fill="auto"/>
            <w:noWrap/>
            <w:vAlign w:val="center"/>
          </w:tcPr>
          <w:p>
            <w:pPr>
              <w:keepNext w:val="0"/>
              <w:keepLines w:val="0"/>
              <w:pageBreakBefore w:val="0"/>
              <w:widowControl/>
              <w:kinsoku/>
              <w:wordWrap/>
              <w:topLinePunct w:val="0"/>
              <w:autoSpaceDE/>
              <w:autoSpaceDN/>
              <w:bidi w:val="0"/>
              <w:adjustRightInd/>
              <w:snapToGrid w:val="0"/>
              <w:ind w:firstLine="0" w:firstLineChars="0"/>
              <w:jc w:val="center"/>
              <w:rPr>
                <w:rFonts w:hint="default" w:ascii="Times New Roman" w:hAnsi="Times New Roman" w:eastAsia="方正仿宋_GBK" w:cs="Times New Roman"/>
                <w:i w:val="0"/>
                <w:iCs w:val="0"/>
                <w:color w:val="000000"/>
                <w:spacing w:val="0"/>
                <w:w w:val="100"/>
                <w:sz w:val="21"/>
                <w:szCs w:val="21"/>
                <w:u w:val="none"/>
              </w:rPr>
            </w:pPr>
          </w:p>
        </w:tc>
        <w:tc>
          <w:tcPr>
            <w:tcW w:w="873" w:type="dxa"/>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pacing w:val="0"/>
                <w:w w:val="1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6" w:hRule="atLeast"/>
          <w:jc w:val="center"/>
        </w:trPr>
        <w:tc>
          <w:tcPr>
            <w:tcW w:w="221"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eastAsia" w:ascii="Times New Roman" w:hAnsi="Times New Roman" w:eastAsia="方正仿宋_GBK" w:cs="Times New Roman"/>
                <w:i w:val="0"/>
                <w:iCs w:val="0"/>
                <w:color w:val="000000"/>
                <w:spacing w:val="0"/>
                <w:w w:val="100"/>
                <w:sz w:val="21"/>
                <w:szCs w:val="21"/>
                <w:u w:val="none"/>
                <w:lang w:val="en-US" w:eastAsia="zh-CN"/>
              </w:rPr>
            </w:pPr>
            <w:r>
              <w:rPr>
                <w:rFonts w:hint="eastAsia" w:cs="Times New Roman"/>
                <w:i w:val="0"/>
                <w:iCs w:val="0"/>
                <w:color w:val="000000"/>
                <w:spacing w:val="0"/>
                <w:w w:val="100"/>
                <w:sz w:val="21"/>
                <w:szCs w:val="21"/>
                <w:u w:val="none"/>
                <w:lang w:val="en-US" w:eastAsia="zh-CN"/>
              </w:rPr>
              <w:t>2</w:t>
            </w:r>
          </w:p>
        </w:tc>
        <w:tc>
          <w:tcPr>
            <w:tcW w:w="1327" w:type="pct"/>
            <w:tcBorders>
              <w:tl2br w:val="nil"/>
              <w:tr2bl w:val="nil"/>
            </w:tcBorders>
            <w:shd w:val="clear" w:color="auto" w:fill="auto"/>
            <w:noWrap/>
            <w:vAlign w:val="center"/>
          </w:tcPr>
          <w:p>
            <w:pPr>
              <w:keepNext w:val="0"/>
              <w:keepLines w:val="0"/>
              <w:pageBreakBefore w:val="0"/>
              <w:widowControl/>
              <w:suppressLineNumbers w:val="0"/>
              <w:kinsoku/>
              <w:wordWrap/>
              <w:overflowPunct w:val="0"/>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pacing w:val="0"/>
                <w:w w:val="1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云财社[2022]297号/</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德财社[2023]26号</w:t>
            </w:r>
          </w:p>
        </w:tc>
        <w:tc>
          <w:tcPr>
            <w:tcW w:w="872" w:type="dxa"/>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pacing w:val="0"/>
                <w:w w:val="1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w:t>
            </w:r>
          </w:p>
        </w:tc>
        <w:tc>
          <w:tcPr>
            <w:tcW w:w="872" w:type="dxa"/>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pacing w:val="0"/>
                <w:w w:val="1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120</w:t>
            </w:r>
          </w:p>
        </w:tc>
        <w:tc>
          <w:tcPr>
            <w:tcW w:w="872" w:type="dxa"/>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pacing w:val="0"/>
                <w:w w:val="1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120</w:t>
            </w:r>
          </w:p>
        </w:tc>
        <w:tc>
          <w:tcPr>
            <w:tcW w:w="872" w:type="dxa"/>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pacing w:val="0"/>
                <w:w w:val="1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120</w:t>
            </w:r>
          </w:p>
        </w:tc>
        <w:tc>
          <w:tcPr>
            <w:tcW w:w="872" w:type="dxa"/>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pacing w:val="0"/>
                <w:w w:val="1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120</w:t>
            </w:r>
          </w:p>
        </w:tc>
        <w:tc>
          <w:tcPr>
            <w:tcW w:w="872" w:type="dxa"/>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pacing w:val="0"/>
                <w:w w:val="1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120</w:t>
            </w:r>
          </w:p>
        </w:tc>
        <w:tc>
          <w:tcPr>
            <w:tcW w:w="873" w:type="dxa"/>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pacing w:val="0"/>
                <w:w w:val="1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6" w:hRule="atLeast"/>
          <w:jc w:val="center"/>
        </w:trPr>
        <w:tc>
          <w:tcPr>
            <w:tcW w:w="221"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eastAsia" w:ascii="Times New Roman" w:hAnsi="Times New Roman" w:eastAsia="方正仿宋_GBK" w:cs="Times New Roman"/>
                <w:i w:val="0"/>
                <w:iCs w:val="0"/>
                <w:color w:val="000000"/>
                <w:spacing w:val="0"/>
                <w:w w:val="100"/>
                <w:sz w:val="21"/>
                <w:szCs w:val="21"/>
                <w:u w:val="none"/>
                <w:lang w:val="en-US" w:eastAsia="zh-CN"/>
              </w:rPr>
            </w:pPr>
            <w:r>
              <w:rPr>
                <w:rFonts w:hint="eastAsia" w:cs="Times New Roman"/>
                <w:i w:val="0"/>
                <w:iCs w:val="0"/>
                <w:color w:val="000000"/>
                <w:spacing w:val="0"/>
                <w:w w:val="100"/>
                <w:sz w:val="21"/>
                <w:szCs w:val="21"/>
                <w:u w:val="none"/>
                <w:lang w:val="en-US" w:eastAsia="zh-CN"/>
              </w:rPr>
              <w:t>3</w:t>
            </w:r>
          </w:p>
        </w:tc>
        <w:tc>
          <w:tcPr>
            <w:tcW w:w="1327" w:type="pct"/>
            <w:tcBorders>
              <w:tl2br w:val="nil"/>
              <w:tr2bl w:val="nil"/>
            </w:tcBorders>
            <w:shd w:val="clear" w:color="auto" w:fill="auto"/>
            <w:noWrap/>
            <w:vAlign w:val="center"/>
          </w:tcPr>
          <w:p>
            <w:pPr>
              <w:keepNext w:val="0"/>
              <w:keepLines w:val="0"/>
              <w:pageBreakBefore w:val="0"/>
              <w:widowControl/>
              <w:suppressLineNumbers w:val="0"/>
              <w:kinsoku/>
              <w:wordWrap/>
              <w:overflowPunct w:val="0"/>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pacing w:val="0"/>
                <w:w w:val="1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云财社[2022]299号/</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德财社[2023]27号</w:t>
            </w:r>
          </w:p>
        </w:tc>
        <w:tc>
          <w:tcPr>
            <w:tcW w:w="872" w:type="dxa"/>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pacing w:val="0"/>
                <w:w w:val="1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153</w:t>
            </w:r>
          </w:p>
        </w:tc>
        <w:tc>
          <w:tcPr>
            <w:tcW w:w="872" w:type="dxa"/>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pacing w:val="0"/>
                <w:w w:val="1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3.016</w:t>
            </w:r>
          </w:p>
        </w:tc>
        <w:tc>
          <w:tcPr>
            <w:tcW w:w="872" w:type="dxa"/>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pacing w:val="0"/>
                <w:w w:val="1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2.736</w:t>
            </w:r>
          </w:p>
        </w:tc>
        <w:tc>
          <w:tcPr>
            <w:tcW w:w="872" w:type="dxa"/>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pacing w:val="0"/>
                <w:w w:val="1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27.736</w:t>
            </w:r>
          </w:p>
        </w:tc>
        <w:tc>
          <w:tcPr>
            <w:tcW w:w="872" w:type="dxa"/>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pacing w:val="0"/>
                <w:w w:val="1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2.736</w:t>
            </w:r>
          </w:p>
        </w:tc>
        <w:tc>
          <w:tcPr>
            <w:tcW w:w="872" w:type="dxa"/>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pacing w:val="0"/>
                <w:w w:val="1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2.736</w:t>
            </w:r>
          </w:p>
        </w:tc>
        <w:tc>
          <w:tcPr>
            <w:tcW w:w="873" w:type="dxa"/>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pacing w:val="0"/>
                <w:w w:val="1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6" w:hRule="atLeast"/>
          <w:jc w:val="center"/>
        </w:trPr>
        <w:tc>
          <w:tcPr>
            <w:tcW w:w="221"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eastAsia" w:ascii="Times New Roman" w:hAnsi="Times New Roman" w:eastAsia="方正仿宋_GBK" w:cs="Times New Roman"/>
                <w:i w:val="0"/>
                <w:iCs w:val="0"/>
                <w:color w:val="000000"/>
                <w:spacing w:val="0"/>
                <w:w w:val="100"/>
                <w:sz w:val="21"/>
                <w:szCs w:val="21"/>
                <w:u w:val="none"/>
                <w:lang w:val="en-US" w:eastAsia="zh-CN"/>
              </w:rPr>
            </w:pPr>
            <w:r>
              <w:rPr>
                <w:rFonts w:hint="eastAsia" w:cs="Times New Roman"/>
                <w:i w:val="0"/>
                <w:iCs w:val="0"/>
                <w:color w:val="000000"/>
                <w:spacing w:val="0"/>
                <w:w w:val="100"/>
                <w:sz w:val="21"/>
                <w:szCs w:val="21"/>
                <w:u w:val="none"/>
                <w:lang w:val="en-US" w:eastAsia="zh-CN"/>
              </w:rPr>
              <w:t>4</w:t>
            </w:r>
          </w:p>
        </w:tc>
        <w:tc>
          <w:tcPr>
            <w:tcW w:w="1327" w:type="pct"/>
            <w:tcBorders>
              <w:tl2br w:val="nil"/>
              <w:tr2bl w:val="nil"/>
            </w:tcBorders>
            <w:shd w:val="clear" w:color="auto" w:fill="auto"/>
            <w:noWrap/>
            <w:vAlign w:val="center"/>
          </w:tcPr>
          <w:p>
            <w:pPr>
              <w:keepNext w:val="0"/>
              <w:keepLines w:val="0"/>
              <w:pageBreakBefore w:val="0"/>
              <w:widowControl/>
              <w:suppressLineNumbers w:val="0"/>
              <w:kinsoku/>
              <w:wordWrap/>
              <w:overflowPunct w:val="0"/>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pacing w:val="0"/>
                <w:w w:val="1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云财社[2023]109号/</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德财社[2023]112号</w:t>
            </w:r>
          </w:p>
        </w:tc>
        <w:tc>
          <w:tcPr>
            <w:tcW w:w="872" w:type="dxa"/>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pacing w:val="0"/>
                <w:w w:val="1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240</w:t>
            </w:r>
          </w:p>
        </w:tc>
        <w:tc>
          <w:tcPr>
            <w:tcW w:w="872" w:type="dxa"/>
            <w:tcBorders>
              <w:tl2br w:val="nil"/>
              <w:tr2bl w:val="nil"/>
            </w:tcBorders>
            <w:shd w:val="clear" w:color="auto" w:fill="auto"/>
            <w:noWrap/>
            <w:vAlign w:val="center"/>
          </w:tcPr>
          <w:p>
            <w:pPr>
              <w:keepNext w:val="0"/>
              <w:keepLines w:val="0"/>
              <w:pageBreakBefore w:val="0"/>
              <w:widowControl/>
              <w:kinsoku/>
              <w:wordWrap/>
              <w:topLinePunct w:val="0"/>
              <w:autoSpaceDE/>
              <w:autoSpaceDN/>
              <w:bidi w:val="0"/>
              <w:adjustRightInd/>
              <w:snapToGrid w:val="0"/>
              <w:ind w:firstLine="0" w:firstLineChars="0"/>
              <w:jc w:val="center"/>
              <w:rPr>
                <w:rFonts w:hint="default" w:ascii="Times New Roman" w:hAnsi="Times New Roman" w:eastAsia="方正仿宋_GBK" w:cs="Times New Roman"/>
                <w:i w:val="0"/>
                <w:iCs w:val="0"/>
                <w:color w:val="000000"/>
                <w:spacing w:val="0"/>
                <w:w w:val="100"/>
                <w:sz w:val="21"/>
                <w:szCs w:val="21"/>
                <w:u w:val="none"/>
              </w:rPr>
            </w:pPr>
          </w:p>
        </w:tc>
        <w:tc>
          <w:tcPr>
            <w:tcW w:w="872" w:type="dxa"/>
            <w:tcBorders>
              <w:tl2br w:val="nil"/>
              <w:tr2bl w:val="nil"/>
            </w:tcBorders>
            <w:shd w:val="clear" w:color="auto" w:fill="auto"/>
            <w:noWrap/>
            <w:vAlign w:val="center"/>
          </w:tcPr>
          <w:p>
            <w:pPr>
              <w:keepNext w:val="0"/>
              <w:keepLines w:val="0"/>
              <w:pageBreakBefore w:val="0"/>
              <w:widowControl/>
              <w:kinsoku/>
              <w:wordWrap/>
              <w:topLinePunct w:val="0"/>
              <w:autoSpaceDE/>
              <w:autoSpaceDN/>
              <w:bidi w:val="0"/>
              <w:adjustRightInd/>
              <w:snapToGrid w:val="0"/>
              <w:ind w:firstLine="0" w:firstLineChars="0"/>
              <w:jc w:val="center"/>
              <w:rPr>
                <w:rFonts w:hint="default" w:ascii="Times New Roman" w:hAnsi="Times New Roman" w:eastAsia="方正仿宋_GBK" w:cs="Times New Roman"/>
                <w:i w:val="0"/>
                <w:iCs w:val="0"/>
                <w:color w:val="000000"/>
                <w:spacing w:val="0"/>
                <w:w w:val="100"/>
                <w:sz w:val="21"/>
                <w:szCs w:val="21"/>
                <w:u w:val="none"/>
              </w:rPr>
            </w:pPr>
          </w:p>
        </w:tc>
        <w:tc>
          <w:tcPr>
            <w:tcW w:w="872" w:type="dxa"/>
            <w:tcBorders>
              <w:tl2br w:val="nil"/>
              <w:tr2bl w:val="nil"/>
            </w:tcBorders>
            <w:shd w:val="clear" w:color="auto" w:fill="auto"/>
            <w:noWrap/>
            <w:vAlign w:val="center"/>
          </w:tcPr>
          <w:p>
            <w:pPr>
              <w:keepNext w:val="0"/>
              <w:keepLines w:val="0"/>
              <w:pageBreakBefore w:val="0"/>
              <w:widowControl/>
              <w:kinsoku/>
              <w:wordWrap/>
              <w:topLinePunct w:val="0"/>
              <w:autoSpaceDE/>
              <w:autoSpaceDN/>
              <w:bidi w:val="0"/>
              <w:adjustRightInd/>
              <w:snapToGrid w:val="0"/>
              <w:ind w:firstLine="0" w:firstLineChars="0"/>
              <w:jc w:val="center"/>
              <w:rPr>
                <w:rFonts w:hint="default" w:ascii="Times New Roman" w:hAnsi="Times New Roman" w:eastAsia="方正仿宋_GBK" w:cs="Times New Roman"/>
                <w:i w:val="0"/>
                <w:iCs w:val="0"/>
                <w:color w:val="000000"/>
                <w:spacing w:val="0"/>
                <w:w w:val="100"/>
                <w:sz w:val="21"/>
                <w:szCs w:val="21"/>
                <w:u w:val="none"/>
              </w:rPr>
            </w:pPr>
          </w:p>
        </w:tc>
        <w:tc>
          <w:tcPr>
            <w:tcW w:w="872" w:type="dxa"/>
            <w:tcBorders>
              <w:tl2br w:val="nil"/>
              <w:tr2bl w:val="nil"/>
            </w:tcBorders>
            <w:shd w:val="clear" w:color="auto" w:fill="auto"/>
            <w:noWrap/>
            <w:vAlign w:val="center"/>
          </w:tcPr>
          <w:p>
            <w:pPr>
              <w:keepNext w:val="0"/>
              <w:keepLines w:val="0"/>
              <w:pageBreakBefore w:val="0"/>
              <w:widowControl/>
              <w:kinsoku/>
              <w:wordWrap/>
              <w:topLinePunct w:val="0"/>
              <w:autoSpaceDE/>
              <w:autoSpaceDN/>
              <w:bidi w:val="0"/>
              <w:adjustRightInd/>
              <w:snapToGrid w:val="0"/>
              <w:ind w:firstLine="0" w:firstLineChars="0"/>
              <w:jc w:val="center"/>
              <w:rPr>
                <w:rFonts w:hint="default" w:ascii="Times New Roman" w:hAnsi="Times New Roman" w:eastAsia="方正仿宋_GBK" w:cs="Times New Roman"/>
                <w:i w:val="0"/>
                <w:iCs w:val="0"/>
                <w:color w:val="000000"/>
                <w:spacing w:val="0"/>
                <w:w w:val="100"/>
                <w:sz w:val="21"/>
                <w:szCs w:val="21"/>
                <w:u w:val="none"/>
              </w:rPr>
            </w:pPr>
          </w:p>
        </w:tc>
        <w:tc>
          <w:tcPr>
            <w:tcW w:w="872" w:type="dxa"/>
            <w:tcBorders>
              <w:tl2br w:val="nil"/>
              <w:tr2bl w:val="nil"/>
            </w:tcBorders>
            <w:shd w:val="clear" w:color="auto" w:fill="auto"/>
            <w:noWrap/>
            <w:vAlign w:val="center"/>
          </w:tcPr>
          <w:p>
            <w:pPr>
              <w:keepNext w:val="0"/>
              <w:keepLines w:val="0"/>
              <w:pageBreakBefore w:val="0"/>
              <w:widowControl/>
              <w:kinsoku/>
              <w:wordWrap/>
              <w:topLinePunct w:val="0"/>
              <w:autoSpaceDE/>
              <w:autoSpaceDN/>
              <w:bidi w:val="0"/>
              <w:adjustRightInd/>
              <w:snapToGrid w:val="0"/>
              <w:ind w:firstLine="0" w:firstLineChars="0"/>
              <w:jc w:val="center"/>
              <w:rPr>
                <w:rFonts w:hint="default" w:ascii="Times New Roman" w:hAnsi="Times New Roman" w:eastAsia="方正仿宋_GBK" w:cs="Times New Roman"/>
                <w:i w:val="0"/>
                <w:iCs w:val="0"/>
                <w:color w:val="000000"/>
                <w:spacing w:val="0"/>
                <w:w w:val="100"/>
                <w:sz w:val="21"/>
                <w:szCs w:val="21"/>
                <w:u w:val="none"/>
              </w:rPr>
            </w:pPr>
          </w:p>
        </w:tc>
        <w:tc>
          <w:tcPr>
            <w:tcW w:w="873" w:type="dxa"/>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pacing w:val="0"/>
                <w:w w:val="1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6" w:hRule="atLeast"/>
          <w:jc w:val="center"/>
        </w:trPr>
        <w:tc>
          <w:tcPr>
            <w:tcW w:w="221"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eastAsia" w:ascii="Times New Roman" w:hAnsi="Times New Roman" w:eastAsia="方正仿宋_GBK" w:cs="Times New Roman"/>
                <w:i w:val="0"/>
                <w:iCs w:val="0"/>
                <w:color w:val="000000"/>
                <w:spacing w:val="0"/>
                <w:w w:val="100"/>
                <w:sz w:val="21"/>
                <w:szCs w:val="21"/>
                <w:u w:val="none"/>
                <w:lang w:val="en-US" w:eastAsia="zh-CN"/>
              </w:rPr>
            </w:pPr>
            <w:r>
              <w:rPr>
                <w:rFonts w:hint="eastAsia" w:cs="Times New Roman"/>
                <w:i w:val="0"/>
                <w:iCs w:val="0"/>
                <w:color w:val="000000"/>
                <w:spacing w:val="0"/>
                <w:w w:val="100"/>
                <w:sz w:val="21"/>
                <w:szCs w:val="21"/>
                <w:u w:val="none"/>
                <w:lang w:val="en-US" w:eastAsia="zh-CN"/>
              </w:rPr>
              <w:t>5</w:t>
            </w:r>
          </w:p>
        </w:tc>
        <w:tc>
          <w:tcPr>
            <w:tcW w:w="1327" w:type="pct"/>
            <w:tcBorders>
              <w:tl2br w:val="nil"/>
              <w:tr2bl w:val="nil"/>
            </w:tcBorders>
            <w:shd w:val="clear" w:color="auto" w:fill="auto"/>
            <w:noWrap/>
            <w:vAlign w:val="center"/>
          </w:tcPr>
          <w:p>
            <w:pPr>
              <w:keepNext w:val="0"/>
              <w:keepLines w:val="0"/>
              <w:pageBreakBefore w:val="0"/>
              <w:widowControl/>
              <w:suppressLineNumbers w:val="0"/>
              <w:kinsoku/>
              <w:wordWrap/>
              <w:overflowPunct w:val="0"/>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pacing w:val="0"/>
                <w:w w:val="1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云财社[2023]110号/</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德财社[2023]113号</w:t>
            </w:r>
          </w:p>
        </w:tc>
        <w:tc>
          <w:tcPr>
            <w:tcW w:w="872" w:type="dxa"/>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pacing w:val="0"/>
                <w:w w:val="1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-15.5</w:t>
            </w:r>
          </w:p>
        </w:tc>
        <w:tc>
          <w:tcPr>
            <w:tcW w:w="872" w:type="dxa"/>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pacing w:val="0"/>
                <w:w w:val="1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0.144</w:t>
            </w:r>
          </w:p>
        </w:tc>
        <w:tc>
          <w:tcPr>
            <w:tcW w:w="872" w:type="dxa"/>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pacing w:val="0"/>
                <w:w w:val="1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0.144</w:t>
            </w:r>
          </w:p>
        </w:tc>
        <w:tc>
          <w:tcPr>
            <w:tcW w:w="872" w:type="dxa"/>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pacing w:val="0"/>
                <w:w w:val="1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7.444</w:t>
            </w:r>
          </w:p>
        </w:tc>
        <w:tc>
          <w:tcPr>
            <w:tcW w:w="872" w:type="dxa"/>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pacing w:val="0"/>
                <w:w w:val="1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0.144</w:t>
            </w:r>
          </w:p>
        </w:tc>
        <w:tc>
          <w:tcPr>
            <w:tcW w:w="872" w:type="dxa"/>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pacing w:val="0"/>
                <w:w w:val="1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0.144</w:t>
            </w:r>
          </w:p>
        </w:tc>
        <w:tc>
          <w:tcPr>
            <w:tcW w:w="873" w:type="dxa"/>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pacing w:val="0"/>
                <w:w w:val="1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6" w:hRule="atLeast"/>
          <w:jc w:val="center"/>
        </w:trPr>
        <w:tc>
          <w:tcPr>
            <w:tcW w:w="221"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eastAsia" w:ascii="Times New Roman" w:hAnsi="Times New Roman" w:eastAsia="方正仿宋_GBK" w:cs="Times New Roman"/>
                <w:i w:val="0"/>
                <w:iCs w:val="0"/>
                <w:color w:val="000000"/>
                <w:spacing w:val="0"/>
                <w:w w:val="100"/>
                <w:sz w:val="21"/>
                <w:szCs w:val="21"/>
                <w:u w:val="none"/>
                <w:lang w:val="en-US" w:eastAsia="zh-CN"/>
              </w:rPr>
            </w:pPr>
            <w:r>
              <w:rPr>
                <w:rFonts w:hint="eastAsia" w:cs="Times New Roman"/>
                <w:i w:val="0"/>
                <w:iCs w:val="0"/>
                <w:color w:val="000000"/>
                <w:spacing w:val="0"/>
                <w:w w:val="100"/>
                <w:sz w:val="21"/>
                <w:szCs w:val="21"/>
                <w:u w:val="none"/>
                <w:lang w:val="en-US" w:eastAsia="zh-CN"/>
              </w:rPr>
              <w:t>6</w:t>
            </w:r>
          </w:p>
        </w:tc>
        <w:tc>
          <w:tcPr>
            <w:tcW w:w="1327"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pacing w:val="0"/>
                <w:w w:val="100"/>
                <w:sz w:val="21"/>
                <w:szCs w:val="21"/>
                <w:u w:val="none"/>
              </w:rPr>
            </w:pPr>
            <w:r>
              <w:rPr>
                <w:rFonts w:hint="default" w:ascii="Times New Roman" w:hAnsi="Times New Roman" w:eastAsia="方正仿宋_GBK" w:cs="Times New Roman"/>
                <w:i w:val="0"/>
                <w:iCs w:val="0"/>
                <w:color w:val="000000"/>
                <w:spacing w:val="0"/>
                <w:w w:val="100"/>
                <w:sz w:val="21"/>
                <w:szCs w:val="21"/>
                <w:u w:val="none"/>
              </w:rPr>
              <w:t>云财社[2023]193号/</w:t>
            </w:r>
            <w:r>
              <w:rPr>
                <w:rFonts w:hint="default" w:ascii="Times New Roman" w:hAnsi="Times New Roman" w:eastAsia="方正仿宋_GBK" w:cs="Times New Roman"/>
                <w:i w:val="0"/>
                <w:iCs w:val="0"/>
                <w:color w:val="000000"/>
                <w:spacing w:val="0"/>
                <w:w w:val="100"/>
                <w:sz w:val="21"/>
                <w:szCs w:val="21"/>
                <w:u w:val="none"/>
              </w:rPr>
              <w:br w:type="textWrapping"/>
            </w:r>
            <w:r>
              <w:rPr>
                <w:rFonts w:hint="default" w:ascii="Times New Roman" w:hAnsi="Times New Roman" w:eastAsia="方正仿宋_GBK" w:cs="Times New Roman"/>
                <w:i w:val="0"/>
                <w:iCs w:val="0"/>
                <w:color w:val="000000"/>
                <w:spacing w:val="0"/>
                <w:w w:val="100"/>
                <w:sz w:val="21"/>
                <w:szCs w:val="21"/>
                <w:u w:val="none"/>
              </w:rPr>
              <w:t>德财社[2023]197号、</w:t>
            </w:r>
            <w:r>
              <w:rPr>
                <w:rFonts w:hint="default" w:ascii="Times New Roman" w:hAnsi="Times New Roman" w:eastAsia="方正仿宋_GBK" w:cs="Times New Roman"/>
                <w:i w:val="0"/>
                <w:iCs w:val="0"/>
                <w:color w:val="000000"/>
                <w:spacing w:val="0"/>
                <w:w w:val="100"/>
                <w:sz w:val="21"/>
                <w:szCs w:val="21"/>
                <w:u w:val="none"/>
              </w:rPr>
              <w:br w:type="textWrapping"/>
            </w:r>
            <w:r>
              <w:rPr>
                <w:rFonts w:hint="default" w:ascii="Times New Roman" w:hAnsi="Times New Roman" w:eastAsia="方正仿宋_GBK" w:cs="Times New Roman"/>
                <w:i w:val="0"/>
                <w:iCs w:val="0"/>
                <w:color w:val="000000"/>
                <w:spacing w:val="0"/>
                <w:w w:val="100"/>
                <w:sz w:val="21"/>
                <w:szCs w:val="21"/>
                <w:u w:val="none"/>
              </w:rPr>
              <w:t>德财社[2024]27号</w:t>
            </w:r>
          </w:p>
        </w:tc>
        <w:tc>
          <w:tcPr>
            <w:tcW w:w="872" w:type="dxa"/>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pacing w:val="0"/>
                <w:w w:val="1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291.26</w:t>
            </w:r>
          </w:p>
        </w:tc>
        <w:tc>
          <w:tcPr>
            <w:tcW w:w="872" w:type="dxa"/>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pacing w:val="0"/>
                <w:w w:val="1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69.52</w:t>
            </w:r>
          </w:p>
        </w:tc>
        <w:tc>
          <w:tcPr>
            <w:tcW w:w="872" w:type="dxa"/>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pacing w:val="0"/>
                <w:w w:val="1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20.07</w:t>
            </w:r>
          </w:p>
        </w:tc>
        <w:tc>
          <w:tcPr>
            <w:tcW w:w="872" w:type="dxa"/>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pacing w:val="0"/>
                <w:w w:val="1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24.52</w:t>
            </w:r>
          </w:p>
        </w:tc>
        <w:tc>
          <w:tcPr>
            <w:tcW w:w="872" w:type="dxa"/>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pacing w:val="0"/>
                <w:w w:val="1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24.52</w:t>
            </w:r>
          </w:p>
        </w:tc>
        <w:tc>
          <w:tcPr>
            <w:tcW w:w="872" w:type="dxa"/>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pacing w:val="0"/>
                <w:w w:val="1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24.52</w:t>
            </w:r>
          </w:p>
        </w:tc>
        <w:tc>
          <w:tcPr>
            <w:tcW w:w="873" w:type="dxa"/>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pacing w:val="0"/>
                <w:w w:val="1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6" w:hRule="atLeast"/>
          <w:jc w:val="center"/>
        </w:trPr>
        <w:tc>
          <w:tcPr>
            <w:tcW w:w="221"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eastAsia" w:ascii="Times New Roman" w:hAnsi="Times New Roman" w:eastAsia="方正仿宋_GBK" w:cs="Times New Roman"/>
                <w:i w:val="0"/>
                <w:iCs w:val="0"/>
                <w:color w:val="000000"/>
                <w:spacing w:val="0"/>
                <w:w w:val="100"/>
                <w:sz w:val="21"/>
                <w:szCs w:val="21"/>
                <w:u w:val="none"/>
                <w:lang w:val="en-US" w:eastAsia="zh-CN"/>
              </w:rPr>
            </w:pPr>
            <w:r>
              <w:rPr>
                <w:rFonts w:hint="eastAsia" w:cs="Times New Roman"/>
                <w:i w:val="0"/>
                <w:iCs w:val="0"/>
                <w:color w:val="000000"/>
                <w:spacing w:val="0"/>
                <w:w w:val="100"/>
                <w:sz w:val="21"/>
                <w:szCs w:val="21"/>
                <w:u w:val="none"/>
                <w:lang w:val="en-US" w:eastAsia="zh-CN"/>
              </w:rPr>
              <w:t>7</w:t>
            </w:r>
          </w:p>
        </w:tc>
        <w:tc>
          <w:tcPr>
            <w:tcW w:w="1327"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pacing w:val="0"/>
                <w:w w:val="100"/>
                <w:sz w:val="21"/>
                <w:szCs w:val="21"/>
                <w:u w:val="none"/>
              </w:rPr>
            </w:pPr>
            <w:r>
              <w:rPr>
                <w:rFonts w:hint="default" w:ascii="Times New Roman" w:hAnsi="Times New Roman" w:eastAsia="方正仿宋_GBK" w:cs="Times New Roman"/>
                <w:i w:val="0"/>
                <w:iCs w:val="0"/>
                <w:color w:val="000000"/>
                <w:spacing w:val="0"/>
                <w:w w:val="100"/>
                <w:sz w:val="21"/>
                <w:szCs w:val="21"/>
                <w:u w:val="none"/>
              </w:rPr>
              <w:t>云财社[2023]220号/</w:t>
            </w:r>
            <w:r>
              <w:rPr>
                <w:rFonts w:hint="default" w:ascii="Times New Roman" w:hAnsi="Times New Roman" w:eastAsia="方正仿宋_GBK" w:cs="Times New Roman"/>
                <w:i w:val="0"/>
                <w:iCs w:val="0"/>
                <w:color w:val="000000"/>
                <w:spacing w:val="0"/>
                <w:w w:val="100"/>
                <w:sz w:val="21"/>
                <w:szCs w:val="21"/>
                <w:u w:val="none"/>
              </w:rPr>
              <w:br w:type="textWrapping"/>
            </w:r>
            <w:r>
              <w:rPr>
                <w:rFonts w:hint="default" w:ascii="Times New Roman" w:hAnsi="Times New Roman" w:eastAsia="方正仿宋_GBK" w:cs="Times New Roman"/>
                <w:i w:val="0"/>
                <w:iCs w:val="0"/>
                <w:color w:val="000000"/>
                <w:spacing w:val="0"/>
                <w:w w:val="100"/>
                <w:sz w:val="21"/>
                <w:szCs w:val="21"/>
                <w:u w:val="none"/>
              </w:rPr>
              <w:t>德财社[2023]204号</w:t>
            </w:r>
          </w:p>
        </w:tc>
        <w:tc>
          <w:tcPr>
            <w:tcW w:w="872" w:type="dxa"/>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pacing w:val="0"/>
                <w:w w:val="1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200</w:t>
            </w:r>
          </w:p>
        </w:tc>
        <w:tc>
          <w:tcPr>
            <w:tcW w:w="872" w:type="dxa"/>
            <w:tcBorders>
              <w:tl2br w:val="nil"/>
              <w:tr2bl w:val="nil"/>
            </w:tcBorders>
            <w:shd w:val="clear" w:color="auto" w:fill="auto"/>
            <w:noWrap/>
            <w:vAlign w:val="center"/>
          </w:tcPr>
          <w:p>
            <w:pPr>
              <w:keepNext w:val="0"/>
              <w:keepLines w:val="0"/>
              <w:pageBreakBefore w:val="0"/>
              <w:widowControl/>
              <w:kinsoku/>
              <w:wordWrap/>
              <w:topLinePunct w:val="0"/>
              <w:autoSpaceDE/>
              <w:autoSpaceDN/>
              <w:bidi w:val="0"/>
              <w:adjustRightInd/>
              <w:snapToGrid w:val="0"/>
              <w:ind w:firstLine="0" w:firstLineChars="0"/>
              <w:jc w:val="center"/>
              <w:rPr>
                <w:rFonts w:hint="default" w:ascii="Times New Roman" w:hAnsi="Times New Roman" w:eastAsia="方正仿宋_GBK" w:cs="Times New Roman"/>
                <w:i w:val="0"/>
                <w:iCs w:val="0"/>
                <w:color w:val="000000"/>
                <w:spacing w:val="0"/>
                <w:w w:val="100"/>
                <w:sz w:val="21"/>
                <w:szCs w:val="21"/>
                <w:u w:val="none"/>
              </w:rPr>
            </w:pPr>
          </w:p>
        </w:tc>
        <w:tc>
          <w:tcPr>
            <w:tcW w:w="872" w:type="dxa"/>
            <w:tcBorders>
              <w:tl2br w:val="nil"/>
              <w:tr2bl w:val="nil"/>
            </w:tcBorders>
            <w:shd w:val="clear" w:color="auto" w:fill="auto"/>
            <w:noWrap/>
            <w:vAlign w:val="center"/>
          </w:tcPr>
          <w:p>
            <w:pPr>
              <w:keepNext w:val="0"/>
              <w:keepLines w:val="0"/>
              <w:pageBreakBefore w:val="0"/>
              <w:widowControl/>
              <w:kinsoku/>
              <w:wordWrap/>
              <w:topLinePunct w:val="0"/>
              <w:autoSpaceDE/>
              <w:autoSpaceDN/>
              <w:bidi w:val="0"/>
              <w:adjustRightInd/>
              <w:snapToGrid w:val="0"/>
              <w:ind w:firstLine="0" w:firstLineChars="0"/>
              <w:jc w:val="center"/>
              <w:rPr>
                <w:rFonts w:hint="default" w:ascii="Times New Roman" w:hAnsi="Times New Roman" w:eastAsia="方正仿宋_GBK" w:cs="Times New Roman"/>
                <w:i w:val="0"/>
                <w:iCs w:val="0"/>
                <w:color w:val="000000"/>
                <w:spacing w:val="0"/>
                <w:w w:val="100"/>
                <w:sz w:val="21"/>
                <w:szCs w:val="21"/>
                <w:u w:val="none"/>
              </w:rPr>
            </w:pPr>
          </w:p>
        </w:tc>
        <w:tc>
          <w:tcPr>
            <w:tcW w:w="872" w:type="dxa"/>
            <w:tcBorders>
              <w:tl2br w:val="nil"/>
              <w:tr2bl w:val="nil"/>
            </w:tcBorders>
            <w:shd w:val="clear" w:color="auto" w:fill="auto"/>
            <w:noWrap/>
            <w:vAlign w:val="center"/>
          </w:tcPr>
          <w:p>
            <w:pPr>
              <w:keepNext w:val="0"/>
              <w:keepLines w:val="0"/>
              <w:pageBreakBefore w:val="0"/>
              <w:widowControl/>
              <w:kinsoku/>
              <w:wordWrap/>
              <w:topLinePunct w:val="0"/>
              <w:autoSpaceDE/>
              <w:autoSpaceDN/>
              <w:bidi w:val="0"/>
              <w:adjustRightInd/>
              <w:snapToGrid w:val="0"/>
              <w:ind w:firstLine="0" w:firstLineChars="0"/>
              <w:jc w:val="center"/>
              <w:rPr>
                <w:rFonts w:hint="default" w:ascii="Times New Roman" w:hAnsi="Times New Roman" w:eastAsia="方正仿宋_GBK" w:cs="Times New Roman"/>
                <w:i w:val="0"/>
                <w:iCs w:val="0"/>
                <w:color w:val="000000"/>
                <w:spacing w:val="0"/>
                <w:w w:val="100"/>
                <w:sz w:val="21"/>
                <w:szCs w:val="21"/>
                <w:u w:val="none"/>
              </w:rPr>
            </w:pPr>
          </w:p>
        </w:tc>
        <w:tc>
          <w:tcPr>
            <w:tcW w:w="872" w:type="dxa"/>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pacing w:val="0"/>
                <w:w w:val="1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200</w:t>
            </w:r>
          </w:p>
        </w:tc>
        <w:tc>
          <w:tcPr>
            <w:tcW w:w="872" w:type="dxa"/>
            <w:tcBorders>
              <w:tl2br w:val="nil"/>
              <w:tr2bl w:val="nil"/>
            </w:tcBorders>
            <w:shd w:val="clear" w:color="auto" w:fill="auto"/>
            <w:noWrap/>
            <w:vAlign w:val="center"/>
          </w:tcPr>
          <w:p>
            <w:pPr>
              <w:keepNext w:val="0"/>
              <w:keepLines w:val="0"/>
              <w:pageBreakBefore w:val="0"/>
              <w:widowControl/>
              <w:kinsoku/>
              <w:wordWrap/>
              <w:topLinePunct w:val="0"/>
              <w:autoSpaceDE/>
              <w:autoSpaceDN/>
              <w:bidi w:val="0"/>
              <w:adjustRightInd/>
              <w:snapToGrid w:val="0"/>
              <w:ind w:firstLine="0" w:firstLineChars="0"/>
              <w:jc w:val="center"/>
              <w:rPr>
                <w:rFonts w:hint="default" w:ascii="Times New Roman" w:hAnsi="Times New Roman" w:eastAsia="方正仿宋_GBK" w:cs="Times New Roman"/>
                <w:i w:val="0"/>
                <w:iCs w:val="0"/>
                <w:color w:val="000000"/>
                <w:spacing w:val="0"/>
                <w:w w:val="100"/>
                <w:sz w:val="21"/>
                <w:szCs w:val="21"/>
                <w:u w:val="none"/>
              </w:rPr>
            </w:pPr>
          </w:p>
        </w:tc>
        <w:tc>
          <w:tcPr>
            <w:tcW w:w="873" w:type="dxa"/>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pacing w:val="0"/>
                <w:w w:val="1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6" w:hRule="atLeast"/>
          <w:jc w:val="center"/>
        </w:trPr>
        <w:tc>
          <w:tcPr>
            <w:tcW w:w="221"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eastAsia" w:ascii="Times New Roman" w:hAnsi="Times New Roman" w:eastAsia="方正仿宋_GBK" w:cs="Times New Roman"/>
                <w:i w:val="0"/>
                <w:iCs w:val="0"/>
                <w:color w:val="000000"/>
                <w:spacing w:val="0"/>
                <w:w w:val="100"/>
                <w:sz w:val="21"/>
                <w:szCs w:val="21"/>
                <w:u w:val="none"/>
                <w:lang w:val="en-US" w:eastAsia="zh-CN"/>
              </w:rPr>
            </w:pPr>
            <w:r>
              <w:rPr>
                <w:rFonts w:hint="eastAsia" w:cs="Times New Roman"/>
                <w:i w:val="0"/>
                <w:iCs w:val="0"/>
                <w:color w:val="000000"/>
                <w:spacing w:val="0"/>
                <w:w w:val="100"/>
                <w:sz w:val="21"/>
                <w:szCs w:val="21"/>
                <w:u w:val="none"/>
                <w:lang w:val="en-US" w:eastAsia="zh-CN"/>
              </w:rPr>
              <w:t>8</w:t>
            </w:r>
          </w:p>
        </w:tc>
        <w:tc>
          <w:tcPr>
            <w:tcW w:w="1327"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pacing w:val="0"/>
                <w:w w:val="100"/>
                <w:sz w:val="21"/>
                <w:szCs w:val="21"/>
                <w:u w:val="none"/>
              </w:rPr>
            </w:pPr>
            <w:r>
              <w:rPr>
                <w:rFonts w:hint="default" w:ascii="Times New Roman" w:hAnsi="Times New Roman" w:eastAsia="方正仿宋_GBK" w:cs="Times New Roman"/>
                <w:i w:val="0"/>
                <w:iCs w:val="0"/>
                <w:color w:val="000000"/>
                <w:spacing w:val="0"/>
                <w:w w:val="100"/>
                <w:sz w:val="21"/>
                <w:szCs w:val="21"/>
                <w:u w:val="none"/>
              </w:rPr>
              <w:t>云财社[2023]3号/</w:t>
            </w:r>
            <w:r>
              <w:rPr>
                <w:rFonts w:hint="default" w:ascii="Times New Roman" w:hAnsi="Times New Roman" w:eastAsia="方正仿宋_GBK" w:cs="Times New Roman"/>
                <w:i w:val="0"/>
                <w:iCs w:val="0"/>
                <w:color w:val="000000"/>
                <w:spacing w:val="0"/>
                <w:w w:val="100"/>
                <w:sz w:val="21"/>
                <w:szCs w:val="21"/>
                <w:u w:val="none"/>
              </w:rPr>
              <w:br w:type="textWrapping"/>
            </w:r>
            <w:r>
              <w:rPr>
                <w:rFonts w:hint="default" w:ascii="Times New Roman" w:hAnsi="Times New Roman" w:eastAsia="方正仿宋_GBK" w:cs="Times New Roman"/>
                <w:i w:val="0"/>
                <w:iCs w:val="0"/>
                <w:color w:val="000000"/>
                <w:spacing w:val="0"/>
                <w:w w:val="100"/>
                <w:sz w:val="21"/>
                <w:szCs w:val="21"/>
                <w:u w:val="none"/>
              </w:rPr>
              <w:t>德财社[2023]74号</w:t>
            </w:r>
          </w:p>
        </w:tc>
        <w:tc>
          <w:tcPr>
            <w:tcW w:w="872" w:type="dxa"/>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pacing w:val="0"/>
                <w:w w:val="1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800</w:t>
            </w:r>
          </w:p>
        </w:tc>
        <w:tc>
          <w:tcPr>
            <w:tcW w:w="872" w:type="dxa"/>
            <w:tcBorders>
              <w:tl2br w:val="nil"/>
              <w:tr2bl w:val="nil"/>
            </w:tcBorders>
            <w:shd w:val="clear" w:color="auto" w:fill="auto"/>
            <w:noWrap/>
            <w:vAlign w:val="center"/>
          </w:tcPr>
          <w:p>
            <w:pPr>
              <w:keepNext w:val="0"/>
              <w:keepLines w:val="0"/>
              <w:pageBreakBefore w:val="0"/>
              <w:widowControl/>
              <w:kinsoku/>
              <w:wordWrap/>
              <w:topLinePunct w:val="0"/>
              <w:autoSpaceDE/>
              <w:autoSpaceDN/>
              <w:bidi w:val="0"/>
              <w:adjustRightInd/>
              <w:snapToGrid w:val="0"/>
              <w:ind w:firstLine="0" w:firstLineChars="0"/>
              <w:jc w:val="center"/>
              <w:rPr>
                <w:rFonts w:hint="default" w:ascii="Times New Roman" w:hAnsi="Times New Roman" w:eastAsia="方正仿宋_GBK" w:cs="Times New Roman"/>
                <w:i w:val="0"/>
                <w:iCs w:val="0"/>
                <w:color w:val="000000"/>
                <w:spacing w:val="0"/>
                <w:w w:val="100"/>
                <w:sz w:val="21"/>
                <w:szCs w:val="21"/>
                <w:u w:val="none"/>
              </w:rPr>
            </w:pPr>
          </w:p>
        </w:tc>
        <w:tc>
          <w:tcPr>
            <w:tcW w:w="872" w:type="dxa"/>
            <w:tcBorders>
              <w:tl2br w:val="nil"/>
              <w:tr2bl w:val="nil"/>
            </w:tcBorders>
            <w:shd w:val="clear" w:color="auto" w:fill="auto"/>
            <w:noWrap/>
            <w:vAlign w:val="center"/>
          </w:tcPr>
          <w:p>
            <w:pPr>
              <w:keepNext w:val="0"/>
              <w:keepLines w:val="0"/>
              <w:pageBreakBefore w:val="0"/>
              <w:widowControl/>
              <w:kinsoku/>
              <w:wordWrap/>
              <w:topLinePunct w:val="0"/>
              <w:autoSpaceDE/>
              <w:autoSpaceDN/>
              <w:bidi w:val="0"/>
              <w:adjustRightInd/>
              <w:snapToGrid w:val="0"/>
              <w:ind w:firstLine="0" w:firstLineChars="0"/>
              <w:jc w:val="center"/>
              <w:rPr>
                <w:rFonts w:hint="default" w:ascii="Times New Roman" w:hAnsi="Times New Roman" w:eastAsia="方正仿宋_GBK" w:cs="Times New Roman"/>
                <w:i w:val="0"/>
                <w:iCs w:val="0"/>
                <w:color w:val="000000"/>
                <w:spacing w:val="0"/>
                <w:w w:val="100"/>
                <w:sz w:val="21"/>
                <w:szCs w:val="21"/>
                <w:u w:val="none"/>
              </w:rPr>
            </w:pPr>
          </w:p>
        </w:tc>
        <w:tc>
          <w:tcPr>
            <w:tcW w:w="872" w:type="dxa"/>
            <w:tcBorders>
              <w:tl2br w:val="nil"/>
              <w:tr2bl w:val="nil"/>
            </w:tcBorders>
            <w:shd w:val="clear" w:color="auto" w:fill="auto"/>
            <w:noWrap/>
            <w:vAlign w:val="center"/>
          </w:tcPr>
          <w:p>
            <w:pPr>
              <w:keepNext w:val="0"/>
              <w:keepLines w:val="0"/>
              <w:pageBreakBefore w:val="0"/>
              <w:widowControl/>
              <w:kinsoku/>
              <w:wordWrap/>
              <w:topLinePunct w:val="0"/>
              <w:autoSpaceDE/>
              <w:autoSpaceDN/>
              <w:bidi w:val="0"/>
              <w:adjustRightInd/>
              <w:snapToGrid w:val="0"/>
              <w:ind w:firstLine="0" w:firstLineChars="0"/>
              <w:jc w:val="center"/>
              <w:rPr>
                <w:rFonts w:hint="default" w:ascii="Times New Roman" w:hAnsi="Times New Roman" w:eastAsia="方正仿宋_GBK" w:cs="Times New Roman"/>
                <w:i w:val="0"/>
                <w:iCs w:val="0"/>
                <w:color w:val="000000"/>
                <w:spacing w:val="0"/>
                <w:w w:val="100"/>
                <w:sz w:val="21"/>
                <w:szCs w:val="21"/>
                <w:u w:val="none"/>
              </w:rPr>
            </w:pPr>
          </w:p>
        </w:tc>
        <w:tc>
          <w:tcPr>
            <w:tcW w:w="872" w:type="dxa"/>
            <w:tcBorders>
              <w:tl2br w:val="nil"/>
              <w:tr2bl w:val="nil"/>
            </w:tcBorders>
            <w:shd w:val="clear" w:color="auto" w:fill="auto"/>
            <w:noWrap/>
            <w:vAlign w:val="center"/>
          </w:tcPr>
          <w:p>
            <w:pPr>
              <w:keepNext w:val="0"/>
              <w:keepLines w:val="0"/>
              <w:pageBreakBefore w:val="0"/>
              <w:widowControl/>
              <w:kinsoku/>
              <w:wordWrap/>
              <w:topLinePunct w:val="0"/>
              <w:autoSpaceDE/>
              <w:autoSpaceDN/>
              <w:bidi w:val="0"/>
              <w:adjustRightInd/>
              <w:snapToGrid w:val="0"/>
              <w:ind w:firstLine="0" w:firstLineChars="0"/>
              <w:jc w:val="center"/>
              <w:rPr>
                <w:rFonts w:hint="default" w:ascii="Times New Roman" w:hAnsi="Times New Roman" w:eastAsia="方正仿宋_GBK" w:cs="Times New Roman"/>
                <w:i w:val="0"/>
                <w:iCs w:val="0"/>
                <w:color w:val="000000"/>
                <w:spacing w:val="0"/>
                <w:w w:val="100"/>
                <w:sz w:val="21"/>
                <w:szCs w:val="21"/>
                <w:u w:val="none"/>
              </w:rPr>
            </w:pPr>
          </w:p>
        </w:tc>
        <w:tc>
          <w:tcPr>
            <w:tcW w:w="872" w:type="dxa"/>
            <w:tcBorders>
              <w:tl2br w:val="nil"/>
              <w:tr2bl w:val="nil"/>
            </w:tcBorders>
            <w:shd w:val="clear" w:color="auto" w:fill="auto"/>
            <w:noWrap/>
            <w:vAlign w:val="center"/>
          </w:tcPr>
          <w:p>
            <w:pPr>
              <w:keepNext w:val="0"/>
              <w:keepLines w:val="0"/>
              <w:pageBreakBefore w:val="0"/>
              <w:widowControl/>
              <w:kinsoku/>
              <w:wordWrap/>
              <w:topLinePunct w:val="0"/>
              <w:autoSpaceDE/>
              <w:autoSpaceDN/>
              <w:bidi w:val="0"/>
              <w:adjustRightInd/>
              <w:snapToGrid w:val="0"/>
              <w:ind w:firstLine="0" w:firstLineChars="0"/>
              <w:jc w:val="center"/>
              <w:rPr>
                <w:rFonts w:hint="default" w:ascii="Times New Roman" w:hAnsi="Times New Roman" w:eastAsia="方正仿宋_GBK" w:cs="Times New Roman"/>
                <w:i w:val="0"/>
                <w:iCs w:val="0"/>
                <w:color w:val="000000"/>
                <w:spacing w:val="0"/>
                <w:w w:val="100"/>
                <w:sz w:val="21"/>
                <w:szCs w:val="21"/>
                <w:u w:val="none"/>
              </w:rPr>
            </w:pPr>
          </w:p>
        </w:tc>
        <w:tc>
          <w:tcPr>
            <w:tcW w:w="873" w:type="dxa"/>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pacing w:val="0"/>
                <w:w w:val="1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6" w:hRule="atLeast"/>
          <w:jc w:val="center"/>
        </w:trPr>
        <w:tc>
          <w:tcPr>
            <w:tcW w:w="221"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eastAsia" w:ascii="Times New Roman" w:hAnsi="Times New Roman" w:eastAsia="方正仿宋_GBK" w:cs="Times New Roman"/>
                <w:i w:val="0"/>
                <w:iCs w:val="0"/>
                <w:color w:val="000000"/>
                <w:spacing w:val="0"/>
                <w:w w:val="100"/>
                <w:sz w:val="21"/>
                <w:szCs w:val="21"/>
                <w:u w:val="none"/>
                <w:lang w:val="en-US" w:eastAsia="zh-CN"/>
              </w:rPr>
            </w:pPr>
            <w:r>
              <w:rPr>
                <w:rFonts w:hint="eastAsia" w:cs="Times New Roman"/>
                <w:i w:val="0"/>
                <w:iCs w:val="0"/>
                <w:color w:val="000000"/>
                <w:spacing w:val="0"/>
                <w:w w:val="100"/>
                <w:sz w:val="21"/>
                <w:szCs w:val="21"/>
                <w:u w:val="none"/>
                <w:lang w:val="en-US" w:eastAsia="zh-CN"/>
              </w:rPr>
              <w:t>9</w:t>
            </w:r>
          </w:p>
        </w:tc>
        <w:tc>
          <w:tcPr>
            <w:tcW w:w="1327"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pacing w:val="0"/>
                <w:w w:val="100"/>
                <w:sz w:val="21"/>
                <w:szCs w:val="21"/>
                <w:u w:val="none"/>
              </w:rPr>
            </w:pPr>
            <w:r>
              <w:rPr>
                <w:rFonts w:hint="default" w:ascii="Times New Roman" w:hAnsi="Times New Roman" w:eastAsia="方正仿宋_GBK" w:cs="Times New Roman"/>
                <w:i w:val="0"/>
                <w:iCs w:val="0"/>
                <w:color w:val="000000"/>
                <w:spacing w:val="0"/>
                <w:w w:val="100"/>
                <w:sz w:val="21"/>
                <w:szCs w:val="21"/>
                <w:u w:val="none"/>
              </w:rPr>
              <w:t>云财社[2023]92号/</w:t>
            </w:r>
            <w:r>
              <w:rPr>
                <w:rFonts w:hint="default" w:ascii="Times New Roman" w:hAnsi="Times New Roman" w:eastAsia="方正仿宋_GBK" w:cs="Times New Roman"/>
                <w:i w:val="0"/>
                <w:iCs w:val="0"/>
                <w:color w:val="000000"/>
                <w:spacing w:val="0"/>
                <w:w w:val="100"/>
                <w:sz w:val="21"/>
                <w:szCs w:val="21"/>
                <w:u w:val="none"/>
              </w:rPr>
              <w:br w:type="textWrapping"/>
            </w:r>
            <w:r>
              <w:rPr>
                <w:rFonts w:hint="default" w:ascii="Times New Roman" w:hAnsi="Times New Roman" w:eastAsia="方正仿宋_GBK" w:cs="Times New Roman"/>
                <w:i w:val="0"/>
                <w:iCs w:val="0"/>
                <w:color w:val="000000"/>
                <w:spacing w:val="0"/>
                <w:w w:val="100"/>
                <w:sz w:val="21"/>
                <w:szCs w:val="21"/>
                <w:u w:val="none"/>
              </w:rPr>
              <w:t>德财社[2023]109号</w:t>
            </w:r>
          </w:p>
        </w:tc>
        <w:tc>
          <w:tcPr>
            <w:tcW w:w="872" w:type="dxa"/>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pacing w:val="0"/>
                <w:w w:val="1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150</w:t>
            </w:r>
          </w:p>
        </w:tc>
        <w:tc>
          <w:tcPr>
            <w:tcW w:w="872" w:type="dxa"/>
            <w:tcBorders>
              <w:tl2br w:val="nil"/>
              <w:tr2bl w:val="nil"/>
            </w:tcBorders>
            <w:shd w:val="clear" w:color="auto" w:fill="auto"/>
            <w:noWrap/>
            <w:vAlign w:val="center"/>
          </w:tcPr>
          <w:p>
            <w:pPr>
              <w:keepNext w:val="0"/>
              <w:keepLines w:val="0"/>
              <w:pageBreakBefore w:val="0"/>
              <w:widowControl/>
              <w:kinsoku/>
              <w:wordWrap/>
              <w:topLinePunct w:val="0"/>
              <w:autoSpaceDE/>
              <w:autoSpaceDN/>
              <w:bidi w:val="0"/>
              <w:adjustRightInd/>
              <w:snapToGrid w:val="0"/>
              <w:ind w:firstLine="0" w:firstLineChars="0"/>
              <w:jc w:val="center"/>
              <w:rPr>
                <w:rFonts w:hint="default" w:ascii="Times New Roman" w:hAnsi="Times New Roman" w:eastAsia="方正仿宋_GBK" w:cs="Times New Roman"/>
                <w:i w:val="0"/>
                <w:iCs w:val="0"/>
                <w:color w:val="000000"/>
                <w:spacing w:val="0"/>
                <w:w w:val="100"/>
                <w:sz w:val="21"/>
                <w:szCs w:val="21"/>
                <w:u w:val="none"/>
              </w:rPr>
            </w:pPr>
          </w:p>
        </w:tc>
        <w:tc>
          <w:tcPr>
            <w:tcW w:w="872" w:type="dxa"/>
            <w:tcBorders>
              <w:tl2br w:val="nil"/>
              <w:tr2bl w:val="nil"/>
            </w:tcBorders>
            <w:shd w:val="clear" w:color="auto" w:fill="auto"/>
            <w:noWrap/>
            <w:vAlign w:val="center"/>
          </w:tcPr>
          <w:p>
            <w:pPr>
              <w:keepNext w:val="0"/>
              <w:keepLines w:val="0"/>
              <w:pageBreakBefore w:val="0"/>
              <w:widowControl/>
              <w:kinsoku/>
              <w:wordWrap/>
              <w:topLinePunct w:val="0"/>
              <w:autoSpaceDE/>
              <w:autoSpaceDN/>
              <w:bidi w:val="0"/>
              <w:adjustRightInd/>
              <w:snapToGrid w:val="0"/>
              <w:ind w:firstLine="0" w:firstLineChars="0"/>
              <w:jc w:val="center"/>
              <w:rPr>
                <w:rFonts w:hint="default" w:ascii="Times New Roman" w:hAnsi="Times New Roman" w:eastAsia="方正仿宋_GBK" w:cs="Times New Roman"/>
                <w:i w:val="0"/>
                <w:iCs w:val="0"/>
                <w:color w:val="000000"/>
                <w:spacing w:val="0"/>
                <w:w w:val="100"/>
                <w:sz w:val="21"/>
                <w:szCs w:val="21"/>
                <w:u w:val="none"/>
              </w:rPr>
            </w:pPr>
          </w:p>
        </w:tc>
        <w:tc>
          <w:tcPr>
            <w:tcW w:w="872" w:type="dxa"/>
            <w:tcBorders>
              <w:tl2br w:val="nil"/>
              <w:tr2bl w:val="nil"/>
            </w:tcBorders>
            <w:shd w:val="clear" w:color="auto" w:fill="auto"/>
            <w:noWrap/>
            <w:vAlign w:val="center"/>
          </w:tcPr>
          <w:p>
            <w:pPr>
              <w:keepNext w:val="0"/>
              <w:keepLines w:val="0"/>
              <w:pageBreakBefore w:val="0"/>
              <w:widowControl/>
              <w:kinsoku/>
              <w:wordWrap/>
              <w:topLinePunct w:val="0"/>
              <w:autoSpaceDE/>
              <w:autoSpaceDN/>
              <w:bidi w:val="0"/>
              <w:adjustRightInd/>
              <w:snapToGrid w:val="0"/>
              <w:ind w:firstLine="0" w:firstLineChars="0"/>
              <w:jc w:val="center"/>
              <w:rPr>
                <w:rFonts w:hint="default" w:ascii="Times New Roman" w:hAnsi="Times New Roman" w:eastAsia="方正仿宋_GBK" w:cs="Times New Roman"/>
                <w:i w:val="0"/>
                <w:iCs w:val="0"/>
                <w:color w:val="000000"/>
                <w:spacing w:val="0"/>
                <w:w w:val="100"/>
                <w:sz w:val="21"/>
                <w:szCs w:val="21"/>
                <w:u w:val="none"/>
              </w:rPr>
            </w:pPr>
          </w:p>
        </w:tc>
        <w:tc>
          <w:tcPr>
            <w:tcW w:w="872" w:type="dxa"/>
            <w:tcBorders>
              <w:tl2br w:val="nil"/>
              <w:tr2bl w:val="nil"/>
            </w:tcBorders>
            <w:shd w:val="clear" w:color="auto" w:fill="auto"/>
            <w:noWrap/>
            <w:vAlign w:val="center"/>
          </w:tcPr>
          <w:p>
            <w:pPr>
              <w:keepNext w:val="0"/>
              <w:keepLines w:val="0"/>
              <w:pageBreakBefore w:val="0"/>
              <w:widowControl/>
              <w:kinsoku/>
              <w:wordWrap/>
              <w:topLinePunct w:val="0"/>
              <w:autoSpaceDE/>
              <w:autoSpaceDN/>
              <w:bidi w:val="0"/>
              <w:adjustRightInd/>
              <w:snapToGrid w:val="0"/>
              <w:ind w:firstLine="0" w:firstLineChars="0"/>
              <w:jc w:val="center"/>
              <w:rPr>
                <w:rFonts w:hint="default" w:ascii="Times New Roman" w:hAnsi="Times New Roman" w:eastAsia="方正仿宋_GBK" w:cs="Times New Roman"/>
                <w:i w:val="0"/>
                <w:iCs w:val="0"/>
                <w:color w:val="000000"/>
                <w:spacing w:val="0"/>
                <w:w w:val="100"/>
                <w:sz w:val="21"/>
                <w:szCs w:val="21"/>
                <w:u w:val="none"/>
              </w:rPr>
            </w:pPr>
          </w:p>
        </w:tc>
        <w:tc>
          <w:tcPr>
            <w:tcW w:w="872" w:type="dxa"/>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pacing w:val="0"/>
                <w:w w:val="1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150</w:t>
            </w:r>
          </w:p>
        </w:tc>
        <w:tc>
          <w:tcPr>
            <w:tcW w:w="873" w:type="dxa"/>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pacing w:val="0"/>
                <w:w w:val="1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6" w:hRule="atLeast"/>
          <w:jc w:val="center"/>
        </w:trPr>
        <w:tc>
          <w:tcPr>
            <w:tcW w:w="221"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pacing w:val="0"/>
                <w:w w:val="100"/>
                <w:sz w:val="21"/>
                <w:szCs w:val="21"/>
                <w:u w:val="none"/>
                <w:lang w:val="en-US" w:eastAsia="zh-CN"/>
              </w:rPr>
            </w:pPr>
            <w:r>
              <w:rPr>
                <w:rFonts w:hint="eastAsia" w:cs="Times New Roman"/>
                <w:i w:val="0"/>
                <w:iCs w:val="0"/>
                <w:color w:val="000000"/>
                <w:spacing w:val="0"/>
                <w:w w:val="100"/>
                <w:sz w:val="21"/>
                <w:szCs w:val="21"/>
                <w:u w:val="none"/>
                <w:lang w:val="en-US" w:eastAsia="zh-CN"/>
              </w:rPr>
              <w:t>10</w:t>
            </w:r>
          </w:p>
        </w:tc>
        <w:tc>
          <w:tcPr>
            <w:tcW w:w="1327"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pacing w:val="0"/>
                <w:w w:val="100"/>
                <w:sz w:val="21"/>
                <w:szCs w:val="21"/>
                <w:u w:val="none"/>
              </w:rPr>
            </w:pPr>
            <w:r>
              <w:rPr>
                <w:rFonts w:hint="default" w:ascii="Times New Roman" w:hAnsi="Times New Roman" w:eastAsia="方正仿宋_GBK" w:cs="Times New Roman"/>
                <w:i w:val="0"/>
                <w:iCs w:val="0"/>
                <w:color w:val="000000"/>
                <w:spacing w:val="0"/>
                <w:w w:val="100"/>
                <w:sz w:val="21"/>
                <w:szCs w:val="21"/>
                <w:u w:val="none"/>
              </w:rPr>
              <w:t>云财社[2023]97号/</w:t>
            </w:r>
            <w:r>
              <w:rPr>
                <w:rFonts w:hint="default" w:ascii="Times New Roman" w:hAnsi="Times New Roman" w:eastAsia="方正仿宋_GBK" w:cs="Times New Roman"/>
                <w:i w:val="0"/>
                <w:iCs w:val="0"/>
                <w:color w:val="000000"/>
                <w:spacing w:val="0"/>
                <w:w w:val="100"/>
                <w:sz w:val="21"/>
                <w:szCs w:val="21"/>
                <w:u w:val="none"/>
              </w:rPr>
              <w:br w:type="textWrapping"/>
            </w:r>
            <w:r>
              <w:rPr>
                <w:rFonts w:hint="default" w:ascii="Times New Roman" w:hAnsi="Times New Roman" w:eastAsia="方正仿宋_GBK" w:cs="Times New Roman"/>
                <w:i w:val="0"/>
                <w:iCs w:val="0"/>
                <w:color w:val="000000"/>
                <w:spacing w:val="0"/>
                <w:w w:val="100"/>
                <w:sz w:val="21"/>
                <w:szCs w:val="21"/>
                <w:u w:val="none"/>
              </w:rPr>
              <w:t>德财社[2023]110号</w:t>
            </w:r>
          </w:p>
        </w:tc>
        <w:tc>
          <w:tcPr>
            <w:tcW w:w="872" w:type="dxa"/>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pacing w:val="0"/>
                <w:w w:val="1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320</w:t>
            </w:r>
          </w:p>
        </w:tc>
        <w:tc>
          <w:tcPr>
            <w:tcW w:w="872" w:type="dxa"/>
            <w:tcBorders>
              <w:tl2br w:val="nil"/>
              <w:tr2bl w:val="nil"/>
            </w:tcBorders>
            <w:shd w:val="clear" w:color="auto" w:fill="auto"/>
            <w:noWrap/>
            <w:vAlign w:val="center"/>
          </w:tcPr>
          <w:p>
            <w:pPr>
              <w:keepNext w:val="0"/>
              <w:keepLines w:val="0"/>
              <w:pageBreakBefore w:val="0"/>
              <w:widowControl/>
              <w:kinsoku/>
              <w:wordWrap/>
              <w:topLinePunct w:val="0"/>
              <w:autoSpaceDE/>
              <w:autoSpaceDN/>
              <w:bidi w:val="0"/>
              <w:adjustRightInd/>
              <w:snapToGrid w:val="0"/>
              <w:ind w:firstLine="0" w:firstLineChars="0"/>
              <w:jc w:val="center"/>
              <w:rPr>
                <w:rFonts w:hint="default" w:ascii="Times New Roman" w:hAnsi="Times New Roman" w:eastAsia="方正仿宋_GBK" w:cs="Times New Roman"/>
                <w:i w:val="0"/>
                <w:iCs w:val="0"/>
                <w:color w:val="000000"/>
                <w:spacing w:val="0"/>
                <w:w w:val="100"/>
                <w:sz w:val="21"/>
                <w:szCs w:val="21"/>
                <w:u w:val="none"/>
              </w:rPr>
            </w:pPr>
          </w:p>
        </w:tc>
        <w:tc>
          <w:tcPr>
            <w:tcW w:w="872" w:type="dxa"/>
            <w:tcBorders>
              <w:tl2br w:val="nil"/>
              <w:tr2bl w:val="nil"/>
            </w:tcBorders>
            <w:shd w:val="clear" w:color="auto" w:fill="auto"/>
            <w:noWrap/>
            <w:vAlign w:val="center"/>
          </w:tcPr>
          <w:p>
            <w:pPr>
              <w:keepNext w:val="0"/>
              <w:keepLines w:val="0"/>
              <w:pageBreakBefore w:val="0"/>
              <w:widowControl/>
              <w:kinsoku/>
              <w:wordWrap/>
              <w:topLinePunct w:val="0"/>
              <w:autoSpaceDE/>
              <w:autoSpaceDN/>
              <w:bidi w:val="0"/>
              <w:adjustRightInd/>
              <w:snapToGrid w:val="0"/>
              <w:ind w:firstLine="0" w:firstLineChars="0"/>
              <w:jc w:val="center"/>
              <w:rPr>
                <w:rFonts w:hint="default" w:ascii="Times New Roman" w:hAnsi="Times New Roman" w:eastAsia="方正仿宋_GBK" w:cs="Times New Roman"/>
                <w:i w:val="0"/>
                <w:iCs w:val="0"/>
                <w:color w:val="000000"/>
                <w:spacing w:val="0"/>
                <w:w w:val="100"/>
                <w:sz w:val="21"/>
                <w:szCs w:val="21"/>
                <w:u w:val="none"/>
              </w:rPr>
            </w:pPr>
          </w:p>
        </w:tc>
        <w:tc>
          <w:tcPr>
            <w:tcW w:w="872" w:type="dxa"/>
            <w:tcBorders>
              <w:tl2br w:val="nil"/>
              <w:tr2bl w:val="nil"/>
            </w:tcBorders>
            <w:shd w:val="clear" w:color="auto" w:fill="auto"/>
            <w:noWrap/>
            <w:vAlign w:val="center"/>
          </w:tcPr>
          <w:p>
            <w:pPr>
              <w:keepNext w:val="0"/>
              <w:keepLines w:val="0"/>
              <w:pageBreakBefore w:val="0"/>
              <w:widowControl/>
              <w:kinsoku/>
              <w:wordWrap/>
              <w:topLinePunct w:val="0"/>
              <w:autoSpaceDE/>
              <w:autoSpaceDN/>
              <w:bidi w:val="0"/>
              <w:adjustRightInd/>
              <w:snapToGrid w:val="0"/>
              <w:ind w:firstLine="0" w:firstLineChars="0"/>
              <w:jc w:val="center"/>
              <w:rPr>
                <w:rFonts w:hint="default" w:ascii="Times New Roman" w:hAnsi="Times New Roman" w:eastAsia="方正仿宋_GBK" w:cs="Times New Roman"/>
                <w:i w:val="0"/>
                <w:iCs w:val="0"/>
                <w:color w:val="000000"/>
                <w:spacing w:val="0"/>
                <w:w w:val="100"/>
                <w:sz w:val="21"/>
                <w:szCs w:val="21"/>
                <w:u w:val="none"/>
              </w:rPr>
            </w:pPr>
          </w:p>
        </w:tc>
        <w:tc>
          <w:tcPr>
            <w:tcW w:w="872" w:type="dxa"/>
            <w:tcBorders>
              <w:tl2br w:val="nil"/>
              <w:tr2bl w:val="nil"/>
            </w:tcBorders>
            <w:shd w:val="clear" w:color="auto" w:fill="auto"/>
            <w:noWrap/>
            <w:vAlign w:val="center"/>
          </w:tcPr>
          <w:p>
            <w:pPr>
              <w:keepNext w:val="0"/>
              <w:keepLines w:val="0"/>
              <w:pageBreakBefore w:val="0"/>
              <w:widowControl/>
              <w:kinsoku/>
              <w:wordWrap/>
              <w:topLinePunct w:val="0"/>
              <w:autoSpaceDE/>
              <w:autoSpaceDN/>
              <w:bidi w:val="0"/>
              <w:adjustRightInd/>
              <w:snapToGrid w:val="0"/>
              <w:ind w:firstLine="0" w:firstLineChars="0"/>
              <w:jc w:val="center"/>
              <w:rPr>
                <w:rFonts w:hint="default" w:ascii="Times New Roman" w:hAnsi="Times New Roman" w:eastAsia="方正仿宋_GBK" w:cs="Times New Roman"/>
                <w:i w:val="0"/>
                <w:iCs w:val="0"/>
                <w:color w:val="000000"/>
                <w:spacing w:val="0"/>
                <w:w w:val="100"/>
                <w:sz w:val="21"/>
                <w:szCs w:val="21"/>
                <w:u w:val="none"/>
              </w:rPr>
            </w:pPr>
          </w:p>
        </w:tc>
        <w:tc>
          <w:tcPr>
            <w:tcW w:w="872" w:type="dxa"/>
            <w:tcBorders>
              <w:tl2br w:val="nil"/>
              <w:tr2bl w:val="nil"/>
            </w:tcBorders>
            <w:shd w:val="clear" w:color="auto" w:fill="auto"/>
            <w:noWrap/>
            <w:vAlign w:val="center"/>
          </w:tcPr>
          <w:p>
            <w:pPr>
              <w:keepNext w:val="0"/>
              <w:keepLines w:val="0"/>
              <w:pageBreakBefore w:val="0"/>
              <w:widowControl/>
              <w:kinsoku/>
              <w:wordWrap/>
              <w:topLinePunct w:val="0"/>
              <w:autoSpaceDE/>
              <w:autoSpaceDN/>
              <w:bidi w:val="0"/>
              <w:adjustRightInd/>
              <w:snapToGrid w:val="0"/>
              <w:ind w:firstLine="0" w:firstLineChars="0"/>
              <w:jc w:val="center"/>
              <w:rPr>
                <w:rFonts w:hint="default" w:ascii="Times New Roman" w:hAnsi="Times New Roman" w:eastAsia="方正仿宋_GBK" w:cs="Times New Roman"/>
                <w:i w:val="0"/>
                <w:iCs w:val="0"/>
                <w:color w:val="000000"/>
                <w:spacing w:val="0"/>
                <w:w w:val="100"/>
                <w:sz w:val="21"/>
                <w:szCs w:val="21"/>
                <w:u w:val="none"/>
              </w:rPr>
            </w:pPr>
          </w:p>
        </w:tc>
        <w:tc>
          <w:tcPr>
            <w:tcW w:w="873" w:type="dxa"/>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pacing w:val="0"/>
                <w:w w:val="1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3" w:hRule="atLeast"/>
          <w:jc w:val="center"/>
        </w:trPr>
        <w:tc>
          <w:tcPr>
            <w:tcW w:w="221" w:type="pct"/>
            <w:tcBorders>
              <w:tl2br w:val="nil"/>
              <w:tr2bl w:val="nil"/>
            </w:tcBorders>
            <w:shd w:val="clear" w:color="auto" w:fill="auto"/>
            <w:noWrap/>
            <w:vAlign w:val="center"/>
          </w:tcPr>
          <w:p>
            <w:pPr>
              <w:keepNext w:val="0"/>
              <w:keepLines w:val="0"/>
              <w:pageBreakBefore w:val="0"/>
              <w:widowControl/>
              <w:kinsoku/>
              <w:wordWrap/>
              <w:topLinePunct w:val="0"/>
              <w:autoSpaceDE/>
              <w:autoSpaceDN/>
              <w:bidi w:val="0"/>
              <w:adjustRightInd/>
              <w:snapToGrid w:val="0"/>
              <w:ind w:firstLine="0" w:firstLineChars="0"/>
              <w:jc w:val="center"/>
              <w:rPr>
                <w:rFonts w:hint="default" w:ascii="Times New Roman" w:hAnsi="Times New Roman" w:eastAsia="方正仿宋_GBK" w:cs="Times New Roman"/>
                <w:b/>
                <w:bCs/>
                <w:i w:val="0"/>
                <w:iCs w:val="0"/>
                <w:color w:val="000000"/>
                <w:spacing w:val="0"/>
                <w:w w:val="100"/>
                <w:sz w:val="21"/>
                <w:szCs w:val="21"/>
                <w:u w:val="none"/>
              </w:rPr>
            </w:pPr>
          </w:p>
        </w:tc>
        <w:tc>
          <w:tcPr>
            <w:tcW w:w="1327"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b/>
                <w:bCs/>
                <w:i w:val="0"/>
                <w:iCs w:val="0"/>
                <w:color w:val="000000"/>
                <w:spacing w:val="0"/>
                <w:w w:val="100"/>
                <w:sz w:val="21"/>
                <w:szCs w:val="21"/>
                <w:u w:val="none"/>
              </w:rPr>
            </w:pPr>
            <w:r>
              <w:rPr>
                <w:rFonts w:hint="default" w:ascii="Times New Roman" w:hAnsi="Times New Roman" w:eastAsia="方正仿宋_GBK" w:cs="Times New Roman"/>
                <w:b/>
                <w:bCs/>
                <w:i w:val="0"/>
                <w:iCs w:val="0"/>
                <w:color w:val="000000"/>
                <w:spacing w:val="0"/>
                <w:w w:val="100"/>
                <w:kern w:val="0"/>
                <w:sz w:val="21"/>
                <w:szCs w:val="21"/>
                <w:u w:val="none"/>
                <w:lang w:val="en-US" w:eastAsia="zh-CN" w:bidi="ar"/>
              </w:rPr>
              <w:t>总计</w:t>
            </w:r>
          </w:p>
        </w:tc>
        <w:tc>
          <w:tcPr>
            <w:tcW w:w="872" w:type="dxa"/>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b/>
                <w:bCs/>
                <w:i w:val="0"/>
                <w:iCs w:val="0"/>
                <w:color w:val="000000"/>
                <w:spacing w:val="0"/>
                <w:w w:val="1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4193.76</w:t>
            </w:r>
          </w:p>
        </w:tc>
        <w:tc>
          <w:tcPr>
            <w:tcW w:w="872" w:type="dxa"/>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b/>
                <w:bCs/>
                <w:i w:val="0"/>
                <w:iCs w:val="0"/>
                <w:color w:val="000000"/>
                <w:spacing w:val="0"/>
                <w:w w:val="1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392.68</w:t>
            </w:r>
          </w:p>
        </w:tc>
        <w:tc>
          <w:tcPr>
            <w:tcW w:w="872" w:type="dxa"/>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b/>
                <w:bCs/>
                <w:i w:val="0"/>
                <w:iCs w:val="0"/>
                <w:color w:val="000000"/>
                <w:spacing w:val="0"/>
                <w:w w:val="1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542.95</w:t>
            </w:r>
          </w:p>
        </w:tc>
        <w:tc>
          <w:tcPr>
            <w:tcW w:w="872" w:type="dxa"/>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b/>
                <w:bCs/>
                <w:i w:val="0"/>
                <w:iCs w:val="0"/>
                <w:color w:val="000000"/>
                <w:spacing w:val="0"/>
                <w:w w:val="1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379.7</w:t>
            </w:r>
          </w:p>
        </w:tc>
        <w:tc>
          <w:tcPr>
            <w:tcW w:w="872" w:type="dxa"/>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b/>
                <w:bCs/>
                <w:i w:val="0"/>
                <w:iCs w:val="0"/>
                <w:color w:val="000000"/>
                <w:spacing w:val="0"/>
                <w:w w:val="1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547.4</w:t>
            </w:r>
          </w:p>
        </w:tc>
        <w:tc>
          <w:tcPr>
            <w:tcW w:w="872" w:type="dxa"/>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b/>
                <w:bCs/>
                <w:i w:val="0"/>
                <w:iCs w:val="0"/>
                <w:color w:val="000000"/>
                <w:spacing w:val="0"/>
                <w:w w:val="1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297.4</w:t>
            </w:r>
          </w:p>
        </w:tc>
        <w:tc>
          <w:tcPr>
            <w:tcW w:w="873" w:type="dxa"/>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b/>
                <w:bCs/>
                <w:i w:val="0"/>
                <w:iCs w:val="0"/>
                <w:color w:val="000000"/>
                <w:spacing w:val="0"/>
                <w:w w:val="1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2033.63</w:t>
            </w:r>
          </w:p>
        </w:tc>
      </w:tr>
    </w:tbl>
    <w:p>
      <w:pPr>
        <w:bidi w:val="0"/>
        <w:rPr>
          <w:rFonts w:hint="eastAsia"/>
          <w:lang w:val="en-US" w:eastAsia="zh-CN"/>
        </w:rPr>
      </w:pPr>
    </w:p>
    <w:p>
      <w:pPr>
        <w:pStyle w:val="3"/>
        <w:bidi w:val="0"/>
        <w:rPr>
          <w:rFonts w:hint="eastAsia"/>
          <w:lang w:eastAsia="zh-CN"/>
        </w:rPr>
      </w:pPr>
      <w:r>
        <w:rPr>
          <w:rFonts w:hint="eastAsia"/>
          <w:lang w:eastAsia="zh-CN"/>
        </w:rPr>
        <w:t>区域绩效目标情况</w:t>
      </w:r>
    </w:p>
    <w:p>
      <w:pPr>
        <w:pStyle w:val="4"/>
        <w:bidi w:val="0"/>
        <w:rPr>
          <w:rFonts w:hint="eastAsia"/>
          <w:b/>
          <w:bCs/>
          <w:lang w:eastAsia="zh-CN"/>
        </w:rPr>
      </w:pPr>
      <w:r>
        <w:rPr>
          <w:rFonts w:hint="eastAsia"/>
          <w:b/>
          <w:bCs/>
          <w:lang w:eastAsia="zh-CN"/>
        </w:rPr>
        <w:t>年度总目标</w:t>
      </w:r>
    </w:p>
    <w:p>
      <w:pPr>
        <w:rPr>
          <w:rFonts w:hint="eastAsia"/>
          <w:lang w:eastAsia="zh-CN"/>
        </w:rPr>
      </w:pPr>
      <w:r>
        <w:rPr>
          <w:rFonts w:hint="eastAsia"/>
          <w:lang w:eastAsia="zh-CN"/>
        </w:rPr>
        <w:t>目标</w:t>
      </w:r>
      <w:r>
        <w:rPr>
          <w:rFonts w:hint="eastAsia"/>
          <w:lang w:val="en-US" w:eastAsia="zh-CN"/>
        </w:rPr>
        <w:t>1</w:t>
      </w:r>
      <w:r>
        <w:rPr>
          <w:rFonts w:hint="eastAsia"/>
          <w:lang w:eastAsia="zh-CN"/>
        </w:rPr>
        <w:t>：基本建立具有中国特色的权责清晰、管理科学、治理完善、运行高效、监督有力的现代医院管理制度，建立维护公益性、调动积极性、保障可持续的运行新机制和科学合理的补偿机制。</w:t>
      </w:r>
    </w:p>
    <w:p>
      <w:pPr>
        <w:rPr>
          <w:rFonts w:hint="eastAsia"/>
          <w:lang w:eastAsia="zh-CN"/>
        </w:rPr>
      </w:pPr>
      <w:r>
        <w:rPr>
          <w:rFonts w:hint="eastAsia"/>
          <w:lang w:eastAsia="zh-CN"/>
        </w:rPr>
        <w:t>目标</w:t>
      </w:r>
      <w:r>
        <w:rPr>
          <w:rFonts w:hint="eastAsia"/>
          <w:lang w:val="en-US" w:eastAsia="zh-CN"/>
        </w:rPr>
        <w:t>2</w:t>
      </w:r>
      <w:r>
        <w:rPr>
          <w:rFonts w:hint="eastAsia"/>
          <w:lang w:eastAsia="zh-CN"/>
        </w:rPr>
        <w:t>：进一步健全中医药服务体系。推进</w:t>
      </w:r>
      <w:r>
        <w:rPr>
          <w:rFonts w:hint="eastAsia"/>
        </w:rPr>
        <w:t>县级中医医院</w:t>
      </w:r>
      <w:r>
        <w:rPr>
          <w:rFonts w:hint="eastAsia" w:ascii="方正仿宋_GBK" w:hAnsi="方正仿宋_GBK" w:eastAsia="方正仿宋_GBK" w:cs="方正仿宋_GBK"/>
        </w:rPr>
        <w:t>“</w:t>
      </w:r>
      <w:r>
        <w:rPr>
          <w:rFonts w:hint="eastAsia"/>
        </w:rPr>
        <w:t>两专科一中心</w:t>
      </w:r>
      <w:r>
        <w:rPr>
          <w:rFonts w:hint="eastAsia" w:ascii="方正仿宋_GBK" w:hAnsi="方正仿宋_GBK" w:eastAsia="方正仿宋_GBK" w:cs="方正仿宋_GBK"/>
        </w:rPr>
        <w:t>”</w:t>
      </w:r>
      <w:r>
        <w:rPr>
          <w:rFonts w:hint="eastAsia"/>
        </w:rPr>
        <w:t>建设</w:t>
      </w:r>
      <w:r>
        <w:rPr>
          <w:rFonts w:hint="eastAsia"/>
          <w:lang w:eastAsia="zh-CN"/>
        </w:rPr>
        <w:t>，支持</w:t>
      </w:r>
      <w:r>
        <w:rPr>
          <w:rFonts w:hint="eastAsia"/>
        </w:rPr>
        <w:t>项目单位建设两个特色专科、建成1个中医药适宜技术推广中心。</w:t>
      </w:r>
    </w:p>
    <w:p>
      <w:pPr>
        <w:rPr>
          <w:rFonts w:hint="eastAsia"/>
          <w:lang w:eastAsia="zh-CN"/>
        </w:rPr>
      </w:pPr>
      <w:r>
        <w:rPr>
          <w:rFonts w:hint="eastAsia"/>
          <w:lang w:eastAsia="zh-CN"/>
        </w:rPr>
        <w:t>目标</w:t>
      </w:r>
      <w:r>
        <w:rPr>
          <w:rFonts w:hint="eastAsia"/>
          <w:lang w:val="en-US" w:eastAsia="zh-CN"/>
        </w:rPr>
        <w:t>3</w:t>
      </w:r>
      <w:r>
        <w:rPr>
          <w:rFonts w:hint="eastAsia"/>
          <w:lang w:eastAsia="zh-CN"/>
        </w:rPr>
        <w:t>：贯彻落实《国务院办公厅关于深化医教协同进一步推进医学教育改革与发展的意见》（国办发〔20</w:t>
      </w:r>
      <w:r>
        <w:rPr>
          <w:rFonts w:hint="eastAsia"/>
          <w:lang w:val="en-US" w:eastAsia="zh-CN"/>
        </w:rPr>
        <w:t>17</w:t>
      </w:r>
      <w:r>
        <w:rPr>
          <w:rFonts w:hint="eastAsia"/>
          <w:lang w:eastAsia="zh-CN"/>
        </w:rPr>
        <w:t>〕63号）、《国务院办公厅关于改革完善全科医生培养与使用激励机制的意见》（国办发〔20</w:t>
      </w:r>
      <w:r>
        <w:rPr>
          <w:rFonts w:hint="eastAsia"/>
          <w:lang w:val="en-US" w:eastAsia="zh-CN"/>
        </w:rPr>
        <w:t>18</w:t>
      </w:r>
      <w:r>
        <w:rPr>
          <w:rFonts w:hint="eastAsia"/>
          <w:lang w:eastAsia="zh-CN"/>
        </w:rPr>
        <w:t>〕3号）、《国务院办公厅关于加快医学教育创新发展的指导意见》（国办发〔202</w:t>
      </w:r>
      <w:r>
        <w:rPr>
          <w:rFonts w:hint="eastAsia"/>
          <w:lang w:val="en-US" w:eastAsia="zh-CN"/>
        </w:rPr>
        <w:t>0</w:t>
      </w:r>
      <w:r>
        <w:rPr>
          <w:rFonts w:hint="eastAsia"/>
          <w:lang w:eastAsia="zh-CN"/>
        </w:rPr>
        <w:t>〕34号）等文件精神，加大卫生健康人才培养培训力度，完成中央财政经费支持的本地区各项卫生健康人才培养培训任务。</w:t>
      </w:r>
    </w:p>
    <w:p>
      <w:pPr>
        <w:rPr>
          <w:rFonts w:hint="eastAsia"/>
          <w:lang w:eastAsia="zh-CN"/>
        </w:rPr>
      </w:pPr>
      <w:r>
        <w:rPr>
          <w:rFonts w:hint="eastAsia"/>
          <w:lang w:eastAsia="zh-CN"/>
        </w:rPr>
        <w:t>目标4：支持国家乡村振兴重点帮扶县、脱贫县，加强县域医疗卫生机构能力建设，每个县支持1家县级公立综合医院和不低于2家基层卫生机构能力建设。结合县医院临床专科建设基础，通过重点专科建设、县域医共体、专科联盟、远程医疗协助网、设备采购、技术引进等，进一步完善县域内医疗卫生服务体系，提高县域内就诊率。县域内</w:t>
      </w:r>
      <w:r>
        <w:rPr>
          <w:rFonts w:hint="eastAsia"/>
          <w:lang w:val="en-US" w:eastAsia="zh-CN"/>
        </w:rPr>
        <w:t>50</w:t>
      </w:r>
      <w:r>
        <w:rPr>
          <w:rFonts w:hint="eastAsia"/>
          <w:lang w:eastAsia="zh-CN"/>
        </w:rPr>
        <w:t>%以上的基层医疗卫生机构（社区卫生服务中心和乡镇卫生院）达到服务能力基本标准。</w:t>
      </w:r>
    </w:p>
    <w:p>
      <w:pPr>
        <w:rPr>
          <w:rFonts w:hint="eastAsia"/>
          <w:lang w:eastAsia="zh-CN"/>
        </w:rPr>
      </w:pPr>
      <w:r>
        <w:rPr>
          <w:rFonts w:hint="eastAsia"/>
          <w:lang w:eastAsia="zh-CN"/>
        </w:rPr>
        <w:t>目标</w:t>
      </w:r>
      <w:r>
        <w:rPr>
          <w:rFonts w:hint="eastAsia"/>
          <w:lang w:val="en-US" w:eastAsia="zh-CN"/>
        </w:rPr>
        <w:t>5</w:t>
      </w:r>
      <w:r>
        <w:rPr>
          <w:rFonts w:hint="eastAsia"/>
          <w:lang w:eastAsia="zh-CN"/>
        </w:rPr>
        <w:t>：支持县级疾病预防控制中心、妇幼保健机构、卫生监督机构加强能力建设。</w:t>
      </w:r>
    </w:p>
    <w:p>
      <w:pPr>
        <w:rPr>
          <w:rFonts w:hint="eastAsia"/>
          <w:lang w:eastAsia="zh-CN"/>
        </w:rPr>
      </w:pPr>
      <w:r>
        <w:rPr>
          <w:rFonts w:hint="eastAsia"/>
          <w:lang w:eastAsia="zh-CN"/>
        </w:rPr>
        <w:t>目标</w:t>
      </w:r>
      <w:r>
        <w:rPr>
          <w:rFonts w:hint="eastAsia"/>
          <w:lang w:val="en-US" w:eastAsia="zh-CN"/>
        </w:rPr>
        <w:t>6</w:t>
      </w:r>
      <w:r>
        <w:rPr>
          <w:rFonts w:hint="eastAsia"/>
          <w:lang w:eastAsia="zh-CN"/>
        </w:rPr>
        <w:t>：支持承担职业病危害因素监测任务的州级疾病预防控制中心配备必要的监测仪器，满足日常监测需要，进一步提升职业病危害因素监测能力与职业病技术支撑能力。</w:t>
      </w:r>
    </w:p>
    <w:p>
      <w:pPr>
        <w:rPr>
          <w:rFonts w:hint="eastAsia"/>
        </w:rPr>
      </w:pPr>
      <w:r>
        <w:rPr>
          <w:rFonts w:hint="eastAsia"/>
          <w:lang w:eastAsia="zh-CN"/>
        </w:rPr>
        <w:t>目标</w:t>
      </w:r>
      <w:r>
        <w:rPr>
          <w:rFonts w:hint="eastAsia"/>
          <w:lang w:val="en-US" w:eastAsia="zh-CN"/>
        </w:rPr>
        <w:t>7：</w:t>
      </w:r>
      <w:r>
        <w:rPr>
          <w:rFonts w:hint="eastAsia"/>
        </w:rPr>
        <w:t>支持承担职业病诊疗康复机构配备必需的职业病诊疗康复设备，满足日常诊疗康复工作需要，进一步提升职业病诊疗康复能力与水平。</w:t>
      </w:r>
    </w:p>
    <w:p>
      <w:pPr>
        <w:rPr>
          <w:rFonts w:hint="eastAsia"/>
          <w:lang w:eastAsia="zh-CN"/>
        </w:rPr>
      </w:pPr>
      <w:r>
        <w:rPr>
          <w:rFonts w:hint="eastAsia"/>
          <w:lang w:eastAsia="zh-CN"/>
        </w:rPr>
        <w:t>目标</w:t>
      </w:r>
      <w:r>
        <w:rPr>
          <w:rFonts w:hint="eastAsia"/>
          <w:lang w:val="en-US" w:eastAsia="zh-CN"/>
        </w:rPr>
        <w:t>8：</w:t>
      </w:r>
      <w:r>
        <w:rPr>
          <w:rFonts w:hint="eastAsia"/>
        </w:rPr>
        <w:t>支持承担疫情重点救治任务的综合医院加强医防整合，提升疫情防治能力</w:t>
      </w:r>
      <w:r>
        <w:rPr>
          <w:rFonts w:hint="eastAsia"/>
          <w:lang w:eastAsia="zh-CN"/>
        </w:rPr>
        <w:t>。</w:t>
      </w:r>
    </w:p>
    <w:p>
      <w:pPr>
        <w:pStyle w:val="4"/>
        <w:bidi w:val="0"/>
        <w:rPr>
          <w:rFonts w:hint="eastAsia"/>
          <w:b/>
          <w:bCs/>
          <w:lang w:eastAsia="zh-CN"/>
        </w:rPr>
      </w:pPr>
      <w:r>
        <w:rPr>
          <w:rFonts w:hint="eastAsia"/>
          <w:b/>
          <w:bCs/>
          <w:lang w:eastAsia="zh-CN"/>
        </w:rPr>
        <w:t>具体目标</w:t>
      </w:r>
    </w:p>
    <w:p>
      <w:pPr>
        <w:rPr>
          <w:rFonts w:hint="eastAsia"/>
          <w:lang w:eastAsia="zh-CN"/>
        </w:rPr>
      </w:pPr>
      <w:r>
        <w:rPr>
          <w:rFonts w:hint="eastAsia"/>
          <w:lang w:eastAsia="zh-CN"/>
        </w:rPr>
        <w:t>根据中央下达的资金绩效目标，我州从数量、质量、时效、成本、社会效益、可持续影响、满意度等七个方面设置了</w:t>
      </w:r>
      <w:r>
        <w:rPr>
          <w:rFonts w:hint="eastAsia"/>
          <w:lang w:val="en-US" w:eastAsia="zh-CN"/>
        </w:rPr>
        <w:t>73</w:t>
      </w:r>
      <w:r>
        <w:rPr>
          <w:rFonts w:hint="eastAsia"/>
          <w:lang w:eastAsia="zh-CN"/>
        </w:rPr>
        <w:t>个三级绩效评价指标，并将绩效评价指标细划分解到各县市、各单位。具体详见附表。</w:t>
      </w:r>
    </w:p>
    <w:p>
      <w:pPr>
        <w:pStyle w:val="2"/>
        <w:bidi w:val="0"/>
        <w:rPr>
          <w:rFonts w:hint="eastAsia"/>
          <w:lang w:eastAsia="zh-CN"/>
        </w:rPr>
      </w:pPr>
      <w:r>
        <w:rPr>
          <w:rFonts w:hint="eastAsia"/>
          <w:lang w:eastAsia="zh-CN"/>
        </w:rPr>
        <w:t>综合评价结论</w:t>
      </w:r>
    </w:p>
    <w:p>
      <w:pPr>
        <w:bidi w:val="0"/>
        <w:rPr>
          <w:rFonts w:hint="eastAsia"/>
          <w:lang w:eastAsia="zh-CN"/>
        </w:rPr>
      </w:pPr>
      <w:r>
        <w:rPr>
          <w:rFonts w:hint="eastAsia"/>
          <w:lang w:val="en-US" w:eastAsia="zh-CN"/>
        </w:rPr>
        <w:t>2023</w:t>
      </w:r>
      <w:r>
        <w:rPr>
          <w:rFonts w:hint="eastAsia"/>
          <w:lang w:eastAsia="zh-CN"/>
        </w:rPr>
        <w:t>年德宏州持续加强对医疗服务与保障能力提升项目的政策支持和工作指导，落实绩效管理主体责任，积极保障项目资金，促进项目高质量可持续发展。德宏州严格按照项目实施方案组织实施医疗服务与保障能力提升项目，项目管理、任务目标、项目效益基本达到要求，基层医疗服务与保障能力得到全面提升和加强，基层群众满意度高，总体绩效目标基本实现。绩效自评得分</w:t>
      </w:r>
      <w:r>
        <w:rPr>
          <w:rFonts w:hint="eastAsia"/>
          <w:lang w:val="en-US" w:eastAsia="zh-CN"/>
        </w:rPr>
        <w:t>76.29</w:t>
      </w:r>
      <w:r>
        <w:rPr>
          <w:rFonts w:hint="eastAsia"/>
          <w:lang w:eastAsia="zh-CN"/>
        </w:rPr>
        <w:t>分，根据《德宏州项目支出绩效评价管理办法》（德财绩〔2020〕12号）自评等级为</w:t>
      </w:r>
      <w:r>
        <w:rPr>
          <w:rFonts w:hint="eastAsia" w:ascii="方正仿宋_GBK" w:hAnsi="方正仿宋_GBK" w:eastAsia="方正仿宋_GBK" w:cs="方正仿宋_GBK"/>
          <w:lang w:eastAsia="zh-CN"/>
        </w:rPr>
        <w:t>“</w:t>
      </w:r>
      <w:r>
        <w:rPr>
          <w:rFonts w:hint="eastAsia"/>
          <w:lang w:val="en-US" w:eastAsia="zh-CN"/>
        </w:rPr>
        <w:t>中</w:t>
      </w:r>
      <w:r>
        <w:rPr>
          <w:rFonts w:hint="eastAsia" w:ascii="方正仿宋_GBK" w:hAnsi="方正仿宋_GBK" w:eastAsia="方正仿宋_GBK" w:cs="方正仿宋_GBK"/>
          <w:lang w:eastAsia="zh-CN"/>
        </w:rPr>
        <w:t>”</w:t>
      </w:r>
      <w:r>
        <w:rPr>
          <w:rFonts w:hint="eastAsia"/>
          <w:lang w:eastAsia="zh-CN"/>
        </w:rPr>
        <w:t>。</w:t>
      </w:r>
    </w:p>
    <w:p>
      <w:pPr>
        <w:bidi w:val="0"/>
        <w:rPr>
          <w:rFonts w:hint="eastAsia"/>
          <w:lang w:eastAsia="zh-CN"/>
        </w:rPr>
      </w:pPr>
    </w:p>
    <w:tbl>
      <w:tblPr>
        <w:tblStyle w:val="16"/>
        <w:tblW w:w="50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3552"/>
        <w:gridCol w:w="1765"/>
        <w:gridCol w:w="1765"/>
        <w:gridCol w:w="1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6" w:hRule="atLeast"/>
          <w:jc w:val="center"/>
        </w:trPr>
        <w:tc>
          <w:tcPr>
            <w:tcW w:w="5000" w:type="pct"/>
            <w:gridSpan w:val="4"/>
            <w:tcBorders>
              <w:top w:val="nil"/>
              <w:left w:val="nil"/>
              <w:right w:val="nil"/>
            </w:tcBorders>
            <w:shd w:val="clear" w:color="auto" w:fill="auto"/>
            <w:noWrap/>
            <w:vAlign w:val="center"/>
          </w:tcPr>
          <w:p>
            <w:pPr>
              <w:pStyle w:val="11"/>
              <w:rPr>
                <w:rFonts w:hint="default" w:ascii="Times New Roman" w:hAnsi="Times New Roman" w:eastAsia="方正仿宋_GBK" w:cs="Times New Roman"/>
                <w:b/>
                <w:bCs/>
                <w:i w:val="0"/>
                <w:iCs w:val="0"/>
                <w:color w:val="000000"/>
                <w:kern w:val="0"/>
                <w:sz w:val="21"/>
                <w:szCs w:val="21"/>
                <w:u w:val="none"/>
                <w:lang w:val="en-US" w:eastAsia="zh-CN" w:bidi="ar"/>
              </w:rPr>
            </w:pPr>
            <w:r>
              <w:t>表</w:t>
            </w:r>
            <w:r>
              <w:fldChar w:fldCharType="begin"/>
            </w:r>
            <w:r>
              <w:instrText xml:space="preserve"> SEQ 表 \* ARABIC </w:instrText>
            </w:r>
            <w:r>
              <w:fldChar w:fldCharType="separate"/>
            </w:r>
            <w:r>
              <w:t>2</w:t>
            </w:r>
            <w:r>
              <w:fldChar w:fldCharType="end"/>
            </w:r>
            <w:r>
              <w:rPr>
                <w:rFonts w:hint="eastAsia"/>
                <w:lang w:eastAsia="zh-CN"/>
              </w:rPr>
              <w:t xml:space="preserve">  绩效评价得分情况表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6" w:hRule="atLeast"/>
          <w:jc w:val="center"/>
        </w:trPr>
        <w:tc>
          <w:tcPr>
            <w:tcW w:w="2007" w:type="pct"/>
            <w:tcBorders>
              <w:tl2br w:val="nil"/>
              <w:tr2bl w:val="nil"/>
            </w:tcBorders>
            <w:shd w:val="clear" w:color="auto" w:fill="auto"/>
            <w:noWrap/>
            <w:vAlign w:val="center"/>
          </w:tcPr>
          <w:p>
            <w:pPr>
              <w:keepNext w:val="0"/>
              <w:keepLines w:val="0"/>
              <w:pageBreakBefore w:val="0"/>
              <w:widowControl/>
              <w:suppressLineNumbers w:val="0"/>
              <w:kinsoku/>
              <w:wordWrap/>
              <w:overflowPunct w:val="0"/>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一级指标</w:t>
            </w:r>
          </w:p>
        </w:tc>
        <w:tc>
          <w:tcPr>
            <w:tcW w:w="997" w:type="pct"/>
            <w:tcBorders>
              <w:tl2br w:val="nil"/>
              <w:tr2bl w:val="nil"/>
            </w:tcBorders>
            <w:shd w:val="clear" w:color="auto" w:fill="auto"/>
            <w:noWrap/>
            <w:vAlign w:val="center"/>
          </w:tcPr>
          <w:p>
            <w:pPr>
              <w:keepNext w:val="0"/>
              <w:keepLines w:val="0"/>
              <w:pageBreakBefore w:val="0"/>
              <w:widowControl/>
              <w:suppressLineNumbers w:val="0"/>
              <w:kinsoku/>
              <w:wordWrap/>
              <w:overflowPunct w:val="0"/>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指标分值</w:t>
            </w:r>
          </w:p>
        </w:tc>
        <w:tc>
          <w:tcPr>
            <w:tcW w:w="997" w:type="pct"/>
            <w:tcBorders>
              <w:tl2br w:val="nil"/>
              <w:tr2bl w:val="nil"/>
            </w:tcBorders>
            <w:shd w:val="clear" w:color="auto" w:fill="auto"/>
            <w:noWrap/>
            <w:vAlign w:val="center"/>
          </w:tcPr>
          <w:p>
            <w:pPr>
              <w:keepNext w:val="0"/>
              <w:keepLines w:val="0"/>
              <w:pageBreakBefore w:val="0"/>
              <w:widowControl/>
              <w:suppressLineNumbers w:val="0"/>
              <w:kinsoku/>
              <w:wordWrap/>
              <w:overflowPunct w:val="0"/>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评价得分</w:t>
            </w:r>
          </w:p>
        </w:tc>
        <w:tc>
          <w:tcPr>
            <w:tcW w:w="997" w:type="pct"/>
            <w:tcBorders>
              <w:tl2br w:val="nil"/>
              <w:tr2bl w:val="nil"/>
            </w:tcBorders>
            <w:shd w:val="clear" w:color="auto" w:fill="auto"/>
            <w:noWrap/>
            <w:vAlign w:val="center"/>
          </w:tcPr>
          <w:p>
            <w:pPr>
              <w:keepNext w:val="0"/>
              <w:keepLines w:val="0"/>
              <w:pageBreakBefore w:val="0"/>
              <w:widowControl/>
              <w:suppressLineNumbers w:val="0"/>
              <w:kinsoku/>
              <w:wordWrap/>
              <w:overflowPunct w:val="0"/>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98" w:hRule="atLeast"/>
          <w:jc w:val="center"/>
        </w:trPr>
        <w:tc>
          <w:tcPr>
            <w:tcW w:w="2007" w:type="pct"/>
            <w:tcBorders>
              <w:tl2br w:val="nil"/>
              <w:tr2bl w:val="nil"/>
            </w:tcBorders>
            <w:shd w:val="clear" w:color="auto" w:fill="auto"/>
            <w:noWrap/>
            <w:vAlign w:val="center"/>
          </w:tcPr>
          <w:p>
            <w:pPr>
              <w:keepNext w:val="0"/>
              <w:keepLines w:val="0"/>
              <w:pageBreakBefore w:val="0"/>
              <w:widowControl/>
              <w:suppressLineNumbers w:val="0"/>
              <w:kinsoku/>
              <w:wordWrap/>
              <w:overflowPunct w:val="0"/>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资金</w:t>
            </w:r>
            <w:r>
              <w:rPr>
                <w:rFonts w:hint="eastAsia" w:cs="Times New Roman"/>
                <w:i w:val="0"/>
                <w:iCs w:val="0"/>
                <w:color w:val="000000"/>
                <w:kern w:val="0"/>
                <w:sz w:val="21"/>
                <w:szCs w:val="21"/>
                <w:u w:val="none"/>
                <w:lang w:val="en-US" w:eastAsia="zh-CN" w:bidi="ar"/>
              </w:rPr>
              <w:t>投</w:t>
            </w:r>
            <w:r>
              <w:rPr>
                <w:rFonts w:hint="default" w:ascii="Times New Roman" w:hAnsi="Times New Roman" w:eastAsia="方正仿宋_GBK" w:cs="Times New Roman"/>
                <w:i w:val="0"/>
                <w:iCs w:val="0"/>
                <w:color w:val="000000"/>
                <w:kern w:val="0"/>
                <w:sz w:val="21"/>
                <w:szCs w:val="21"/>
                <w:u w:val="none"/>
                <w:lang w:val="en-US" w:eastAsia="zh-CN" w:bidi="ar"/>
              </w:rPr>
              <w:t>入情况</w:t>
            </w:r>
          </w:p>
        </w:tc>
        <w:tc>
          <w:tcPr>
            <w:tcW w:w="997" w:type="pct"/>
            <w:tcBorders>
              <w:tl2br w:val="nil"/>
              <w:tr2bl w:val="nil"/>
            </w:tcBorders>
            <w:shd w:val="clear" w:color="auto" w:fill="auto"/>
            <w:noWrap/>
            <w:vAlign w:val="center"/>
          </w:tcPr>
          <w:p>
            <w:pPr>
              <w:keepNext w:val="0"/>
              <w:keepLines w:val="0"/>
              <w:pageBreakBefore w:val="0"/>
              <w:widowControl/>
              <w:suppressLineNumbers w:val="0"/>
              <w:kinsoku/>
              <w:wordWrap/>
              <w:overflowPunct w:val="0"/>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w:t>
            </w:r>
          </w:p>
        </w:tc>
        <w:tc>
          <w:tcPr>
            <w:tcW w:w="997" w:type="pct"/>
            <w:tcBorders>
              <w:tl2br w:val="nil"/>
              <w:tr2bl w:val="nil"/>
            </w:tcBorders>
            <w:shd w:val="clear" w:color="auto" w:fill="auto"/>
            <w:noWrap/>
            <w:vAlign w:val="center"/>
          </w:tcPr>
          <w:p>
            <w:pPr>
              <w:keepNext w:val="0"/>
              <w:keepLines w:val="0"/>
              <w:pageBreakBefore w:val="0"/>
              <w:widowControl/>
              <w:suppressLineNumbers w:val="0"/>
              <w:kinsoku/>
              <w:wordWrap/>
              <w:overflowPunct w:val="0"/>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5.59</w:t>
            </w:r>
          </w:p>
        </w:tc>
        <w:tc>
          <w:tcPr>
            <w:tcW w:w="997" w:type="pct"/>
            <w:tcBorders>
              <w:tl2br w:val="nil"/>
              <w:tr2bl w:val="nil"/>
            </w:tcBorders>
            <w:shd w:val="clear" w:color="auto" w:fill="auto"/>
            <w:noWrap/>
            <w:vAlign w:val="center"/>
          </w:tcPr>
          <w:p>
            <w:pPr>
              <w:keepNext w:val="0"/>
              <w:keepLines w:val="0"/>
              <w:pageBreakBefore w:val="0"/>
              <w:widowControl/>
              <w:suppressLineNumbers w:val="0"/>
              <w:kinsoku/>
              <w:wordWrap/>
              <w:overflowPunct w:val="0"/>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55.9%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98" w:hRule="atLeast"/>
          <w:jc w:val="center"/>
        </w:trPr>
        <w:tc>
          <w:tcPr>
            <w:tcW w:w="2007" w:type="pct"/>
            <w:tcBorders>
              <w:tl2br w:val="nil"/>
              <w:tr2bl w:val="nil"/>
            </w:tcBorders>
            <w:shd w:val="clear" w:color="auto" w:fill="auto"/>
            <w:noWrap/>
            <w:vAlign w:val="center"/>
          </w:tcPr>
          <w:p>
            <w:pPr>
              <w:keepNext w:val="0"/>
              <w:keepLines w:val="0"/>
              <w:pageBreakBefore w:val="0"/>
              <w:widowControl/>
              <w:suppressLineNumbers w:val="0"/>
              <w:kinsoku/>
              <w:wordWrap/>
              <w:overflowPunct w:val="0"/>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资金管理情况</w:t>
            </w:r>
          </w:p>
        </w:tc>
        <w:tc>
          <w:tcPr>
            <w:tcW w:w="997" w:type="pct"/>
            <w:tcBorders>
              <w:tl2br w:val="nil"/>
              <w:tr2bl w:val="nil"/>
            </w:tcBorders>
            <w:shd w:val="clear" w:color="auto" w:fill="auto"/>
            <w:noWrap/>
            <w:vAlign w:val="center"/>
          </w:tcPr>
          <w:p>
            <w:pPr>
              <w:keepNext w:val="0"/>
              <w:keepLines w:val="0"/>
              <w:pageBreakBefore w:val="0"/>
              <w:widowControl/>
              <w:suppressLineNumbers w:val="0"/>
              <w:kinsoku/>
              <w:wordWrap/>
              <w:overflowPunct w:val="0"/>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40</w:t>
            </w:r>
          </w:p>
        </w:tc>
        <w:tc>
          <w:tcPr>
            <w:tcW w:w="997" w:type="pct"/>
            <w:tcBorders>
              <w:tl2br w:val="nil"/>
              <w:tr2bl w:val="nil"/>
            </w:tcBorders>
            <w:shd w:val="clear" w:color="auto" w:fill="auto"/>
            <w:noWrap/>
            <w:vAlign w:val="center"/>
          </w:tcPr>
          <w:p>
            <w:pPr>
              <w:keepNext w:val="0"/>
              <w:keepLines w:val="0"/>
              <w:pageBreakBefore w:val="0"/>
              <w:widowControl/>
              <w:suppressLineNumbers w:val="0"/>
              <w:kinsoku/>
              <w:wordWrap/>
              <w:overflowPunct w:val="0"/>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30</w:t>
            </w:r>
            <w:r>
              <w:rPr>
                <w:rFonts w:hint="eastAsia" w:cs="Times New Roman"/>
                <w:i w:val="0"/>
                <w:iCs w:val="0"/>
                <w:color w:val="000000"/>
                <w:kern w:val="0"/>
                <w:sz w:val="21"/>
                <w:szCs w:val="21"/>
                <w:u w:val="none"/>
                <w:lang w:val="en-US" w:eastAsia="zh-CN" w:bidi="ar"/>
              </w:rPr>
              <w:t>.7</w:t>
            </w:r>
          </w:p>
        </w:tc>
        <w:tc>
          <w:tcPr>
            <w:tcW w:w="997" w:type="pct"/>
            <w:tcBorders>
              <w:tl2br w:val="nil"/>
              <w:tr2bl w:val="nil"/>
            </w:tcBorders>
            <w:shd w:val="clear" w:color="auto" w:fill="auto"/>
            <w:noWrap/>
            <w:vAlign w:val="center"/>
          </w:tcPr>
          <w:p>
            <w:pPr>
              <w:keepNext w:val="0"/>
              <w:keepLines w:val="0"/>
              <w:pageBreakBefore w:val="0"/>
              <w:widowControl/>
              <w:suppressLineNumbers w:val="0"/>
              <w:kinsoku/>
              <w:wordWrap/>
              <w:overflowPunct w:val="0"/>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76.8</w:t>
            </w:r>
            <w:r>
              <w:rPr>
                <w:rFonts w:hint="eastAsia" w:ascii="Times New Roman" w:hAnsi="Times New Roman" w:eastAsia="方正仿宋_GBK" w:cs="Times New Roman"/>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98" w:hRule="atLeast"/>
          <w:jc w:val="center"/>
        </w:trPr>
        <w:tc>
          <w:tcPr>
            <w:tcW w:w="2007" w:type="pct"/>
            <w:tcBorders>
              <w:tl2br w:val="nil"/>
              <w:tr2bl w:val="nil"/>
            </w:tcBorders>
            <w:shd w:val="clear" w:color="auto" w:fill="auto"/>
            <w:noWrap/>
            <w:vAlign w:val="center"/>
          </w:tcPr>
          <w:p>
            <w:pPr>
              <w:keepNext w:val="0"/>
              <w:keepLines w:val="0"/>
              <w:pageBreakBefore w:val="0"/>
              <w:widowControl/>
              <w:suppressLineNumbers w:val="0"/>
              <w:kinsoku/>
              <w:wordWrap/>
              <w:overflowPunct w:val="0"/>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产出指标</w:t>
            </w:r>
          </w:p>
        </w:tc>
        <w:tc>
          <w:tcPr>
            <w:tcW w:w="997" w:type="pct"/>
            <w:tcBorders>
              <w:tl2br w:val="nil"/>
              <w:tr2bl w:val="nil"/>
            </w:tcBorders>
            <w:shd w:val="clear" w:color="auto" w:fill="auto"/>
            <w:noWrap/>
            <w:vAlign w:val="center"/>
          </w:tcPr>
          <w:p>
            <w:pPr>
              <w:keepNext w:val="0"/>
              <w:keepLines w:val="0"/>
              <w:pageBreakBefore w:val="0"/>
              <w:widowControl/>
              <w:suppressLineNumbers w:val="0"/>
              <w:kinsoku/>
              <w:wordWrap/>
              <w:overflowPunct w:val="0"/>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30</w:t>
            </w:r>
          </w:p>
        </w:tc>
        <w:tc>
          <w:tcPr>
            <w:tcW w:w="997" w:type="pct"/>
            <w:tcBorders>
              <w:tl2br w:val="nil"/>
              <w:tr2bl w:val="nil"/>
            </w:tcBorders>
            <w:shd w:val="clear" w:color="auto" w:fill="auto"/>
            <w:noWrap/>
            <w:vAlign w:val="center"/>
          </w:tcPr>
          <w:p>
            <w:pPr>
              <w:keepNext w:val="0"/>
              <w:keepLines w:val="0"/>
              <w:pageBreakBefore w:val="0"/>
              <w:widowControl/>
              <w:suppressLineNumbers w:val="0"/>
              <w:kinsoku/>
              <w:wordWrap/>
              <w:overflowPunct w:val="0"/>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23</w:t>
            </w:r>
          </w:p>
        </w:tc>
        <w:tc>
          <w:tcPr>
            <w:tcW w:w="997" w:type="pct"/>
            <w:tcBorders>
              <w:tl2br w:val="nil"/>
              <w:tr2bl w:val="nil"/>
            </w:tcBorders>
            <w:shd w:val="clear" w:color="auto" w:fill="auto"/>
            <w:noWrap/>
            <w:vAlign w:val="center"/>
          </w:tcPr>
          <w:p>
            <w:pPr>
              <w:keepNext w:val="0"/>
              <w:keepLines w:val="0"/>
              <w:pageBreakBefore w:val="0"/>
              <w:widowControl/>
              <w:suppressLineNumbers w:val="0"/>
              <w:kinsoku/>
              <w:wordWrap/>
              <w:overflowPunct w:val="0"/>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76.7%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98" w:hRule="atLeast"/>
          <w:jc w:val="center"/>
        </w:trPr>
        <w:tc>
          <w:tcPr>
            <w:tcW w:w="2007" w:type="pct"/>
            <w:tcBorders>
              <w:tl2br w:val="nil"/>
              <w:tr2bl w:val="nil"/>
            </w:tcBorders>
            <w:shd w:val="clear" w:color="auto" w:fill="auto"/>
            <w:noWrap/>
            <w:vAlign w:val="center"/>
          </w:tcPr>
          <w:p>
            <w:pPr>
              <w:keepNext w:val="0"/>
              <w:keepLines w:val="0"/>
              <w:pageBreakBefore w:val="0"/>
              <w:widowControl/>
              <w:suppressLineNumbers w:val="0"/>
              <w:kinsoku/>
              <w:wordWrap/>
              <w:overflowPunct w:val="0"/>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效益指标</w:t>
            </w:r>
          </w:p>
        </w:tc>
        <w:tc>
          <w:tcPr>
            <w:tcW w:w="997" w:type="pct"/>
            <w:tcBorders>
              <w:tl2br w:val="nil"/>
              <w:tr2bl w:val="nil"/>
            </w:tcBorders>
            <w:shd w:val="clear" w:color="auto" w:fill="auto"/>
            <w:noWrap/>
            <w:vAlign w:val="center"/>
          </w:tcPr>
          <w:p>
            <w:pPr>
              <w:keepNext w:val="0"/>
              <w:keepLines w:val="0"/>
              <w:pageBreakBefore w:val="0"/>
              <w:widowControl/>
              <w:suppressLineNumbers w:val="0"/>
              <w:kinsoku/>
              <w:wordWrap/>
              <w:overflowPunct w:val="0"/>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15</w:t>
            </w:r>
          </w:p>
        </w:tc>
        <w:tc>
          <w:tcPr>
            <w:tcW w:w="997" w:type="pct"/>
            <w:tcBorders>
              <w:tl2br w:val="nil"/>
              <w:tr2bl w:val="nil"/>
            </w:tcBorders>
            <w:shd w:val="clear" w:color="auto" w:fill="auto"/>
            <w:noWrap/>
            <w:vAlign w:val="center"/>
          </w:tcPr>
          <w:p>
            <w:pPr>
              <w:keepNext w:val="0"/>
              <w:keepLines w:val="0"/>
              <w:pageBreakBefore w:val="0"/>
              <w:widowControl/>
              <w:suppressLineNumbers w:val="0"/>
              <w:kinsoku/>
              <w:wordWrap/>
              <w:overflowPunct w:val="0"/>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12.</w:t>
            </w:r>
            <w:r>
              <w:rPr>
                <w:rFonts w:hint="eastAsia" w:cs="Times New Roman"/>
                <w:i w:val="0"/>
                <w:iCs w:val="0"/>
                <w:color w:val="000000"/>
                <w:kern w:val="0"/>
                <w:sz w:val="21"/>
                <w:szCs w:val="21"/>
                <w:u w:val="none"/>
                <w:lang w:val="en-US" w:eastAsia="zh-CN" w:bidi="ar"/>
              </w:rPr>
              <w:t>5</w:t>
            </w:r>
          </w:p>
        </w:tc>
        <w:tc>
          <w:tcPr>
            <w:tcW w:w="997" w:type="pct"/>
            <w:tcBorders>
              <w:tl2br w:val="nil"/>
              <w:tr2bl w:val="nil"/>
            </w:tcBorders>
            <w:shd w:val="clear" w:color="auto" w:fill="auto"/>
            <w:noWrap/>
            <w:vAlign w:val="center"/>
          </w:tcPr>
          <w:p>
            <w:pPr>
              <w:keepNext w:val="0"/>
              <w:keepLines w:val="0"/>
              <w:pageBreakBefore w:val="0"/>
              <w:widowControl/>
              <w:suppressLineNumbers w:val="0"/>
              <w:kinsoku/>
              <w:wordWrap/>
              <w:overflowPunct w:val="0"/>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85.3%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98" w:hRule="atLeast"/>
          <w:jc w:val="center"/>
        </w:trPr>
        <w:tc>
          <w:tcPr>
            <w:tcW w:w="2007" w:type="pct"/>
            <w:tcBorders>
              <w:tl2br w:val="nil"/>
              <w:tr2bl w:val="nil"/>
            </w:tcBorders>
            <w:shd w:val="clear" w:color="auto" w:fill="auto"/>
            <w:noWrap/>
            <w:vAlign w:val="center"/>
          </w:tcPr>
          <w:p>
            <w:pPr>
              <w:keepNext w:val="0"/>
              <w:keepLines w:val="0"/>
              <w:pageBreakBefore w:val="0"/>
              <w:widowControl/>
              <w:suppressLineNumbers w:val="0"/>
              <w:kinsoku/>
              <w:wordWrap/>
              <w:overflowPunct w:val="0"/>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满意度指标</w:t>
            </w:r>
          </w:p>
        </w:tc>
        <w:tc>
          <w:tcPr>
            <w:tcW w:w="997" w:type="pct"/>
            <w:tcBorders>
              <w:tl2br w:val="nil"/>
              <w:tr2bl w:val="nil"/>
            </w:tcBorders>
            <w:shd w:val="clear" w:color="auto" w:fill="auto"/>
            <w:noWrap/>
            <w:vAlign w:val="center"/>
          </w:tcPr>
          <w:p>
            <w:pPr>
              <w:keepNext w:val="0"/>
              <w:keepLines w:val="0"/>
              <w:pageBreakBefore w:val="0"/>
              <w:widowControl/>
              <w:suppressLineNumbers w:val="0"/>
              <w:kinsoku/>
              <w:wordWrap/>
              <w:overflowPunct w:val="0"/>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w:t>
            </w:r>
          </w:p>
        </w:tc>
        <w:tc>
          <w:tcPr>
            <w:tcW w:w="997" w:type="pct"/>
            <w:tcBorders>
              <w:tl2br w:val="nil"/>
              <w:tr2bl w:val="nil"/>
            </w:tcBorders>
            <w:shd w:val="clear" w:color="auto" w:fill="auto"/>
            <w:noWrap/>
            <w:vAlign w:val="center"/>
          </w:tcPr>
          <w:p>
            <w:pPr>
              <w:keepNext w:val="0"/>
              <w:keepLines w:val="0"/>
              <w:pageBreakBefore w:val="0"/>
              <w:widowControl/>
              <w:suppressLineNumbers w:val="0"/>
              <w:kinsoku/>
              <w:wordWrap/>
              <w:overflowPunct w:val="0"/>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4.5</w:t>
            </w:r>
          </w:p>
        </w:tc>
        <w:tc>
          <w:tcPr>
            <w:tcW w:w="997" w:type="pct"/>
            <w:tcBorders>
              <w:tl2br w:val="nil"/>
              <w:tr2bl w:val="nil"/>
            </w:tcBorders>
            <w:shd w:val="clear" w:color="auto" w:fill="auto"/>
            <w:noWrap/>
            <w:vAlign w:val="center"/>
          </w:tcPr>
          <w:p>
            <w:pPr>
              <w:keepNext w:val="0"/>
              <w:keepLines w:val="0"/>
              <w:pageBreakBefore w:val="0"/>
              <w:widowControl/>
              <w:suppressLineNumbers w:val="0"/>
              <w:kinsoku/>
              <w:wordWrap/>
              <w:overflowPunct w:val="0"/>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11" w:hRule="atLeast"/>
          <w:jc w:val="center"/>
        </w:trPr>
        <w:tc>
          <w:tcPr>
            <w:tcW w:w="2007" w:type="pct"/>
            <w:tcBorders>
              <w:tl2br w:val="nil"/>
              <w:tr2bl w:val="nil"/>
            </w:tcBorders>
            <w:shd w:val="clear" w:color="auto" w:fill="auto"/>
            <w:noWrap/>
            <w:vAlign w:val="center"/>
          </w:tcPr>
          <w:p>
            <w:pPr>
              <w:keepNext w:val="0"/>
              <w:keepLines w:val="0"/>
              <w:pageBreakBefore w:val="0"/>
              <w:widowControl/>
              <w:suppressLineNumbers w:val="0"/>
              <w:kinsoku/>
              <w:wordWrap/>
              <w:overflowPunct w:val="0"/>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合计</w:t>
            </w:r>
          </w:p>
        </w:tc>
        <w:tc>
          <w:tcPr>
            <w:tcW w:w="997" w:type="pct"/>
            <w:tcBorders>
              <w:tl2br w:val="nil"/>
              <w:tr2bl w:val="nil"/>
            </w:tcBorders>
            <w:shd w:val="clear" w:color="auto" w:fill="auto"/>
            <w:noWrap/>
            <w:vAlign w:val="center"/>
          </w:tcPr>
          <w:p>
            <w:pPr>
              <w:keepNext w:val="0"/>
              <w:keepLines w:val="0"/>
              <w:pageBreakBefore w:val="0"/>
              <w:widowControl/>
              <w:suppressLineNumbers w:val="0"/>
              <w:kinsoku/>
              <w:wordWrap/>
              <w:overflowPunct w:val="0"/>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100</w:t>
            </w:r>
          </w:p>
        </w:tc>
        <w:tc>
          <w:tcPr>
            <w:tcW w:w="997" w:type="pct"/>
            <w:tcBorders>
              <w:tl2br w:val="nil"/>
              <w:tr2bl w:val="nil"/>
            </w:tcBorders>
            <w:shd w:val="clear" w:color="auto" w:fill="auto"/>
            <w:noWrap/>
            <w:vAlign w:val="center"/>
          </w:tcPr>
          <w:p>
            <w:pPr>
              <w:keepNext w:val="0"/>
              <w:keepLines w:val="0"/>
              <w:pageBreakBefore w:val="0"/>
              <w:widowControl/>
              <w:suppressLineNumbers w:val="0"/>
              <w:kinsoku/>
              <w:wordWrap/>
              <w:overflowPunct w:val="0"/>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7</w:t>
            </w:r>
            <w:r>
              <w:rPr>
                <w:rFonts w:hint="eastAsia" w:cs="Times New Roman"/>
                <w:i w:val="0"/>
                <w:iCs w:val="0"/>
                <w:color w:val="000000"/>
                <w:kern w:val="0"/>
                <w:sz w:val="21"/>
                <w:szCs w:val="21"/>
                <w:u w:val="none"/>
                <w:lang w:val="en-US" w:eastAsia="zh-CN" w:bidi="ar"/>
              </w:rPr>
              <w:t>6.29</w:t>
            </w:r>
          </w:p>
        </w:tc>
        <w:tc>
          <w:tcPr>
            <w:tcW w:w="997" w:type="pct"/>
            <w:tcBorders>
              <w:tl2br w:val="nil"/>
              <w:tr2bl w:val="nil"/>
            </w:tcBorders>
            <w:shd w:val="clear" w:color="auto" w:fill="auto"/>
            <w:noWrap/>
            <w:vAlign w:val="center"/>
          </w:tcPr>
          <w:p>
            <w:pPr>
              <w:keepNext w:val="0"/>
              <w:keepLines w:val="0"/>
              <w:pageBreakBefore w:val="0"/>
              <w:widowControl/>
              <w:suppressLineNumbers w:val="0"/>
              <w:kinsoku/>
              <w:wordWrap/>
              <w:overflowPunct w:val="0"/>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76.29</w:t>
            </w:r>
            <w:r>
              <w:rPr>
                <w:rFonts w:hint="eastAsia" w:ascii="Times New Roman" w:hAnsi="Times New Roman" w:eastAsia="方正仿宋_GBK" w:cs="Times New Roman"/>
                <w:i w:val="0"/>
                <w:iCs w:val="0"/>
                <w:color w:val="000000"/>
                <w:kern w:val="0"/>
                <w:sz w:val="21"/>
                <w:szCs w:val="21"/>
                <w:u w:val="none"/>
                <w:lang w:val="en-US" w:eastAsia="zh-CN" w:bidi="ar"/>
              </w:rPr>
              <w:t>%</w:t>
            </w:r>
          </w:p>
        </w:tc>
      </w:tr>
    </w:tbl>
    <w:p>
      <w:pPr>
        <w:bidi w:val="0"/>
        <w:rPr>
          <w:rFonts w:hint="eastAsia"/>
          <w:lang w:eastAsia="zh-CN"/>
        </w:rPr>
      </w:pPr>
    </w:p>
    <w:p>
      <w:pPr>
        <w:pStyle w:val="2"/>
        <w:bidi w:val="0"/>
        <w:rPr>
          <w:rFonts w:hint="eastAsia"/>
          <w:lang w:eastAsia="zh-CN"/>
        </w:rPr>
      </w:pPr>
      <w:r>
        <w:rPr>
          <w:rFonts w:hint="eastAsia"/>
          <w:lang w:eastAsia="zh-CN"/>
        </w:rPr>
        <w:t>绩效目标完成情况分析</w:t>
      </w:r>
    </w:p>
    <w:p>
      <w:pPr>
        <w:pStyle w:val="3"/>
        <w:bidi w:val="0"/>
        <w:rPr>
          <w:rFonts w:hint="eastAsia"/>
          <w:lang w:eastAsia="zh-CN"/>
        </w:rPr>
      </w:pPr>
      <w:r>
        <w:rPr>
          <w:rFonts w:hint="eastAsia"/>
          <w:lang w:eastAsia="zh-CN"/>
        </w:rPr>
        <w:t>资金情况分析</w:t>
      </w:r>
    </w:p>
    <w:p>
      <w:pPr>
        <w:pStyle w:val="4"/>
        <w:bidi w:val="0"/>
        <w:rPr>
          <w:rFonts w:hint="eastAsia"/>
          <w:b/>
          <w:bCs/>
          <w:lang w:eastAsia="zh-CN"/>
        </w:rPr>
      </w:pPr>
      <w:r>
        <w:rPr>
          <w:rFonts w:hint="eastAsia"/>
          <w:b/>
          <w:bCs/>
          <w:lang w:eastAsia="zh-CN"/>
        </w:rPr>
        <w:t>资金预算</w:t>
      </w:r>
    </w:p>
    <w:p>
      <w:pPr>
        <w:bidi w:val="0"/>
        <w:rPr>
          <w:rFonts w:hint="eastAsia"/>
          <w:lang w:eastAsia="zh-CN"/>
        </w:rPr>
      </w:pPr>
      <w:r>
        <w:rPr>
          <w:rFonts w:hint="eastAsia"/>
          <w:lang w:val="en-US" w:eastAsia="zh-CN"/>
        </w:rPr>
        <w:t>2023</w:t>
      </w:r>
      <w:r>
        <w:rPr>
          <w:rFonts w:hint="eastAsia"/>
          <w:lang w:eastAsia="zh-CN"/>
        </w:rPr>
        <w:t>年德宏州医疗服务与保障能力提升项目预算资金</w:t>
      </w:r>
      <w:r>
        <w:rPr>
          <w:rFonts w:hint="eastAsia"/>
          <w:lang w:val="en-US" w:eastAsia="zh-CN"/>
        </w:rPr>
        <w:t>4193.76</w:t>
      </w:r>
      <w:r>
        <w:rPr>
          <w:rFonts w:hint="eastAsia"/>
          <w:lang w:eastAsia="zh-CN"/>
        </w:rPr>
        <w:t>万元，均为中央补助资金。按项目分，其中公立医院综合改革1240万元、中医药事业传承与发展</w:t>
      </w:r>
      <w:r>
        <w:rPr>
          <w:rFonts w:hint="eastAsia"/>
          <w:lang w:val="en-US" w:eastAsia="zh-CN"/>
        </w:rPr>
        <w:t>150</w:t>
      </w:r>
      <w:r>
        <w:rPr>
          <w:rFonts w:hint="eastAsia"/>
          <w:lang w:eastAsia="zh-CN"/>
        </w:rPr>
        <w:t>万元、卫生健康人才培养培训140.88万元、医疗卫生机构能力建设2662.88万元。</w:t>
      </w:r>
    </w:p>
    <w:p>
      <w:pPr>
        <w:pStyle w:val="4"/>
        <w:bidi w:val="0"/>
        <w:rPr>
          <w:rFonts w:hint="eastAsia"/>
          <w:b/>
          <w:bCs/>
          <w:lang w:eastAsia="zh-CN"/>
        </w:rPr>
      </w:pPr>
      <w:r>
        <w:rPr>
          <w:rFonts w:hint="eastAsia"/>
          <w:b/>
          <w:bCs/>
          <w:lang w:eastAsia="zh-CN"/>
        </w:rPr>
        <w:t>资金执行</w:t>
      </w:r>
    </w:p>
    <w:p>
      <w:pPr>
        <w:bidi w:val="0"/>
        <w:rPr>
          <w:rFonts w:hint="eastAsia"/>
          <w:lang w:eastAsia="zh-CN"/>
        </w:rPr>
      </w:pPr>
      <w:r>
        <w:rPr>
          <w:rFonts w:hint="eastAsia"/>
          <w:lang w:val="en-US" w:eastAsia="zh-CN"/>
        </w:rPr>
        <w:t>2023</w:t>
      </w:r>
      <w:r>
        <w:rPr>
          <w:rFonts w:hint="eastAsia"/>
          <w:lang w:eastAsia="zh-CN"/>
        </w:rPr>
        <w:t>年德宏州医疗服务与保障能力提升项目全年执行</w:t>
      </w:r>
      <w:r>
        <w:rPr>
          <w:rFonts w:hint="eastAsia"/>
          <w:lang w:val="en-US" w:eastAsia="zh-CN"/>
        </w:rPr>
        <w:t>2342.13</w:t>
      </w:r>
      <w:r>
        <w:rPr>
          <w:rFonts w:hint="eastAsia"/>
          <w:lang w:eastAsia="zh-CN"/>
        </w:rPr>
        <w:t>万元，均为中央补助资金，预算执行率</w:t>
      </w:r>
      <w:r>
        <w:rPr>
          <w:rFonts w:hint="eastAsia"/>
          <w:lang w:val="en-US" w:eastAsia="zh-CN"/>
        </w:rPr>
        <w:t>55.85%</w:t>
      </w:r>
      <w:r>
        <w:rPr>
          <w:rFonts w:hint="eastAsia"/>
          <w:lang w:eastAsia="zh-CN"/>
        </w:rPr>
        <w:t>。按项目分，其中公立医院综合改革</w:t>
      </w:r>
      <w:r>
        <w:rPr>
          <w:rFonts w:hint="eastAsia"/>
          <w:lang w:val="en-US" w:eastAsia="zh-CN"/>
        </w:rPr>
        <w:t>874.37</w:t>
      </w:r>
      <w:r>
        <w:rPr>
          <w:rFonts w:hint="eastAsia"/>
          <w:lang w:eastAsia="zh-CN"/>
        </w:rPr>
        <w:t>万元，预算执行率</w:t>
      </w:r>
      <w:r>
        <w:rPr>
          <w:rFonts w:hint="eastAsia"/>
          <w:lang w:val="en-US" w:eastAsia="zh-CN"/>
        </w:rPr>
        <w:t>70.51</w:t>
      </w:r>
      <w:r>
        <w:rPr>
          <w:rFonts w:hint="eastAsia"/>
          <w:lang w:eastAsia="zh-CN"/>
        </w:rPr>
        <w:t>%；中医药事业传承与发展</w:t>
      </w:r>
      <w:r>
        <w:rPr>
          <w:rFonts w:hint="eastAsia"/>
          <w:lang w:val="en-US" w:eastAsia="zh-CN"/>
        </w:rPr>
        <w:t>1.41</w:t>
      </w:r>
      <w:r>
        <w:rPr>
          <w:rFonts w:hint="eastAsia"/>
          <w:lang w:eastAsia="zh-CN"/>
        </w:rPr>
        <w:t>万元，预算执行率</w:t>
      </w:r>
      <w:r>
        <w:rPr>
          <w:rFonts w:hint="eastAsia"/>
          <w:lang w:val="en-US" w:eastAsia="zh-CN"/>
        </w:rPr>
        <w:t>0.94%</w:t>
      </w:r>
      <w:r>
        <w:rPr>
          <w:rFonts w:hint="eastAsia"/>
          <w:lang w:eastAsia="zh-CN"/>
        </w:rPr>
        <w:t>；卫生健康人才培养培训</w:t>
      </w:r>
      <w:r>
        <w:rPr>
          <w:rFonts w:hint="eastAsia"/>
          <w:lang w:val="en-US" w:eastAsia="zh-CN"/>
        </w:rPr>
        <w:t>110.13</w:t>
      </w:r>
      <w:r>
        <w:rPr>
          <w:rFonts w:hint="eastAsia"/>
          <w:lang w:eastAsia="zh-CN"/>
        </w:rPr>
        <w:t>万元，预算执行率</w:t>
      </w:r>
      <w:r>
        <w:rPr>
          <w:rFonts w:hint="eastAsia"/>
          <w:lang w:val="en-US" w:eastAsia="zh-CN"/>
        </w:rPr>
        <w:t>78.17%</w:t>
      </w:r>
      <w:r>
        <w:rPr>
          <w:rFonts w:hint="eastAsia"/>
          <w:lang w:eastAsia="zh-CN"/>
        </w:rPr>
        <w:t>；医疗卫生机构能力建设</w:t>
      </w:r>
      <w:r>
        <w:rPr>
          <w:rFonts w:hint="eastAsia"/>
          <w:lang w:val="en-US" w:eastAsia="zh-CN"/>
        </w:rPr>
        <w:t>1356.22</w:t>
      </w:r>
      <w:r>
        <w:rPr>
          <w:rFonts w:hint="eastAsia"/>
          <w:lang w:eastAsia="zh-CN"/>
        </w:rPr>
        <w:t>万元，预算执行率</w:t>
      </w:r>
      <w:r>
        <w:rPr>
          <w:rFonts w:hint="eastAsia"/>
          <w:lang w:val="en-US" w:eastAsia="zh-CN"/>
        </w:rPr>
        <w:t>50.93%</w:t>
      </w:r>
      <w:r>
        <w:rPr>
          <w:rFonts w:hint="eastAsia"/>
          <w:lang w:eastAsia="zh-CN"/>
        </w:rPr>
        <w:t>。</w:t>
      </w:r>
    </w:p>
    <w:p>
      <w:pPr>
        <w:bidi w:val="0"/>
        <w:rPr>
          <w:rFonts w:hint="eastAsia"/>
          <w:lang w:eastAsia="zh-CN"/>
        </w:rPr>
      </w:pPr>
    </w:p>
    <w:p>
      <w:pPr>
        <w:keepNext/>
        <w:keepLines w:val="0"/>
        <w:pageBreakBefore w:val="0"/>
        <w:widowControl w:val="0"/>
        <w:kinsoku/>
        <w:wordWrap/>
        <w:overflowPunct w:val="0"/>
        <w:topLinePunct w:val="0"/>
        <w:autoSpaceDE/>
        <w:autoSpaceDN/>
        <w:bidi w:val="0"/>
        <w:adjustRightInd/>
        <w:snapToGrid/>
        <w:spacing w:line="20" w:lineRule="exact"/>
        <w:textAlignment w:val="auto"/>
        <w:rPr>
          <w:rFonts w:hint="eastAsia"/>
          <w:lang w:eastAsia="zh-CN"/>
        </w:rPr>
      </w:pPr>
      <w:r>
        <w:rPr>
          <w:sz w:val="32"/>
        </w:rPr>
        <mc:AlternateContent>
          <mc:Choice Requires="wps">
            <w:drawing>
              <wp:anchor distT="0" distB="0" distL="114300" distR="114300" simplePos="0" relativeHeight="251662336" behindDoc="0" locked="0" layoutInCell="1" allowOverlap="1">
                <wp:simplePos x="0" y="0"/>
                <wp:positionH relativeFrom="column">
                  <wp:posOffset>4018915</wp:posOffset>
                </wp:positionH>
                <wp:positionV relativeFrom="paragraph">
                  <wp:posOffset>46355</wp:posOffset>
                </wp:positionV>
                <wp:extent cx="541655" cy="234315"/>
                <wp:effectExtent l="0" t="0" r="10795" b="13335"/>
                <wp:wrapNone/>
                <wp:docPr id="5" name="文本框 5"/>
                <wp:cNvGraphicFramePr/>
                <a:graphic xmlns:a="http://schemas.openxmlformats.org/drawingml/2006/main">
                  <a:graphicData uri="http://schemas.microsoft.com/office/word/2010/wordprocessingShape">
                    <wps:wsp>
                      <wps:cNvSpPr txBox="1"/>
                      <wps:spPr>
                        <a:xfrm>
                          <a:off x="2718435" y="6221730"/>
                          <a:ext cx="541655" cy="23431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16.45pt;margin-top:3.65pt;height:18.45pt;width:42.65pt;z-index:251662336;mso-width-relative:page;mso-height-relative:page;" fillcolor="#FFFFFF [3201]" filled="t" stroked="f" coordsize="21600,21600" o:gfxdata="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">
                <v:fill on="t" focussize="0,0"/>
                <v:stroke on="f" weight="0.5pt"/>
                <v:imagedata o:title=""/>
                <o:lock v:ext="edit" aspectratio="f"/>
                <v:textbox inset="0mm,0mm,0mm,0mm">
                  <w:txbxContent>
                    <w:p/>
                  </w:txbxContent>
                </v:textbox>
              </v:shape>
            </w:pict>
          </mc:Fallback>
        </mc:AlternateContent>
      </w:r>
    </w:p>
    <w:tbl>
      <w:tblPr>
        <w:tblStyle w:val="16"/>
        <w:tblW w:w="49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
      <w:tblGrid>
        <w:gridCol w:w="865"/>
        <w:gridCol w:w="1334"/>
        <w:gridCol w:w="2894"/>
        <w:gridCol w:w="1383"/>
        <w:gridCol w:w="1299"/>
        <w:gridCol w:w="1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52" w:hRule="atLeast"/>
          <w:tblHeader/>
          <w:jc w:val="center"/>
        </w:trPr>
        <w:tc>
          <w:tcPr>
            <w:tcW w:w="5000" w:type="pct"/>
            <w:gridSpan w:val="6"/>
            <w:tcBorders>
              <w:top w:val="nil"/>
              <w:left w:val="nil"/>
              <w:right w:val="nil"/>
            </w:tcBorders>
            <w:shd w:val="clear" w:color="auto" w:fill="auto"/>
            <w:noWrap/>
            <w:vAlign w:val="center"/>
          </w:tcPr>
          <w:p>
            <w:pPr>
              <w:pStyle w:val="11"/>
              <w:rPr>
                <w:rFonts w:hint="default" w:ascii="Times New Roman" w:hAnsi="Times New Roman" w:eastAsia="方正仿宋_GBK" w:cs="Times New Roman"/>
                <w:b/>
                <w:bCs/>
                <w:i w:val="0"/>
                <w:iCs w:val="0"/>
                <w:color w:val="000000"/>
                <w:kern w:val="0"/>
                <w:sz w:val="21"/>
                <w:szCs w:val="21"/>
                <w:u w:val="none"/>
                <w:lang w:val="en-US" w:eastAsia="zh-CN" w:bidi="ar"/>
              </w:rPr>
            </w:pPr>
            <w:r>
              <w:t>表</w:t>
            </w:r>
            <w:r>
              <w:fldChar w:fldCharType="begin"/>
            </w:r>
            <w:r>
              <w:instrText xml:space="preserve"> SEQ 表 \* ARABIC </w:instrText>
            </w:r>
            <w:r>
              <w:fldChar w:fldCharType="separate"/>
            </w:r>
            <w:r>
              <w:t>3</w:t>
            </w:r>
            <w:r>
              <w:fldChar w:fldCharType="end"/>
            </w:r>
            <w:r>
              <w:rPr>
                <w:rFonts w:hint="eastAsia"/>
                <w:lang w:eastAsia="zh-CN"/>
              </w:rPr>
              <w:t xml:space="preserve">  项目资金收支情况表</w:t>
            </w:r>
            <w:r>
              <w:rPr>
                <w:rFonts w:hint="eastAsia"/>
                <w:lang w:val="en-US" w:eastAsia="zh-CN"/>
              </w:rPr>
              <w:t>【按项目】</w:t>
            </w:r>
            <w:r>
              <w:rPr>
                <w:rFonts w:hint="eastAsia"/>
                <w:lang w:eastAsia="zh-CN"/>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742" w:hRule="atLeast"/>
          <w:tblHeader/>
          <w:jc w:val="center"/>
        </w:trPr>
        <w:tc>
          <w:tcPr>
            <w:tcW w:w="490" w:type="pct"/>
            <w:tcBorders>
              <w:tl2br w:val="nil"/>
              <w:tr2bl w:val="nil"/>
            </w:tcBorders>
            <w:shd w:val="clear" w:color="auto" w:fill="auto"/>
            <w:noWrap/>
            <w:vAlign w:val="center"/>
          </w:tcPr>
          <w:p>
            <w:pPr>
              <w:keepNext w:val="0"/>
              <w:keepLines/>
              <w:pageBreakBefore w:val="0"/>
              <w:widowControl/>
              <w:suppressLineNumbers w:val="0"/>
              <w:kinsoku/>
              <w:wordWrap/>
              <w:overflowPunct w:val="0"/>
              <w:topLinePunct w:val="0"/>
              <w:autoSpaceDE/>
              <w:autoSpaceDN/>
              <w:bidi w:val="0"/>
              <w:adjustRightInd/>
              <w:snapToGrid w:val="0"/>
              <w:ind w:firstLine="0" w:firstLineChars="0"/>
              <w:jc w:val="center"/>
              <w:textAlignment w:val="center"/>
              <w:rPr>
                <w:rFonts w:hint="eastAsia" w:cs="Times New Roman"/>
                <w:b/>
                <w:bCs/>
                <w:i w:val="0"/>
                <w:iCs w:val="0"/>
                <w:color w:val="000000"/>
                <w:kern w:val="0"/>
                <w:sz w:val="21"/>
                <w:szCs w:val="21"/>
                <w:u w:val="none"/>
                <w:lang w:val="en-US" w:eastAsia="zh-CN" w:bidi="ar"/>
              </w:rPr>
            </w:pPr>
            <w:r>
              <w:rPr>
                <w:rFonts w:hint="eastAsia" w:cs="Times New Roman"/>
                <w:b/>
                <w:bCs/>
                <w:i w:val="0"/>
                <w:iCs w:val="0"/>
                <w:color w:val="000000"/>
                <w:kern w:val="0"/>
                <w:sz w:val="21"/>
                <w:szCs w:val="21"/>
                <w:u w:val="none"/>
                <w:lang w:val="en-US" w:eastAsia="zh-CN" w:bidi="ar"/>
              </w:rPr>
              <w:t>序号</w:t>
            </w:r>
          </w:p>
        </w:tc>
        <w:tc>
          <w:tcPr>
            <w:tcW w:w="756" w:type="pct"/>
            <w:tcBorders>
              <w:tl2br w:val="nil"/>
              <w:tr2bl w:val="nil"/>
            </w:tcBorders>
            <w:shd w:val="clear" w:color="auto" w:fill="auto"/>
            <w:noWrap/>
            <w:vAlign w:val="center"/>
          </w:tcPr>
          <w:p>
            <w:pPr>
              <w:keepNext w:val="0"/>
              <w:keepLines/>
              <w:pageBreakBefore w:val="0"/>
              <w:widowControl/>
              <w:suppressLineNumbers w:val="0"/>
              <w:kinsoku/>
              <w:wordWrap/>
              <w:overflowPunct w:val="0"/>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b/>
                <w:bCs/>
                <w:i w:val="0"/>
                <w:iCs w:val="0"/>
                <w:color w:val="000000"/>
                <w:sz w:val="21"/>
                <w:szCs w:val="21"/>
                <w:u w:val="none"/>
              </w:rPr>
            </w:pPr>
            <w:r>
              <w:rPr>
                <w:rFonts w:hint="eastAsia" w:cs="Times New Roman"/>
                <w:b/>
                <w:bCs/>
                <w:i w:val="0"/>
                <w:iCs w:val="0"/>
                <w:color w:val="000000"/>
                <w:kern w:val="0"/>
                <w:sz w:val="21"/>
                <w:szCs w:val="21"/>
                <w:u w:val="none"/>
                <w:lang w:val="en-US" w:eastAsia="zh-CN" w:bidi="ar"/>
              </w:rPr>
              <w:t>项目名称</w:t>
            </w:r>
          </w:p>
        </w:tc>
        <w:tc>
          <w:tcPr>
            <w:tcW w:w="1640" w:type="pct"/>
            <w:tcBorders>
              <w:tl2br w:val="nil"/>
              <w:tr2bl w:val="nil"/>
            </w:tcBorders>
            <w:shd w:val="clear" w:color="auto" w:fill="auto"/>
            <w:vAlign w:val="center"/>
          </w:tcPr>
          <w:p>
            <w:pPr>
              <w:keepNext w:val="0"/>
              <w:keepLines/>
              <w:pageBreakBefore w:val="0"/>
              <w:widowControl/>
              <w:suppressLineNumbers w:val="0"/>
              <w:kinsoku/>
              <w:wordWrap/>
              <w:overflowPunct w:val="0"/>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b/>
                <w:bCs/>
                <w:i w:val="0"/>
                <w:iCs w:val="0"/>
                <w:color w:val="000000"/>
                <w:kern w:val="0"/>
                <w:sz w:val="21"/>
                <w:szCs w:val="21"/>
                <w:u w:val="none"/>
                <w:lang w:val="en-US" w:eastAsia="zh-CN" w:bidi="ar"/>
              </w:rPr>
            </w:pPr>
            <w:r>
              <w:rPr>
                <w:rFonts w:hint="eastAsia" w:cs="Times New Roman"/>
                <w:b/>
                <w:bCs/>
                <w:i w:val="0"/>
                <w:iCs w:val="0"/>
                <w:color w:val="000000"/>
                <w:kern w:val="0"/>
                <w:sz w:val="21"/>
                <w:szCs w:val="21"/>
                <w:u w:val="none"/>
                <w:lang w:val="en-US" w:eastAsia="zh-CN" w:bidi="ar"/>
              </w:rPr>
              <w:t>子项目</w:t>
            </w:r>
          </w:p>
        </w:tc>
        <w:tc>
          <w:tcPr>
            <w:tcW w:w="784" w:type="pct"/>
            <w:tcBorders>
              <w:tl2br w:val="nil"/>
              <w:tr2bl w:val="nil"/>
            </w:tcBorders>
            <w:shd w:val="clear" w:color="auto" w:fill="auto"/>
            <w:vAlign w:val="center"/>
          </w:tcPr>
          <w:p>
            <w:pPr>
              <w:keepNext w:val="0"/>
              <w:keepLines/>
              <w:pageBreakBefore w:val="0"/>
              <w:widowControl/>
              <w:suppressLineNumbers w:val="0"/>
              <w:kinsoku/>
              <w:wordWrap/>
              <w:overflowPunct w:val="0"/>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预算安排数</w:t>
            </w:r>
            <w:r>
              <w:rPr>
                <w:rFonts w:hint="default" w:ascii="Times New Roman" w:hAnsi="Times New Roman" w:eastAsia="方正仿宋_GBK" w:cs="Times New Roman"/>
                <w:b/>
                <w:bCs/>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（万元）</w:t>
            </w:r>
          </w:p>
        </w:tc>
        <w:tc>
          <w:tcPr>
            <w:tcW w:w="736" w:type="pct"/>
            <w:tcBorders>
              <w:tl2br w:val="nil"/>
              <w:tr2bl w:val="nil"/>
            </w:tcBorders>
            <w:shd w:val="clear" w:color="auto" w:fill="auto"/>
            <w:vAlign w:val="center"/>
          </w:tcPr>
          <w:p>
            <w:pPr>
              <w:keepNext w:val="0"/>
              <w:keepLines/>
              <w:pageBreakBefore w:val="0"/>
              <w:widowControl/>
              <w:suppressLineNumbers w:val="0"/>
              <w:kinsoku/>
              <w:wordWrap/>
              <w:overflowPunct w:val="0"/>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预算执行数</w:t>
            </w:r>
            <w:r>
              <w:rPr>
                <w:rFonts w:hint="default" w:ascii="Times New Roman" w:hAnsi="Times New Roman" w:eastAsia="方正仿宋_GBK" w:cs="Times New Roman"/>
                <w:b/>
                <w:bCs/>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（万元）</w:t>
            </w:r>
          </w:p>
        </w:tc>
        <w:tc>
          <w:tcPr>
            <w:tcW w:w="592" w:type="pct"/>
            <w:tcBorders>
              <w:tl2br w:val="nil"/>
              <w:tr2bl w:val="nil"/>
            </w:tcBorders>
            <w:shd w:val="clear" w:color="auto" w:fill="auto"/>
            <w:vAlign w:val="center"/>
          </w:tcPr>
          <w:p>
            <w:pPr>
              <w:keepNext w:val="0"/>
              <w:keepLines/>
              <w:pageBreakBefore w:val="0"/>
              <w:widowControl/>
              <w:suppressLineNumbers w:val="0"/>
              <w:kinsoku/>
              <w:wordWrap/>
              <w:overflowPunct w:val="0"/>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执行率</w:t>
            </w:r>
            <w:r>
              <w:rPr>
                <w:rFonts w:hint="default" w:ascii="Times New Roman" w:hAnsi="Times New Roman" w:eastAsia="方正仿宋_GBK" w:cs="Times New Roman"/>
                <w:b/>
                <w:bCs/>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8" w:hRule="atLeast"/>
          <w:jc w:val="center"/>
        </w:trPr>
        <w:tc>
          <w:tcPr>
            <w:tcW w:w="490"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w:t>
            </w:r>
          </w:p>
        </w:tc>
        <w:tc>
          <w:tcPr>
            <w:tcW w:w="756"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公立医院综合改革</w:t>
            </w:r>
          </w:p>
        </w:tc>
        <w:tc>
          <w:tcPr>
            <w:tcW w:w="1640"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公立医院综合改革补助</w:t>
            </w:r>
          </w:p>
        </w:tc>
        <w:tc>
          <w:tcPr>
            <w:tcW w:w="784"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1240</w:t>
            </w:r>
          </w:p>
        </w:tc>
        <w:tc>
          <w:tcPr>
            <w:tcW w:w="736"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874.37</w:t>
            </w:r>
          </w:p>
        </w:tc>
        <w:tc>
          <w:tcPr>
            <w:tcW w:w="592"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70.51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8" w:hRule="atLeast"/>
          <w:jc w:val="center"/>
        </w:trPr>
        <w:tc>
          <w:tcPr>
            <w:tcW w:w="490"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w:t>
            </w:r>
          </w:p>
        </w:tc>
        <w:tc>
          <w:tcPr>
            <w:tcW w:w="756"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中医药事业传承与发展</w:t>
            </w:r>
          </w:p>
        </w:tc>
        <w:tc>
          <w:tcPr>
            <w:tcW w:w="1640"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县级中医医院</w:t>
            </w:r>
            <w:r>
              <w:rPr>
                <w:rFonts w:hint="eastAsia" w:ascii="方正仿宋_GBK" w:hAnsi="方正仿宋_GBK" w:eastAsia="方正仿宋_GBK" w:cs="方正仿宋_GBK"/>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两专科一中心</w:t>
            </w:r>
            <w:r>
              <w:rPr>
                <w:rFonts w:hint="eastAsia" w:ascii="方正仿宋_GBK" w:hAnsi="方正仿宋_GBK" w:eastAsia="方正仿宋_GBK" w:cs="方正仿宋_GBK"/>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建设</w:t>
            </w:r>
          </w:p>
        </w:tc>
        <w:tc>
          <w:tcPr>
            <w:tcW w:w="784"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150</w:t>
            </w:r>
          </w:p>
        </w:tc>
        <w:tc>
          <w:tcPr>
            <w:tcW w:w="736"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1.41</w:t>
            </w:r>
          </w:p>
        </w:tc>
        <w:tc>
          <w:tcPr>
            <w:tcW w:w="592"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8" w:hRule="atLeast"/>
          <w:jc w:val="center"/>
        </w:trPr>
        <w:tc>
          <w:tcPr>
            <w:tcW w:w="490"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w:t>
            </w:r>
          </w:p>
        </w:tc>
        <w:tc>
          <w:tcPr>
            <w:tcW w:w="756"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卫生健康人才培养培训</w:t>
            </w:r>
          </w:p>
        </w:tc>
        <w:tc>
          <w:tcPr>
            <w:tcW w:w="1640"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助理全科医生培训</w:t>
            </w:r>
          </w:p>
        </w:tc>
        <w:tc>
          <w:tcPr>
            <w:tcW w:w="784"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103.1</w:t>
            </w:r>
          </w:p>
        </w:tc>
        <w:tc>
          <w:tcPr>
            <w:tcW w:w="736"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88.27</w:t>
            </w:r>
          </w:p>
        </w:tc>
        <w:tc>
          <w:tcPr>
            <w:tcW w:w="592"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85.62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8" w:hRule="atLeast"/>
          <w:jc w:val="center"/>
        </w:trPr>
        <w:tc>
          <w:tcPr>
            <w:tcW w:w="490"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w:t>
            </w:r>
          </w:p>
        </w:tc>
        <w:tc>
          <w:tcPr>
            <w:tcW w:w="756"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卫生健康人才培养培训</w:t>
            </w:r>
          </w:p>
        </w:tc>
        <w:tc>
          <w:tcPr>
            <w:tcW w:w="1640"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紧缺人才培训</w:t>
            </w:r>
            <w:r>
              <w:rPr>
                <w:rFonts w:hint="eastAsia"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全科医生转岗培训</w:t>
            </w:r>
          </w:p>
        </w:tc>
        <w:tc>
          <w:tcPr>
            <w:tcW w:w="784"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w:t>
            </w:r>
          </w:p>
        </w:tc>
        <w:tc>
          <w:tcPr>
            <w:tcW w:w="736"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1.41</w:t>
            </w:r>
          </w:p>
        </w:tc>
        <w:tc>
          <w:tcPr>
            <w:tcW w:w="592"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8" w:hRule="atLeast"/>
          <w:jc w:val="center"/>
        </w:trPr>
        <w:tc>
          <w:tcPr>
            <w:tcW w:w="490"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w:t>
            </w:r>
          </w:p>
        </w:tc>
        <w:tc>
          <w:tcPr>
            <w:tcW w:w="756"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卫生健康人才培养培训</w:t>
            </w:r>
          </w:p>
        </w:tc>
        <w:tc>
          <w:tcPr>
            <w:tcW w:w="1640"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县乡村卫生人才能力提升培训</w:t>
            </w:r>
          </w:p>
        </w:tc>
        <w:tc>
          <w:tcPr>
            <w:tcW w:w="784"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20.4</w:t>
            </w:r>
          </w:p>
        </w:tc>
        <w:tc>
          <w:tcPr>
            <w:tcW w:w="736"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8.45</w:t>
            </w:r>
          </w:p>
        </w:tc>
        <w:tc>
          <w:tcPr>
            <w:tcW w:w="592"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8" w:hRule="atLeast"/>
          <w:jc w:val="center"/>
        </w:trPr>
        <w:tc>
          <w:tcPr>
            <w:tcW w:w="490"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6</w:t>
            </w:r>
          </w:p>
        </w:tc>
        <w:tc>
          <w:tcPr>
            <w:tcW w:w="756"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卫生健康人才培养培训</w:t>
            </w:r>
          </w:p>
        </w:tc>
        <w:tc>
          <w:tcPr>
            <w:tcW w:w="1640"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万名医师支援县医院</w:t>
            </w:r>
          </w:p>
        </w:tc>
        <w:tc>
          <w:tcPr>
            <w:tcW w:w="784"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12</w:t>
            </w:r>
          </w:p>
        </w:tc>
        <w:tc>
          <w:tcPr>
            <w:tcW w:w="736"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12</w:t>
            </w:r>
          </w:p>
        </w:tc>
        <w:tc>
          <w:tcPr>
            <w:tcW w:w="592"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8" w:hRule="atLeast"/>
          <w:jc w:val="center"/>
        </w:trPr>
        <w:tc>
          <w:tcPr>
            <w:tcW w:w="490"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7</w:t>
            </w:r>
          </w:p>
        </w:tc>
        <w:tc>
          <w:tcPr>
            <w:tcW w:w="756"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卫生健康人才培养培训</w:t>
            </w:r>
          </w:p>
        </w:tc>
        <w:tc>
          <w:tcPr>
            <w:tcW w:w="1640"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监测预警队伍建设和人才培养</w:t>
            </w:r>
          </w:p>
        </w:tc>
        <w:tc>
          <w:tcPr>
            <w:tcW w:w="784"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3.38</w:t>
            </w:r>
          </w:p>
        </w:tc>
        <w:tc>
          <w:tcPr>
            <w:tcW w:w="736"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0</w:t>
            </w:r>
          </w:p>
        </w:tc>
        <w:tc>
          <w:tcPr>
            <w:tcW w:w="592"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8" w:hRule="atLeast"/>
          <w:jc w:val="center"/>
        </w:trPr>
        <w:tc>
          <w:tcPr>
            <w:tcW w:w="490"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p>
        </w:tc>
        <w:tc>
          <w:tcPr>
            <w:tcW w:w="756"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卫生健康人才培养培训</w:t>
            </w:r>
          </w:p>
        </w:tc>
        <w:tc>
          <w:tcPr>
            <w:tcW w:w="1640"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b/>
                <w:bCs/>
                <w:i w:val="0"/>
                <w:iCs w:val="0"/>
                <w:color w:val="000000"/>
                <w:kern w:val="0"/>
                <w:sz w:val="21"/>
                <w:szCs w:val="21"/>
                <w:u w:val="none"/>
                <w:lang w:val="en-US" w:eastAsia="zh-CN" w:bidi="ar"/>
              </w:rPr>
            </w:pPr>
            <w:r>
              <w:rPr>
                <w:rFonts w:hint="eastAsia" w:ascii="Times New Roman" w:hAnsi="Times New Roman" w:eastAsia="方正仿宋_GBK" w:cs="Times New Roman"/>
                <w:b/>
                <w:bCs/>
                <w:i w:val="0"/>
                <w:iCs w:val="0"/>
                <w:color w:val="000000"/>
                <w:kern w:val="0"/>
                <w:sz w:val="21"/>
                <w:szCs w:val="21"/>
                <w:u w:val="none"/>
                <w:lang w:val="en-US" w:eastAsia="zh-CN" w:bidi="ar"/>
              </w:rPr>
              <w:t>小计</w:t>
            </w:r>
          </w:p>
        </w:tc>
        <w:tc>
          <w:tcPr>
            <w:tcW w:w="784"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b/>
                <w:bCs/>
                <w:i w:val="0"/>
                <w:iCs w:val="0"/>
                <w:color w:val="000000"/>
                <w:kern w:val="0"/>
                <w:sz w:val="21"/>
                <w:szCs w:val="21"/>
                <w:u w:val="none"/>
                <w:lang w:val="en-US" w:eastAsia="zh-CN" w:bidi="ar"/>
              </w:rPr>
            </w:pPr>
            <w:r>
              <w:rPr>
                <w:rFonts w:hint="eastAsia" w:ascii="Times New Roman" w:hAnsi="Times New Roman" w:eastAsia="方正仿宋_GBK" w:cs="Times New Roman"/>
                <w:b/>
                <w:bCs/>
                <w:i w:val="0"/>
                <w:iCs w:val="0"/>
                <w:color w:val="000000"/>
                <w:kern w:val="0"/>
                <w:sz w:val="21"/>
                <w:szCs w:val="21"/>
                <w:u w:val="none"/>
                <w:lang w:val="en-US" w:eastAsia="zh-CN" w:bidi="ar"/>
              </w:rPr>
              <w:t>140.88</w:t>
            </w:r>
          </w:p>
        </w:tc>
        <w:tc>
          <w:tcPr>
            <w:tcW w:w="736"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b/>
                <w:bCs/>
                <w:i w:val="0"/>
                <w:iCs w:val="0"/>
                <w:color w:val="000000"/>
                <w:kern w:val="0"/>
                <w:sz w:val="21"/>
                <w:szCs w:val="21"/>
                <w:u w:val="none"/>
                <w:lang w:val="en-US" w:eastAsia="zh-CN" w:bidi="ar"/>
              </w:rPr>
            </w:pPr>
            <w:r>
              <w:rPr>
                <w:rFonts w:hint="eastAsia" w:ascii="Times New Roman" w:hAnsi="Times New Roman" w:eastAsia="方正仿宋_GBK" w:cs="Times New Roman"/>
                <w:b/>
                <w:bCs/>
                <w:i w:val="0"/>
                <w:iCs w:val="0"/>
                <w:color w:val="000000"/>
                <w:kern w:val="0"/>
                <w:sz w:val="21"/>
                <w:szCs w:val="21"/>
                <w:u w:val="none"/>
                <w:lang w:val="en-US" w:eastAsia="zh-CN" w:bidi="ar"/>
              </w:rPr>
              <w:t>110.13</w:t>
            </w:r>
          </w:p>
        </w:tc>
        <w:tc>
          <w:tcPr>
            <w:tcW w:w="592"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b/>
                <w:bCs/>
                <w:i w:val="0"/>
                <w:iCs w:val="0"/>
                <w:color w:val="000000"/>
                <w:kern w:val="0"/>
                <w:sz w:val="21"/>
                <w:szCs w:val="21"/>
                <w:u w:val="none"/>
                <w:lang w:val="en-US" w:eastAsia="zh-CN" w:bidi="ar"/>
              </w:rPr>
            </w:pPr>
            <w:r>
              <w:rPr>
                <w:rFonts w:hint="eastAsia" w:ascii="Times New Roman" w:hAnsi="Times New Roman" w:eastAsia="方正仿宋_GBK" w:cs="Times New Roman"/>
                <w:b/>
                <w:bCs/>
                <w:i w:val="0"/>
                <w:iCs w:val="0"/>
                <w:color w:val="000000"/>
                <w:kern w:val="0"/>
                <w:sz w:val="21"/>
                <w:szCs w:val="21"/>
                <w:u w:val="none"/>
                <w:lang w:val="en-US" w:eastAsia="zh-CN" w:bidi="ar"/>
              </w:rPr>
              <w:t>78.17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7" w:hRule="atLeast"/>
          <w:jc w:val="center"/>
        </w:trPr>
        <w:tc>
          <w:tcPr>
            <w:tcW w:w="490"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8</w:t>
            </w:r>
          </w:p>
        </w:tc>
        <w:tc>
          <w:tcPr>
            <w:tcW w:w="756"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医疗卫生机构能力建设</w:t>
            </w:r>
          </w:p>
        </w:tc>
        <w:tc>
          <w:tcPr>
            <w:tcW w:w="1640"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县域医疗机构能力提升-国家乡村振兴重点帮扶县、脱贫县资金</w:t>
            </w:r>
            <w:r>
              <w:rPr>
                <w:rFonts w:hint="eastAsia"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补助医院部分</w:t>
            </w:r>
          </w:p>
        </w:tc>
        <w:tc>
          <w:tcPr>
            <w:tcW w:w="784"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410</w:t>
            </w:r>
          </w:p>
        </w:tc>
        <w:tc>
          <w:tcPr>
            <w:tcW w:w="736"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90</w:t>
            </w:r>
          </w:p>
        </w:tc>
        <w:tc>
          <w:tcPr>
            <w:tcW w:w="592"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7" w:hRule="atLeast"/>
          <w:jc w:val="center"/>
        </w:trPr>
        <w:tc>
          <w:tcPr>
            <w:tcW w:w="490"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9</w:t>
            </w:r>
          </w:p>
        </w:tc>
        <w:tc>
          <w:tcPr>
            <w:tcW w:w="756"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医疗卫生机构能力建设</w:t>
            </w:r>
          </w:p>
        </w:tc>
        <w:tc>
          <w:tcPr>
            <w:tcW w:w="1640"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县域医疗机构能力提升-国家乡村振兴重点帮扶县、脱贫县资金</w:t>
            </w:r>
            <w:r>
              <w:rPr>
                <w:rFonts w:hint="eastAsia"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补助卫生院部分</w:t>
            </w:r>
          </w:p>
        </w:tc>
        <w:tc>
          <w:tcPr>
            <w:tcW w:w="784"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390</w:t>
            </w:r>
          </w:p>
        </w:tc>
        <w:tc>
          <w:tcPr>
            <w:tcW w:w="736"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228.26</w:t>
            </w:r>
          </w:p>
        </w:tc>
        <w:tc>
          <w:tcPr>
            <w:tcW w:w="592"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58.53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8" w:hRule="atLeast"/>
          <w:jc w:val="center"/>
        </w:trPr>
        <w:tc>
          <w:tcPr>
            <w:tcW w:w="490"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w:t>
            </w:r>
          </w:p>
        </w:tc>
        <w:tc>
          <w:tcPr>
            <w:tcW w:w="756"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医疗卫生机构能力建设</w:t>
            </w:r>
          </w:p>
        </w:tc>
        <w:tc>
          <w:tcPr>
            <w:tcW w:w="1640"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妇幼机构能力提升补助资金</w:t>
            </w:r>
          </w:p>
        </w:tc>
        <w:tc>
          <w:tcPr>
            <w:tcW w:w="784"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200</w:t>
            </w:r>
          </w:p>
        </w:tc>
        <w:tc>
          <w:tcPr>
            <w:tcW w:w="736"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0</w:t>
            </w:r>
          </w:p>
        </w:tc>
        <w:tc>
          <w:tcPr>
            <w:tcW w:w="592"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8" w:hRule="atLeast"/>
          <w:jc w:val="center"/>
        </w:trPr>
        <w:tc>
          <w:tcPr>
            <w:tcW w:w="490"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11</w:t>
            </w:r>
          </w:p>
        </w:tc>
        <w:tc>
          <w:tcPr>
            <w:tcW w:w="756"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医疗卫生机构能力建设</w:t>
            </w:r>
          </w:p>
        </w:tc>
        <w:tc>
          <w:tcPr>
            <w:tcW w:w="1640"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职业病能力提升补助资金</w:t>
            </w:r>
          </w:p>
        </w:tc>
        <w:tc>
          <w:tcPr>
            <w:tcW w:w="784"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55</w:t>
            </w:r>
          </w:p>
        </w:tc>
        <w:tc>
          <w:tcPr>
            <w:tcW w:w="736"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55</w:t>
            </w:r>
          </w:p>
        </w:tc>
        <w:tc>
          <w:tcPr>
            <w:tcW w:w="592"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8" w:hRule="atLeast"/>
          <w:jc w:val="center"/>
        </w:trPr>
        <w:tc>
          <w:tcPr>
            <w:tcW w:w="490"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12</w:t>
            </w:r>
          </w:p>
        </w:tc>
        <w:tc>
          <w:tcPr>
            <w:tcW w:w="756"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医疗卫生机构能力建设</w:t>
            </w:r>
          </w:p>
        </w:tc>
        <w:tc>
          <w:tcPr>
            <w:tcW w:w="1640"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承担疫情重点救治任务医院能力建设</w:t>
            </w:r>
          </w:p>
        </w:tc>
        <w:tc>
          <w:tcPr>
            <w:tcW w:w="784"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800</w:t>
            </w:r>
          </w:p>
        </w:tc>
        <w:tc>
          <w:tcPr>
            <w:tcW w:w="736"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662.96</w:t>
            </w:r>
          </w:p>
        </w:tc>
        <w:tc>
          <w:tcPr>
            <w:tcW w:w="592"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82.87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8" w:hRule="atLeast"/>
          <w:jc w:val="center"/>
        </w:trPr>
        <w:tc>
          <w:tcPr>
            <w:tcW w:w="490"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13</w:t>
            </w:r>
          </w:p>
        </w:tc>
        <w:tc>
          <w:tcPr>
            <w:tcW w:w="756"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医疗卫生机构能力建设</w:t>
            </w:r>
          </w:p>
        </w:tc>
        <w:tc>
          <w:tcPr>
            <w:tcW w:w="1640"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职业病诊疗康复机构能力提升项目</w:t>
            </w:r>
          </w:p>
        </w:tc>
        <w:tc>
          <w:tcPr>
            <w:tcW w:w="784"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320</w:t>
            </w:r>
          </w:p>
        </w:tc>
        <w:tc>
          <w:tcPr>
            <w:tcW w:w="736"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320</w:t>
            </w:r>
          </w:p>
        </w:tc>
        <w:tc>
          <w:tcPr>
            <w:tcW w:w="592"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8" w:hRule="atLeast"/>
          <w:jc w:val="center"/>
        </w:trPr>
        <w:tc>
          <w:tcPr>
            <w:tcW w:w="490"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14</w:t>
            </w:r>
          </w:p>
        </w:tc>
        <w:tc>
          <w:tcPr>
            <w:tcW w:w="756"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医疗卫生机构能力建设</w:t>
            </w:r>
          </w:p>
        </w:tc>
        <w:tc>
          <w:tcPr>
            <w:tcW w:w="1640"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卫生监督机构能力建设</w:t>
            </w:r>
          </w:p>
        </w:tc>
        <w:tc>
          <w:tcPr>
            <w:tcW w:w="784"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90</w:t>
            </w:r>
          </w:p>
        </w:tc>
        <w:tc>
          <w:tcPr>
            <w:tcW w:w="736"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0</w:t>
            </w:r>
          </w:p>
        </w:tc>
        <w:tc>
          <w:tcPr>
            <w:tcW w:w="592"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8" w:hRule="atLeast"/>
          <w:jc w:val="center"/>
        </w:trPr>
        <w:tc>
          <w:tcPr>
            <w:tcW w:w="490"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15</w:t>
            </w:r>
          </w:p>
        </w:tc>
        <w:tc>
          <w:tcPr>
            <w:tcW w:w="756"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医疗卫生机构能力建设</w:t>
            </w:r>
          </w:p>
        </w:tc>
        <w:tc>
          <w:tcPr>
            <w:tcW w:w="1640"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传染病监测预警及应急指挥能力提升</w:t>
            </w:r>
          </w:p>
        </w:tc>
        <w:tc>
          <w:tcPr>
            <w:tcW w:w="784"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130.88</w:t>
            </w:r>
          </w:p>
        </w:tc>
        <w:tc>
          <w:tcPr>
            <w:tcW w:w="736"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0</w:t>
            </w:r>
          </w:p>
        </w:tc>
        <w:tc>
          <w:tcPr>
            <w:tcW w:w="592"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8" w:hRule="atLeast"/>
          <w:jc w:val="center"/>
        </w:trPr>
        <w:tc>
          <w:tcPr>
            <w:tcW w:w="490"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16</w:t>
            </w:r>
          </w:p>
        </w:tc>
        <w:tc>
          <w:tcPr>
            <w:tcW w:w="756"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医疗卫生机构能力建设</w:t>
            </w:r>
          </w:p>
        </w:tc>
        <w:tc>
          <w:tcPr>
            <w:tcW w:w="1640"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国家传染病应急队伍能力建设</w:t>
            </w:r>
          </w:p>
        </w:tc>
        <w:tc>
          <w:tcPr>
            <w:tcW w:w="784"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55</w:t>
            </w:r>
          </w:p>
        </w:tc>
        <w:tc>
          <w:tcPr>
            <w:tcW w:w="736"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0</w:t>
            </w:r>
          </w:p>
        </w:tc>
        <w:tc>
          <w:tcPr>
            <w:tcW w:w="592"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8" w:hRule="atLeast"/>
          <w:jc w:val="center"/>
        </w:trPr>
        <w:tc>
          <w:tcPr>
            <w:tcW w:w="490"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17</w:t>
            </w:r>
          </w:p>
        </w:tc>
        <w:tc>
          <w:tcPr>
            <w:tcW w:w="756"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医疗卫生机构能力建设</w:t>
            </w:r>
          </w:p>
        </w:tc>
        <w:tc>
          <w:tcPr>
            <w:tcW w:w="1640"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新冠病毒变异监测基础设备</w:t>
            </w:r>
          </w:p>
        </w:tc>
        <w:tc>
          <w:tcPr>
            <w:tcW w:w="784"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12</w:t>
            </w:r>
          </w:p>
        </w:tc>
        <w:tc>
          <w:tcPr>
            <w:tcW w:w="736"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0</w:t>
            </w:r>
          </w:p>
        </w:tc>
        <w:tc>
          <w:tcPr>
            <w:tcW w:w="592"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8" w:hRule="atLeast"/>
          <w:jc w:val="center"/>
        </w:trPr>
        <w:tc>
          <w:tcPr>
            <w:tcW w:w="490"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18</w:t>
            </w:r>
          </w:p>
        </w:tc>
        <w:tc>
          <w:tcPr>
            <w:tcW w:w="756"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医疗卫生机构能力建设</w:t>
            </w:r>
          </w:p>
        </w:tc>
        <w:tc>
          <w:tcPr>
            <w:tcW w:w="1640"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乡镇卫生院配置升级医疗设备</w:t>
            </w:r>
          </w:p>
        </w:tc>
        <w:tc>
          <w:tcPr>
            <w:tcW w:w="784"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200</w:t>
            </w:r>
          </w:p>
        </w:tc>
        <w:tc>
          <w:tcPr>
            <w:tcW w:w="736"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0</w:t>
            </w:r>
          </w:p>
        </w:tc>
        <w:tc>
          <w:tcPr>
            <w:tcW w:w="592"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8" w:hRule="atLeast"/>
          <w:jc w:val="center"/>
        </w:trPr>
        <w:tc>
          <w:tcPr>
            <w:tcW w:w="490" w:type="pct"/>
            <w:tcBorders>
              <w:tl2br w:val="nil"/>
              <w:tr2bl w:val="nil"/>
            </w:tcBorders>
            <w:shd w:val="clear" w:color="auto" w:fill="auto"/>
            <w:noWrap/>
            <w:vAlign w:val="center"/>
          </w:tcPr>
          <w:p>
            <w:pPr>
              <w:keepNext w:val="0"/>
              <w:keepLines w:val="0"/>
              <w:pageBreakBefore w:val="0"/>
              <w:widowControl/>
              <w:kinsoku/>
              <w:wordWrap/>
              <w:topLinePunct w:val="0"/>
              <w:autoSpaceDE/>
              <w:autoSpaceDN/>
              <w:bidi w:val="0"/>
              <w:adjustRightInd/>
              <w:snapToGrid w:val="0"/>
              <w:ind w:firstLine="0" w:firstLineChars="0"/>
              <w:jc w:val="center"/>
              <w:rPr>
                <w:rFonts w:hint="default" w:ascii="Times New Roman" w:hAnsi="Times New Roman" w:eastAsia="方正仿宋_GBK" w:cs="Times New Roman"/>
                <w:i w:val="0"/>
                <w:iCs w:val="0"/>
                <w:color w:val="000000"/>
                <w:sz w:val="21"/>
                <w:szCs w:val="21"/>
                <w:u w:val="none"/>
              </w:rPr>
            </w:pPr>
          </w:p>
        </w:tc>
        <w:tc>
          <w:tcPr>
            <w:tcW w:w="756"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医疗卫生机构能力建设</w:t>
            </w:r>
          </w:p>
        </w:tc>
        <w:tc>
          <w:tcPr>
            <w:tcW w:w="1640"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b/>
                <w:bCs/>
                <w:i w:val="0"/>
                <w:iCs w:val="0"/>
                <w:color w:val="000000"/>
                <w:kern w:val="0"/>
                <w:sz w:val="21"/>
                <w:szCs w:val="21"/>
                <w:u w:val="none"/>
                <w:lang w:val="en-US" w:eastAsia="zh-CN" w:bidi="ar"/>
              </w:rPr>
            </w:pPr>
            <w:r>
              <w:rPr>
                <w:rFonts w:hint="eastAsia" w:ascii="Times New Roman" w:hAnsi="Times New Roman" w:eastAsia="方正仿宋_GBK" w:cs="Times New Roman"/>
                <w:b/>
                <w:bCs/>
                <w:i w:val="0"/>
                <w:iCs w:val="0"/>
                <w:color w:val="000000"/>
                <w:kern w:val="0"/>
                <w:sz w:val="21"/>
                <w:szCs w:val="21"/>
                <w:u w:val="none"/>
                <w:lang w:val="en-US" w:eastAsia="zh-CN" w:bidi="ar"/>
              </w:rPr>
              <w:t>小计</w:t>
            </w:r>
          </w:p>
        </w:tc>
        <w:tc>
          <w:tcPr>
            <w:tcW w:w="784"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b/>
                <w:bCs/>
                <w:i w:val="0"/>
                <w:iCs w:val="0"/>
                <w:color w:val="000000"/>
                <w:kern w:val="0"/>
                <w:sz w:val="21"/>
                <w:szCs w:val="21"/>
                <w:u w:val="none"/>
                <w:lang w:val="en-US" w:eastAsia="zh-CN" w:bidi="ar"/>
              </w:rPr>
            </w:pPr>
            <w:r>
              <w:rPr>
                <w:rFonts w:hint="eastAsia" w:ascii="Times New Roman" w:hAnsi="Times New Roman" w:eastAsia="方正仿宋_GBK" w:cs="Times New Roman"/>
                <w:b/>
                <w:bCs/>
                <w:i w:val="0"/>
                <w:iCs w:val="0"/>
                <w:color w:val="000000"/>
                <w:kern w:val="0"/>
                <w:sz w:val="21"/>
                <w:szCs w:val="21"/>
                <w:u w:val="none"/>
                <w:lang w:val="en-US" w:eastAsia="zh-CN" w:bidi="ar"/>
              </w:rPr>
              <w:t>2662.88</w:t>
            </w:r>
          </w:p>
        </w:tc>
        <w:tc>
          <w:tcPr>
            <w:tcW w:w="736"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b/>
                <w:bCs/>
                <w:i w:val="0"/>
                <w:iCs w:val="0"/>
                <w:color w:val="000000"/>
                <w:kern w:val="0"/>
                <w:sz w:val="21"/>
                <w:szCs w:val="21"/>
                <w:u w:val="none"/>
                <w:lang w:val="en-US" w:eastAsia="zh-CN" w:bidi="ar"/>
              </w:rPr>
            </w:pPr>
            <w:r>
              <w:rPr>
                <w:rFonts w:hint="eastAsia" w:ascii="Times New Roman" w:hAnsi="Times New Roman" w:eastAsia="方正仿宋_GBK" w:cs="Times New Roman"/>
                <w:b/>
                <w:bCs/>
                <w:i w:val="0"/>
                <w:iCs w:val="0"/>
                <w:color w:val="000000"/>
                <w:kern w:val="0"/>
                <w:sz w:val="21"/>
                <w:szCs w:val="21"/>
                <w:u w:val="none"/>
                <w:lang w:val="en-US" w:eastAsia="zh-CN" w:bidi="ar"/>
              </w:rPr>
              <w:t>1356.22</w:t>
            </w:r>
          </w:p>
        </w:tc>
        <w:tc>
          <w:tcPr>
            <w:tcW w:w="592"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b/>
                <w:bCs/>
                <w:i w:val="0"/>
                <w:iCs w:val="0"/>
                <w:color w:val="000000"/>
                <w:kern w:val="0"/>
                <w:sz w:val="21"/>
                <w:szCs w:val="21"/>
                <w:u w:val="none"/>
                <w:lang w:val="en-US" w:eastAsia="zh-CN" w:bidi="ar"/>
              </w:rPr>
            </w:pPr>
            <w:r>
              <w:rPr>
                <w:rFonts w:hint="eastAsia" w:ascii="Times New Roman" w:hAnsi="Times New Roman" w:eastAsia="方正仿宋_GBK" w:cs="Times New Roman"/>
                <w:b/>
                <w:bCs/>
                <w:i w:val="0"/>
                <w:iCs w:val="0"/>
                <w:color w:val="000000"/>
                <w:kern w:val="0"/>
                <w:sz w:val="21"/>
                <w:szCs w:val="21"/>
                <w:u w:val="none"/>
                <w:lang w:val="en-US" w:eastAsia="zh-CN" w:bidi="ar"/>
              </w:rPr>
              <w:t>50.93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2" w:hRule="atLeast"/>
          <w:jc w:val="center"/>
        </w:trPr>
        <w:tc>
          <w:tcPr>
            <w:tcW w:w="490" w:type="pct"/>
            <w:tcBorders>
              <w:tl2br w:val="nil"/>
              <w:tr2bl w:val="nil"/>
            </w:tcBorders>
            <w:shd w:val="clear" w:color="auto" w:fill="auto"/>
            <w:noWrap/>
            <w:vAlign w:val="center"/>
          </w:tcPr>
          <w:p>
            <w:pPr>
              <w:keepNext w:val="0"/>
              <w:keepLines w:val="0"/>
              <w:pageBreakBefore w:val="0"/>
              <w:widowControl/>
              <w:kinsoku/>
              <w:wordWrap/>
              <w:topLinePunct w:val="0"/>
              <w:autoSpaceDE/>
              <w:autoSpaceDN/>
              <w:bidi w:val="0"/>
              <w:adjustRightInd/>
              <w:snapToGrid w:val="0"/>
              <w:ind w:firstLine="0" w:firstLineChars="0"/>
              <w:jc w:val="center"/>
              <w:rPr>
                <w:rFonts w:hint="default" w:ascii="Times New Roman" w:hAnsi="Times New Roman" w:eastAsia="方正仿宋_GBK" w:cs="Times New Roman"/>
                <w:i w:val="0"/>
                <w:iCs w:val="0"/>
                <w:color w:val="000000"/>
                <w:sz w:val="21"/>
                <w:szCs w:val="21"/>
                <w:u w:val="none"/>
              </w:rPr>
            </w:pPr>
          </w:p>
        </w:tc>
        <w:tc>
          <w:tcPr>
            <w:tcW w:w="756"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合计</w:t>
            </w:r>
          </w:p>
        </w:tc>
        <w:tc>
          <w:tcPr>
            <w:tcW w:w="1640"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w:t>
            </w:r>
          </w:p>
        </w:tc>
        <w:tc>
          <w:tcPr>
            <w:tcW w:w="784"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4193.76</w:t>
            </w:r>
          </w:p>
        </w:tc>
        <w:tc>
          <w:tcPr>
            <w:tcW w:w="736"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2342.13</w:t>
            </w:r>
          </w:p>
        </w:tc>
        <w:tc>
          <w:tcPr>
            <w:tcW w:w="592" w:type="pct"/>
            <w:tcBorders>
              <w:tl2br w:val="nil"/>
              <w:tr2bl w:val="nil"/>
            </w:tcBorders>
            <w:shd w:val="clear" w:color="auto" w:fill="auto"/>
            <w:noWrap/>
            <w:vAlign w:val="center"/>
          </w:tcPr>
          <w:p>
            <w:pPr>
              <w:keepNext w:val="0"/>
              <w:keepLines w:val="0"/>
              <w:pageBreakBefore w:val="0"/>
              <w:widowControl/>
              <w:suppressLineNumbers w:val="0"/>
              <w:kinsoku/>
              <w:wordWrap/>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55.85</w:t>
            </w:r>
          </w:p>
        </w:tc>
      </w:tr>
    </w:tbl>
    <w:p>
      <w:pPr>
        <w:bidi w:val="0"/>
        <w:rPr>
          <w:rFonts w:hint="eastAsia"/>
          <w:lang w:eastAsia="zh-CN"/>
        </w:rPr>
      </w:pPr>
    </w:p>
    <w:tbl>
      <w:tblPr>
        <w:tblStyle w:val="16"/>
        <w:tblW w:w="49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
      <w:tblGrid>
        <w:gridCol w:w="3545"/>
        <w:gridCol w:w="1784"/>
        <w:gridCol w:w="1784"/>
        <w:gridCol w:w="1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0" w:hRule="atLeast"/>
          <w:tblHeader/>
          <w:jc w:val="center"/>
        </w:trPr>
        <w:tc>
          <w:tcPr>
            <w:tcW w:w="5000" w:type="pct"/>
            <w:gridSpan w:val="4"/>
            <w:tcBorders>
              <w:top w:val="nil"/>
              <w:left w:val="nil"/>
              <w:right w:val="nil"/>
            </w:tcBorders>
            <w:shd w:val="clear" w:color="auto" w:fill="auto"/>
            <w:noWrap/>
            <w:vAlign w:val="center"/>
          </w:tcPr>
          <w:p>
            <w:pPr>
              <w:pStyle w:val="11"/>
              <w:rPr>
                <w:rFonts w:hint="default" w:ascii="Times New Roman" w:hAnsi="Times New Roman" w:eastAsia="方正仿宋_GBK" w:cs="Times New Roman"/>
                <w:b/>
                <w:bCs/>
                <w:i w:val="0"/>
                <w:iCs w:val="0"/>
                <w:color w:val="000000"/>
                <w:kern w:val="0"/>
                <w:sz w:val="21"/>
                <w:szCs w:val="21"/>
                <w:u w:val="none"/>
                <w:lang w:val="en-US" w:eastAsia="zh-CN" w:bidi="ar"/>
              </w:rPr>
            </w:pPr>
            <w:r>
              <w:t>表</w:t>
            </w:r>
            <w:r>
              <w:fldChar w:fldCharType="begin"/>
            </w:r>
            <w:r>
              <w:instrText xml:space="preserve"> SEQ 表 \* ARABIC </w:instrText>
            </w:r>
            <w:r>
              <w:fldChar w:fldCharType="separate"/>
            </w:r>
            <w:r>
              <w:t>4</w:t>
            </w:r>
            <w:r>
              <w:fldChar w:fldCharType="end"/>
            </w:r>
            <w:r>
              <w:rPr>
                <w:rFonts w:hint="eastAsia"/>
                <w:lang w:eastAsia="zh-CN"/>
              </w:rPr>
              <w:t xml:space="preserve">  项目资金收支情况表【按县市】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1" w:hRule="atLeast"/>
          <w:tblHeader/>
          <w:jc w:val="center"/>
        </w:trPr>
        <w:tc>
          <w:tcPr>
            <w:tcW w:w="1991" w:type="pct"/>
            <w:tcBorders>
              <w:tl2br w:val="nil"/>
              <w:tr2bl w:val="nil"/>
            </w:tcBorders>
            <w:shd w:val="clear" w:color="auto" w:fill="auto"/>
            <w:noWrap/>
            <w:vAlign w:val="center"/>
          </w:tcPr>
          <w:p>
            <w:pPr>
              <w:keepNext w:val="0"/>
              <w:keepLines/>
              <w:pageBreakBefore w:val="0"/>
              <w:widowControl/>
              <w:suppressLineNumbers w:val="0"/>
              <w:kinsoku/>
              <w:wordWrap/>
              <w:overflowPunct w:val="0"/>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县市和单位</w:t>
            </w:r>
          </w:p>
        </w:tc>
        <w:tc>
          <w:tcPr>
            <w:tcW w:w="1002" w:type="pct"/>
            <w:tcBorders>
              <w:tl2br w:val="nil"/>
              <w:tr2bl w:val="nil"/>
            </w:tcBorders>
            <w:shd w:val="clear" w:color="auto" w:fill="auto"/>
            <w:vAlign w:val="center"/>
          </w:tcPr>
          <w:p>
            <w:pPr>
              <w:keepNext w:val="0"/>
              <w:keepLines/>
              <w:pageBreakBefore w:val="0"/>
              <w:widowControl/>
              <w:suppressLineNumbers w:val="0"/>
              <w:kinsoku/>
              <w:wordWrap/>
              <w:overflowPunct w:val="0"/>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预算安排数</w:t>
            </w:r>
            <w:r>
              <w:rPr>
                <w:rFonts w:hint="default" w:ascii="Times New Roman" w:hAnsi="Times New Roman" w:eastAsia="方正仿宋_GBK" w:cs="Times New Roman"/>
                <w:b/>
                <w:bCs/>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（万元）</w:t>
            </w:r>
          </w:p>
        </w:tc>
        <w:tc>
          <w:tcPr>
            <w:tcW w:w="1002" w:type="pct"/>
            <w:tcBorders>
              <w:tl2br w:val="nil"/>
              <w:tr2bl w:val="nil"/>
            </w:tcBorders>
            <w:shd w:val="clear" w:color="auto" w:fill="auto"/>
            <w:vAlign w:val="center"/>
          </w:tcPr>
          <w:p>
            <w:pPr>
              <w:keepNext w:val="0"/>
              <w:keepLines/>
              <w:pageBreakBefore w:val="0"/>
              <w:widowControl/>
              <w:suppressLineNumbers w:val="0"/>
              <w:kinsoku/>
              <w:wordWrap/>
              <w:overflowPunct w:val="0"/>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预算执行数</w:t>
            </w:r>
            <w:r>
              <w:rPr>
                <w:rFonts w:hint="default" w:ascii="Times New Roman" w:hAnsi="Times New Roman" w:eastAsia="方正仿宋_GBK" w:cs="Times New Roman"/>
                <w:b/>
                <w:bCs/>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（万元）</w:t>
            </w:r>
          </w:p>
        </w:tc>
        <w:tc>
          <w:tcPr>
            <w:tcW w:w="1003" w:type="pct"/>
            <w:tcBorders>
              <w:tl2br w:val="nil"/>
              <w:tr2bl w:val="nil"/>
            </w:tcBorders>
            <w:shd w:val="clear" w:color="auto" w:fill="auto"/>
            <w:vAlign w:val="center"/>
          </w:tcPr>
          <w:p>
            <w:pPr>
              <w:keepNext w:val="0"/>
              <w:keepLines/>
              <w:pageBreakBefore w:val="0"/>
              <w:widowControl/>
              <w:suppressLineNumbers w:val="0"/>
              <w:kinsoku/>
              <w:wordWrap/>
              <w:overflowPunct w:val="0"/>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执行率</w:t>
            </w:r>
            <w:r>
              <w:rPr>
                <w:rFonts w:hint="default" w:ascii="Times New Roman" w:hAnsi="Times New Roman" w:eastAsia="方正仿宋_GBK" w:cs="Times New Roman"/>
                <w:b/>
                <w:bCs/>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401" w:hRule="atLeast"/>
          <w:jc w:val="center"/>
        </w:trPr>
        <w:tc>
          <w:tcPr>
            <w:tcW w:w="1991" w:type="pct"/>
            <w:tcBorders>
              <w:tl2br w:val="nil"/>
              <w:tr2bl w:val="nil"/>
            </w:tcBorders>
            <w:shd w:val="clear" w:color="auto" w:fill="auto"/>
            <w:noWrap/>
            <w:vAlign w:val="center"/>
          </w:tcPr>
          <w:p>
            <w:pPr>
              <w:keepNext w:val="0"/>
              <w:keepLines w:val="0"/>
              <w:pageBreakBefore w:val="0"/>
              <w:widowControl/>
              <w:suppressLineNumbers w:val="0"/>
              <w:kinsoku/>
              <w:wordWrap/>
              <w:overflowPunct w:val="0"/>
              <w:topLinePunct w:val="0"/>
              <w:autoSpaceDE/>
              <w:autoSpaceDN/>
              <w:bidi w:val="0"/>
              <w:adjustRightInd/>
              <w:snapToGrid w:val="0"/>
              <w:ind w:firstLine="0" w:firstLineChars="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芒市</w:t>
            </w:r>
          </w:p>
        </w:tc>
        <w:tc>
          <w:tcPr>
            <w:tcW w:w="1002" w:type="pct"/>
            <w:tcBorders>
              <w:tl2br w:val="nil"/>
              <w:tr2bl w:val="nil"/>
            </w:tcBorders>
            <w:shd w:val="clear" w:color="auto" w:fill="auto"/>
            <w:noWrap/>
            <w:vAlign w:val="center"/>
          </w:tcPr>
          <w:p>
            <w:pPr>
              <w:keepNext w:val="0"/>
              <w:keepLines w:val="0"/>
              <w:pageBreakBefore w:val="0"/>
              <w:widowControl/>
              <w:suppressLineNumbers w:val="0"/>
              <w:kinsoku/>
              <w:wordWrap/>
              <w:overflowPunct w:val="0"/>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392.68</w:t>
            </w:r>
          </w:p>
        </w:tc>
        <w:tc>
          <w:tcPr>
            <w:tcW w:w="1002" w:type="pct"/>
            <w:tcBorders>
              <w:tl2br w:val="nil"/>
              <w:tr2bl w:val="nil"/>
            </w:tcBorders>
            <w:shd w:val="clear" w:color="auto" w:fill="auto"/>
            <w:noWrap/>
            <w:vAlign w:val="center"/>
          </w:tcPr>
          <w:p>
            <w:pPr>
              <w:keepNext w:val="0"/>
              <w:keepLines w:val="0"/>
              <w:pageBreakBefore w:val="0"/>
              <w:widowControl/>
              <w:suppressLineNumbers w:val="0"/>
              <w:kinsoku/>
              <w:wordWrap/>
              <w:overflowPunct w:val="0"/>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69.8</w:t>
            </w:r>
          </w:p>
        </w:tc>
        <w:tc>
          <w:tcPr>
            <w:tcW w:w="1003" w:type="pct"/>
            <w:tcBorders>
              <w:tl2br w:val="nil"/>
              <w:tr2bl w:val="nil"/>
            </w:tcBorders>
            <w:shd w:val="clear" w:color="auto" w:fill="auto"/>
            <w:noWrap/>
            <w:vAlign w:val="center"/>
          </w:tcPr>
          <w:p>
            <w:pPr>
              <w:keepNext w:val="0"/>
              <w:keepLines w:val="0"/>
              <w:pageBreakBefore w:val="0"/>
              <w:widowControl/>
              <w:suppressLineNumbers w:val="0"/>
              <w:kinsoku/>
              <w:wordWrap/>
              <w:overflowPunct w:val="0"/>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17.78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01" w:hRule="atLeast"/>
          <w:jc w:val="center"/>
        </w:trPr>
        <w:tc>
          <w:tcPr>
            <w:tcW w:w="1991" w:type="pct"/>
            <w:tcBorders>
              <w:tl2br w:val="nil"/>
              <w:tr2bl w:val="nil"/>
            </w:tcBorders>
            <w:shd w:val="clear" w:color="auto" w:fill="auto"/>
            <w:noWrap/>
            <w:vAlign w:val="center"/>
          </w:tcPr>
          <w:p>
            <w:pPr>
              <w:keepNext w:val="0"/>
              <w:keepLines w:val="0"/>
              <w:pageBreakBefore w:val="0"/>
              <w:widowControl/>
              <w:suppressLineNumbers w:val="0"/>
              <w:kinsoku/>
              <w:wordWrap/>
              <w:overflowPunct w:val="0"/>
              <w:topLinePunct w:val="0"/>
              <w:autoSpaceDE/>
              <w:autoSpaceDN/>
              <w:bidi w:val="0"/>
              <w:adjustRightInd/>
              <w:snapToGrid w:val="0"/>
              <w:ind w:firstLine="0" w:firstLineChars="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梁河县</w:t>
            </w:r>
          </w:p>
        </w:tc>
        <w:tc>
          <w:tcPr>
            <w:tcW w:w="1002" w:type="pct"/>
            <w:tcBorders>
              <w:tl2br w:val="nil"/>
              <w:tr2bl w:val="nil"/>
            </w:tcBorders>
            <w:shd w:val="clear" w:color="auto" w:fill="auto"/>
            <w:noWrap/>
            <w:vAlign w:val="center"/>
          </w:tcPr>
          <w:p>
            <w:pPr>
              <w:keepNext w:val="0"/>
              <w:keepLines w:val="0"/>
              <w:pageBreakBefore w:val="0"/>
              <w:widowControl/>
              <w:suppressLineNumbers w:val="0"/>
              <w:kinsoku/>
              <w:wordWrap/>
              <w:overflowPunct w:val="0"/>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542.95</w:t>
            </w:r>
          </w:p>
        </w:tc>
        <w:tc>
          <w:tcPr>
            <w:tcW w:w="1002" w:type="pct"/>
            <w:tcBorders>
              <w:tl2br w:val="nil"/>
              <w:tr2bl w:val="nil"/>
            </w:tcBorders>
            <w:shd w:val="clear" w:color="auto" w:fill="auto"/>
            <w:noWrap/>
            <w:vAlign w:val="center"/>
          </w:tcPr>
          <w:p>
            <w:pPr>
              <w:keepNext w:val="0"/>
              <w:keepLines w:val="0"/>
              <w:pageBreakBefore w:val="0"/>
              <w:widowControl/>
              <w:suppressLineNumbers w:val="0"/>
              <w:kinsoku/>
              <w:wordWrap/>
              <w:overflowPunct w:val="0"/>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0</w:t>
            </w:r>
          </w:p>
        </w:tc>
        <w:tc>
          <w:tcPr>
            <w:tcW w:w="1003" w:type="pct"/>
            <w:tcBorders>
              <w:tl2br w:val="nil"/>
              <w:tr2bl w:val="nil"/>
            </w:tcBorders>
            <w:shd w:val="clear" w:color="auto" w:fill="auto"/>
            <w:noWrap/>
            <w:vAlign w:val="center"/>
          </w:tcPr>
          <w:p>
            <w:pPr>
              <w:keepNext w:val="0"/>
              <w:keepLines w:val="0"/>
              <w:pageBreakBefore w:val="0"/>
              <w:widowControl/>
              <w:suppressLineNumbers w:val="0"/>
              <w:kinsoku/>
              <w:wordWrap/>
              <w:overflowPunct w:val="0"/>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401" w:hRule="atLeast"/>
          <w:jc w:val="center"/>
        </w:trPr>
        <w:tc>
          <w:tcPr>
            <w:tcW w:w="1991" w:type="pct"/>
            <w:tcBorders>
              <w:tl2br w:val="nil"/>
              <w:tr2bl w:val="nil"/>
            </w:tcBorders>
            <w:shd w:val="clear" w:color="auto" w:fill="auto"/>
            <w:noWrap/>
            <w:vAlign w:val="center"/>
          </w:tcPr>
          <w:p>
            <w:pPr>
              <w:keepNext w:val="0"/>
              <w:keepLines w:val="0"/>
              <w:pageBreakBefore w:val="0"/>
              <w:widowControl/>
              <w:suppressLineNumbers w:val="0"/>
              <w:kinsoku/>
              <w:wordWrap/>
              <w:overflowPunct w:val="0"/>
              <w:topLinePunct w:val="0"/>
              <w:autoSpaceDE/>
              <w:autoSpaceDN/>
              <w:bidi w:val="0"/>
              <w:adjustRightInd/>
              <w:snapToGrid w:val="0"/>
              <w:ind w:firstLine="0" w:firstLineChars="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盈江县</w:t>
            </w:r>
          </w:p>
        </w:tc>
        <w:tc>
          <w:tcPr>
            <w:tcW w:w="1002" w:type="pct"/>
            <w:tcBorders>
              <w:tl2br w:val="nil"/>
              <w:tr2bl w:val="nil"/>
            </w:tcBorders>
            <w:shd w:val="clear" w:color="auto" w:fill="auto"/>
            <w:noWrap/>
            <w:vAlign w:val="center"/>
          </w:tcPr>
          <w:p>
            <w:pPr>
              <w:keepNext w:val="0"/>
              <w:keepLines w:val="0"/>
              <w:pageBreakBefore w:val="0"/>
              <w:widowControl/>
              <w:suppressLineNumbers w:val="0"/>
              <w:kinsoku/>
              <w:wordWrap/>
              <w:overflowPunct w:val="0"/>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379.7</w:t>
            </w:r>
          </w:p>
        </w:tc>
        <w:tc>
          <w:tcPr>
            <w:tcW w:w="1002" w:type="pct"/>
            <w:tcBorders>
              <w:tl2br w:val="nil"/>
              <w:tr2bl w:val="nil"/>
            </w:tcBorders>
            <w:shd w:val="clear" w:color="auto" w:fill="auto"/>
            <w:noWrap/>
            <w:vAlign w:val="center"/>
          </w:tcPr>
          <w:p>
            <w:pPr>
              <w:keepNext w:val="0"/>
              <w:keepLines w:val="0"/>
              <w:pageBreakBefore w:val="0"/>
              <w:widowControl/>
              <w:suppressLineNumbers w:val="0"/>
              <w:kinsoku/>
              <w:wordWrap/>
              <w:overflowPunct w:val="0"/>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211.1</w:t>
            </w:r>
          </w:p>
        </w:tc>
        <w:tc>
          <w:tcPr>
            <w:tcW w:w="1003" w:type="pct"/>
            <w:tcBorders>
              <w:tl2br w:val="nil"/>
              <w:tr2bl w:val="nil"/>
            </w:tcBorders>
            <w:shd w:val="clear" w:color="auto" w:fill="auto"/>
            <w:noWrap/>
            <w:vAlign w:val="center"/>
          </w:tcPr>
          <w:p>
            <w:pPr>
              <w:keepNext w:val="0"/>
              <w:keepLines w:val="0"/>
              <w:pageBreakBefore w:val="0"/>
              <w:widowControl/>
              <w:suppressLineNumbers w:val="0"/>
              <w:kinsoku/>
              <w:wordWrap/>
              <w:overflowPunct w:val="0"/>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01" w:hRule="atLeast"/>
          <w:jc w:val="center"/>
        </w:trPr>
        <w:tc>
          <w:tcPr>
            <w:tcW w:w="1991" w:type="pct"/>
            <w:tcBorders>
              <w:tl2br w:val="nil"/>
              <w:tr2bl w:val="nil"/>
            </w:tcBorders>
            <w:shd w:val="clear" w:color="auto" w:fill="auto"/>
            <w:noWrap/>
            <w:vAlign w:val="center"/>
          </w:tcPr>
          <w:p>
            <w:pPr>
              <w:keepNext w:val="0"/>
              <w:keepLines w:val="0"/>
              <w:pageBreakBefore w:val="0"/>
              <w:widowControl/>
              <w:suppressLineNumbers w:val="0"/>
              <w:kinsoku/>
              <w:wordWrap/>
              <w:overflowPunct w:val="0"/>
              <w:topLinePunct w:val="0"/>
              <w:autoSpaceDE/>
              <w:autoSpaceDN/>
              <w:bidi w:val="0"/>
              <w:adjustRightInd/>
              <w:snapToGrid w:val="0"/>
              <w:ind w:firstLine="0" w:firstLineChars="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陇川县</w:t>
            </w:r>
          </w:p>
        </w:tc>
        <w:tc>
          <w:tcPr>
            <w:tcW w:w="1002" w:type="pct"/>
            <w:tcBorders>
              <w:tl2br w:val="nil"/>
              <w:tr2bl w:val="nil"/>
            </w:tcBorders>
            <w:shd w:val="clear" w:color="auto" w:fill="auto"/>
            <w:noWrap/>
            <w:vAlign w:val="center"/>
          </w:tcPr>
          <w:p>
            <w:pPr>
              <w:keepNext w:val="0"/>
              <w:keepLines w:val="0"/>
              <w:pageBreakBefore w:val="0"/>
              <w:widowControl/>
              <w:suppressLineNumbers w:val="0"/>
              <w:kinsoku/>
              <w:wordWrap/>
              <w:overflowPunct w:val="0"/>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547.4</w:t>
            </w:r>
          </w:p>
        </w:tc>
        <w:tc>
          <w:tcPr>
            <w:tcW w:w="1002" w:type="pct"/>
            <w:tcBorders>
              <w:tl2br w:val="nil"/>
              <w:tr2bl w:val="nil"/>
            </w:tcBorders>
            <w:shd w:val="clear" w:color="auto" w:fill="auto"/>
            <w:noWrap/>
            <w:vAlign w:val="center"/>
          </w:tcPr>
          <w:p>
            <w:pPr>
              <w:keepNext w:val="0"/>
              <w:keepLines w:val="0"/>
              <w:pageBreakBefore w:val="0"/>
              <w:widowControl/>
              <w:suppressLineNumbers w:val="0"/>
              <w:kinsoku/>
              <w:wordWrap/>
              <w:overflowPunct w:val="0"/>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242.86</w:t>
            </w:r>
          </w:p>
        </w:tc>
        <w:tc>
          <w:tcPr>
            <w:tcW w:w="1003" w:type="pct"/>
            <w:tcBorders>
              <w:tl2br w:val="nil"/>
              <w:tr2bl w:val="nil"/>
            </w:tcBorders>
            <w:shd w:val="clear" w:color="auto" w:fill="auto"/>
            <w:noWrap/>
            <w:vAlign w:val="center"/>
          </w:tcPr>
          <w:p>
            <w:pPr>
              <w:keepNext w:val="0"/>
              <w:keepLines w:val="0"/>
              <w:pageBreakBefore w:val="0"/>
              <w:widowControl/>
              <w:suppressLineNumbers w:val="0"/>
              <w:kinsoku/>
              <w:wordWrap/>
              <w:overflowPunct w:val="0"/>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44.37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401" w:hRule="atLeast"/>
          <w:jc w:val="center"/>
        </w:trPr>
        <w:tc>
          <w:tcPr>
            <w:tcW w:w="1991" w:type="pct"/>
            <w:tcBorders>
              <w:tl2br w:val="nil"/>
              <w:tr2bl w:val="nil"/>
            </w:tcBorders>
            <w:shd w:val="clear" w:color="auto" w:fill="auto"/>
            <w:noWrap/>
            <w:vAlign w:val="center"/>
          </w:tcPr>
          <w:p>
            <w:pPr>
              <w:keepNext w:val="0"/>
              <w:keepLines w:val="0"/>
              <w:pageBreakBefore w:val="0"/>
              <w:widowControl/>
              <w:suppressLineNumbers w:val="0"/>
              <w:kinsoku/>
              <w:wordWrap/>
              <w:overflowPunct w:val="0"/>
              <w:topLinePunct w:val="0"/>
              <w:autoSpaceDE/>
              <w:autoSpaceDN/>
              <w:bidi w:val="0"/>
              <w:adjustRightInd/>
              <w:snapToGrid w:val="0"/>
              <w:ind w:firstLine="0" w:firstLineChars="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瑞丽市</w:t>
            </w:r>
          </w:p>
        </w:tc>
        <w:tc>
          <w:tcPr>
            <w:tcW w:w="1002" w:type="pct"/>
            <w:tcBorders>
              <w:tl2br w:val="nil"/>
              <w:tr2bl w:val="nil"/>
            </w:tcBorders>
            <w:shd w:val="clear" w:color="auto" w:fill="auto"/>
            <w:noWrap/>
            <w:vAlign w:val="center"/>
          </w:tcPr>
          <w:p>
            <w:pPr>
              <w:keepNext w:val="0"/>
              <w:keepLines w:val="0"/>
              <w:pageBreakBefore w:val="0"/>
              <w:widowControl/>
              <w:suppressLineNumbers w:val="0"/>
              <w:kinsoku/>
              <w:wordWrap/>
              <w:overflowPunct w:val="0"/>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297.4</w:t>
            </w:r>
          </w:p>
        </w:tc>
        <w:tc>
          <w:tcPr>
            <w:tcW w:w="1002" w:type="pct"/>
            <w:tcBorders>
              <w:tl2br w:val="nil"/>
              <w:tr2bl w:val="nil"/>
            </w:tcBorders>
            <w:shd w:val="clear" w:color="auto" w:fill="auto"/>
            <w:noWrap/>
            <w:vAlign w:val="center"/>
          </w:tcPr>
          <w:p>
            <w:pPr>
              <w:keepNext w:val="0"/>
              <w:keepLines w:val="0"/>
              <w:pageBreakBefore w:val="0"/>
              <w:widowControl/>
              <w:suppressLineNumbers w:val="0"/>
              <w:kinsoku/>
              <w:wordWrap/>
              <w:overflowPunct w:val="0"/>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69.25</w:t>
            </w:r>
          </w:p>
        </w:tc>
        <w:tc>
          <w:tcPr>
            <w:tcW w:w="1003" w:type="pct"/>
            <w:tcBorders>
              <w:tl2br w:val="nil"/>
              <w:tr2bl w:val="nil"/>
            </w:tcBorders>
            <w:shd w:val="clear" w:color="auto" w:fill="auto"/>
            <w:noWrap/>
            <w:vAlign w:val="center"/>
          </w:tcPr>
          <w:p>
            <w:pPr>
              <w:keepNext w:val="0"/>
              <w:keepLines w:val="0"/>
              <w:pageBreakBefore w:val="0"/>
              <w:widowControl/>
              <w:suppressLineNumbers w:val="0"/>
              <w:kinsoku/>
              <w:wordWrap/>
              <w:overflowPunct w:val="0"/>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01" w:hRule="atLeast"/>
          <w:jc w:val="center"/>
        </w:trPr>
        <w:tc>
          <w:tcPr>
            <w:tcW w:w="1991" w:type="pct"/>
            <w:tcBorders>
              <w:tl2br w:val="nil"/>
              <w:tr2bl w:val="nil"/>
            </w:tcBorders>
            <w:shd w:val="clear" w:color="auto" w:fill="auto"/>
            <w:noWrap/>
            <w:vAlign w:val="center"/>
          </w:tcPr>
          <w:p>
            <w:pPr>
              <w:keepNext w:val="0"/>
              <w:keepLines w:val="0"/>
              <w:pageBreakBefore w:val="0"/>
              <w:widowControl/>
              <w:suppressLineNumbers w:val="0"/>
              <w:kinsoku/>
              <w:wordWrap/>
              <w:overflowPunct w:val="0"/>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县市小计</w:t>
            </w:r>
          </w:p>
        </w:tc>
        <w:tc>
          <w:tcPr>
            <w:tcW w:w="1002" w:type="pct"/>
            <w:tcBorders>
              <w:tl2br w:val="nil"/>
              <w:tr2bl w:val="nil"/>
            </w:tcBorders>
            <w:shd w:val="clear" w:color="auto" w:fill="auto"/>
            <w:noWrap/>
            <w:vAlign w:val="center"/>
          </w:tcPr>
          <w:p>
            <w:pPr>
              <w:keepNext w:val="0"/>
              <w:keepLines w:val="0"/>
              <w:pageBreakBefore w:val="0"/>
              <w:widowControl/>
              <w:suppressLineNumbers w:val="0"/>
              <w:kinsoku/>
              <w:wordWrap/>
              <w:overflowPunct w:val="0"/>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2160.13</w:t>
            </w:r>
          </w:p>
        </w:tc>
        <w:tc>
          <w:tcPr>
            <w:tcW w:w="1002" w:type="pct"/>
            <w:tcBorders>
              <w:tl2br w:val="nil"/>
              <w:tr2bl w:val="nil"/>
            </w:tcBorders>
            <w:shd w:val="clear" w:color="auto" w:fill="auto"/>
            <w:noWrap/>
            <w:vAlign w:val="center"/>
          </w:tcPr>
          <w:p>
            <w:pPr>
              <w:keepNext w:val="0"/>
              <w:keepLines w:val="0"/>
              <w:pageBreakBefore w:val="0"/>
              <w:widowControl/>
              <w:suppressLineNumbers w:val="0"/>
              <w:kinsoku/>
              <w:wordWrap/>
              <w:overflowPunct w:val="0"/>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593.01</w:t>
            </w:r>
          </w:p>
        </w:tc>
        <w:tc>
          <w:tcPr>
            <w:tcW w:w="1003" w:type="pct"/>
            <w:tcBorders>
              <w:tl2br w:val="nil"/>
              <w:tr2bl w:val="nil"/>
            </w:tcBorders>
            <w:shd w:val="clear" w:color="auto" w:fill="auto"/>
            <w:noWrap/>
            <w:vAlign w:val="center"/>
          </w:tcPr>
          <w:p>
            <w:pPr>
              <w:keepNext w:val="0"/>
              <w:keepLines w:val="0"/>
              <w:pageBreakBefore w:val="0"/>
              <w:widowControl/>
              <w:suppressLineNumbers w:val="0"/>
              <w:kinsoku/>
              <w:wordWrap/>
              <w:overflowPunct w:val="0"/>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27.45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401" w:hRule="atLeast"/>
          <w:jc w:val="center"/>
        </w:trPr>
        <w:tc>
          <w:tcPr>
            <w:tcW w:w="1991" w:type="pct"/>
            <w:tcBorders>
              <w:tl2br w:val="nil"/>
              <w:tr2bl w:val="nil"/>
            </w:tcBorders>
            <w:shd w:val="clear" w:color="auto" w:fill="auto"/>
            <w:noWrap/>
            <w:vAlign w:val="center"/>
          </w:tcPr>
          <w:p>
            <w:pPr>
              <w:keepNext w:val="0"/>
              <w:keepLines w:val="0"/>
              <w:pageBreakBefore w:val="0"/>
              <w:widowControl/>
              <w:suppressLineNumbers w:val="0"/>
              <w:kinsoku/>
              <w:wordWrap/>
              <w:overflowPunct w:val="0"/>
              <w:topLinePunct w:val="0"/>
              <w:autoSpaceDE/>
              <w:autoSpaceDN/>
              <w:bidi w:val="0"/>
              <w:adjustRightInd/>
              <w:snapToGrid w:val="0"/>
              <w:ind w:firstLine="0" w:firstLineChars="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德宏州卫生健康委员会</w:t>
            </w:r>
          </w:p>
        </w:tc>
        <w:tc>
          <w:tcPr>
            <w:tcW w:w="1002" w:type="pct"/>
            <w:tcBorders>
              <w:tl2br w:val="nil"/>
              <w:tr2bl w:val="nil"/>
            </w:tcBorders>
            <w:shd w:val="clear" w:color="auto" w:fill="auto"/>
            <w:noWrap/>
            <w:vAlign w:val="center"/>
          </w:tcPr>
          <w:p>
            <w:pPr>
              <w:keepNext w:val="0"/>
              <w:keepLines w:val="0"/>
              <w:pageBreakBefore w:val="0"/>
              <w:widowControl/>
              <w:suppressLineNumbers w:val="0"/>
              <w:kinsoku/>
              <w:wordWrap/>
              <w:overflowPunct w:val="0"/>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0.2</w:t>
            </w:r>
          </w:p>
        </w:tc>
        <w:tc>
          <w:tcPr>
            <w:tcW w:w="1002" w:type="pct"/>
            <w:tcBorders>
              <w:tl2br w:val="nil"/>
              <w:tr2bl w:val="nil"/>
            </w:tcBorders>
            <w:shd w:val="clear" w:color="auto" w:fill="auto"/>
            <w:noWrap/>
            <w:vAlign w:val="center"/>
          </w:tcPr>
          <w:p>
            <w:pPr>
              <w:keepNext w:val="0"/>
              <w:keepLines w:val="0"/>
              <w:pageBreakBefore w:val="0"/>
              <w:widowControl/>
              <w:suppressLineNumbers w:val="0"/>
              <w:kinsoku/>
              <w:wordWrap/>
              <w:overflowPunct w:val="0"/>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0.2</w:t>
            </w:r>
          </w:p>
        </w:tc>
        <w:tc>
          <w:tcPr>
            <w:tcW w:w="1003" w:type="pct"/>
            <w:tcBorders>
              <w:tl2br w:val="nil"/>
              <w:tr2bl w:val="nil"/>
            </w:tcBorders>
            <w:shd w:val="clear" w:color="auto" w:fill="auto"/>
            <w:noWrap/>
            <w:vAlign w:val="center"/>
          </w:tcPr>
          <w:p>
            <w:pPr>
              <w:keepNext w:val="0"/>
              <w:keepLines w:val="0"/>
              <w:pageBreakBefore w:val="0"/>
              <w:widowControl/>
              <w:suppressLineNumbers w:val="0"/>
              <w:kinsoku/>
              <w:wordWrap/>
              <w:overflowPunct w:val="0"/>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01" w:hRule="atLeast"/>
          <w:jc w:val="center"/>
        </w:trPr>
        <w:tc>
          <w:tcPr>
            <w:tcW w:w="1991" w:type="pct"/>
            <w:tcBorders>
              <w:tl2br w:val="nil"/>
              <w:tr2bl w:val="nil"/>
            </w:tcBorders>
            <w:shd w:val="clear" w:color="auto" w:fill="auto"/>
            <w:noWrap/>
            <w:vAlign w:val="center"/>
          </w:tcPr>
          <w:p>
            <w:pPr>
              <w:keepNext w:val="0"/>
              <w:keepLines w:val="0"/>
              <w:pageBreakBefore w:val="0"/>
              <w:widowControl/>
              <w:suppressLineNumbers w:val="0"/>
              <w:kinsoku/>
              <w:wordWrap/>
              <w:overflowPunct w:val="0"/>
              <w:topLinePunct w:val="0"/>
              <w:autoSpaceDE/>
              <w:autoSpaceDN/>
              <w:bidi w:val="0"/>
              <w:adjustRightInd/>
              <w:snapToGrid w:val="0"/>
              <w:ind w:firstLine="0" w:firstLineChars="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德宏州人民医院</w:t>
            </w:r>
          </w:p>
        </w:tc>
        <w:tc>
          <w:tcPr>
            <w:tcW w:w="1002" w:type="pct"/>
            <w:tcBorders>
              <w:tl2br w:val="nil"/>
              <w:tr2bl w:val="nil"/>
            </w:tcBorders>
            <w:shd w:val="clear" w:color="auto" w:fill="auto"/>
            <w:noWrap/>
            <w:vAlign w:val="center"/>
          </w:tcPr>
          <w:p>
            <w:pPr>
              <w:keepNext w:val="0"/>
              <w:keepLines w:val="0"/>
              <w:pageBreakBefore w:val="0"/>
              <w:widowControl/>
              <w:suppressLineNumbers w:val="0"/>
              <w:kinsoku/>
              <w:wordWrap/>
              <w:overflowPunct w:val="0"/>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1490.32</w:t>
            </w:r>
          </w:p>
        </w:tc>
        <w:tc>
          <w:tcPr>
            <w:tcW w:w="1002" w:type="pct"/>
            <w:tcBorders>
              <w:tl2br w:val="nil"/>
              <w:tr2bl w:val="nil"/>
            </w:tcBorders>
            <w:shd w:val="clear" w:color="auto" w:fill="auto"/>
            <w:noWrap/>
            <w:vAlign w:val="center"/>
          </w:tcPr>
          <w:p>
            <w:pPr>
              <w:keepNext w:val="0"/>
              <w:keepLines w:val="0"/>
              <w:pageBreakBefore w:val="0"/>
              <w:widowControl/>
              <w:suppressLineNumbers w:val="0"/>
              <w:kinsoku/>
              <w:wordWrap/>
              <w:overflowPunct w:val="0"/>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1333.92</w:t>
            </w:r>
          </w:p>
        </w:tc>
        <w:tc>
          <w:tcPr>
            <w:tcW w:w="1003" w:type="pct"/>
            <w:tcBorders>
              <w:tl2br w:val="nil"/>
              <w:tr2bl w:val="nil"/>
            </w:tcBorders>
            <w:shd w:val="clear" w:color="auto" w:fill="auto"/>
            <w:noWrap/>
            <w:vAlign w:val="center"/>
          </w:tcPr>
          <w:p>
            <w:pPr>
              <w:keepNext w:val="0"/>
              <w:keepLines w:val="0"/>
              <w:pageBreakBefore w:val="0"/>
              <w:widowControl/>
              <w:suppressLineNumbers w:val="0"/>
              <w:kinsoku/>
              <w:wordWrap/>
              <w:overflowPunct w:val="0"/>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89.51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401" w:hRule="atLeast"/>
          <w:jc w:val="center"/>
        </w:trPr>
        <w:tc>
          <w:tcPr>
            <w:tcW w:w="1991" w:type="pct"/>
            <w:tcBorders>
              <w:tl2br w:val="nil"/>
              <w:tr2bl w:val="nil"/>
            </w:tcBorders>
            <w:shd w:val="clear" w:color="auto" w:fill="auto"/>
            <w:noWrap/>
            <w:vAlign w:val="center"/>
          </w:tcPr>
          <w:p>
            <w:pPr>
              <w:keepNext w:val="0"/>
              <w:keepLines w:val="0"/>
              <w:pageBreakBefore w:val="0"/>
              <w:widowControl/>
              <w:suppressLineNumbers w:val="0"/>
              <w:kinsoku/>
              <w:wordWrap/>
              <w:overflowPunct w:val="0"/>
              <w:topLinePunct w:val="0"/>
              <w:autoSpaceDE/>
              <w:autoSpaceDN/>
              <w:bidi w:val="0"/>
              <w:adjustRightInd/>
              <w:snapToGrid w:val="0"/>
              <w:ind w:firstLine="0" w:firstLineChars="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德宏州中医医院</w:t>
            </w:r>
          </w:p>
        </w:tc>
        <w:tc>
          <w:tcPr>
            <w:tcW w:w="1002" w:type="pct"/>
            <w:tcBorders>
              <w:tl2br w:val="nil"/>
              <w:tr2bl w:val="nil"/>
            </w:tcBorders>
            <w:shd w:val="clear" w:color="auto" w:fill="auto"/>
            <w:noWrap/>
            <w:vAlign w:val="center"/>
          </w:tcPr>
          <w:p>
            <w:pPr>
              <w:keepNext w:val="0"/>
              <w:keepLines w:val="0"/>
              <w:pageBreakBefore w:val="0"/>
              <w:widowControl/>
              <w:suppressLineNumbers w:val="0"/>
              <w:kinsoku/>
              <w:wordWrap/>
              <w:overflowPunct w:val="0"/>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200</w:t>
            </w:r>
          </w:p>
        </w:tc>
        <w:tc>
          <w:tcPr>
            <w:tcW w:w="1002" w:type="pct"/>
            <w:tcBorders>
              <w:tl2br w:val="nil"/>
              <w:tr2bl w:val="nil"/>
            </w:tcBorders>
            <w:shd w:val="clear" w:color="auto" w:fill="auto"/>
            <w:noWrap/>
            <w:vAlign w:val="center"/>
          </w:tcPr>
          <w:p>
            <w:pPr>
              <w:keepNext w:val="0"/>
              <w:keepLines w:val="0"/>
              <w:pageBreakBefore w:val="0"/>
              <w:widowControl/>
              <w:suppressLineNumbers w:val="0"/>
              <w:kinsoku/>
              <w:wordWrap/>
              <w:overflowPunct w:val="0"/>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200</w:t>
            </w:r>
          </w:p>
        </w:tc>
        <w:tc>
          <w:tcPr>
            <w:tcW w:w="1003" w:type="pct"/>
            <w:tcBorders>
              <w:tl2br w:val="nil"/>
              <w:tr2bl w:val="nil"/>
            </w:tcBorders>
            <w:shd w:val="clear" w:color="auto" w:fill="auto"/>
            <w:noWrap/>
            <w:vAlign w:val="center"/>
          </w:tcPr>
          <w:p>
            <w:pPr>
              <w:keepNext w:val="0"/>
              <w:keepLines w:val="0"/>
              <w:pageBreakBefore w:val="0"/>
              <w:widowControl/>
              <w:suppressLineNumbers w:val="0"/>
              <w:kinsoku/>
              <w:wordWrap/>
              <w:overflowPunct w:val="0"/>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01" w:hRule="atLeast"/>
          <w:jc w:val="center"/>
        </w:trPr>
        <w:tc>
          <w:tcPr>
            <w:tcW w:w="1991" w:type="pct"/>
            <w:tcBorders>
              <w:tl2br w:val="nil"/>
              <w:tr2bl w:val="nil"/>
            </w:tcBorders>
            <w:shd w:val="clear" w:color="auto" w:fill="auto"/>
            <w:noWrap/>
            <w:vAlign w:val="center"/>
          </w:tcPr>
          <w:p>
            <w:pPr>
              <w:keepNext w:val="0"/>
              <w:keepLines w:val="0"/>
              <w:pageBreakBefore w:val="0"/>
              <w:widowControl/>
              <w:suppressLineNumbers w:val="0"/>
              <w:kinsoku/>
              <w:wordWrap/>
              <w:overflowPunct w:val="0"/>
              <w:topLinePunct w:val="0"/>
              <w:autoSpaceDE/>
              <w:autoSpaceDN/>
              <w:bidi w:val="0"/>
              <w:adjustRightInd/>
              <w:snapToGrid w:val="0"/>
              <w:ind w:firstLine="0" w:firstLineChars="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德宏州疾病预防控制中心</w:t>
            </w:r>
          </w:p>
        </w:tc>
        <w:tc>
          <w:tcPr>
            <w:tcW w:w="1002" w:type="pct"/>
            <w:tcBorders>
              <w:tl2br w:val="nil"/>
              <w:tr2bl w:val="nil"/>
            </w:tcBorders>
            <w:shd w:val="clear" w:color="auto" w:fill="auto"/>
            <w:noWrap/>
            <w:vAlign w:val="center"/>
          </w:tcPr>
          <w:p>
            <w:pPr>
              <w:keepNext w:val="0"/>
              <w:keepLines w:val="0"/>
              <w:pageBreakBefore w:val="0"/>
              <w:widowControl/>
              <w:suppressLineNumbers w:val="0"/>
              <w:kinsoku/>
              <w:wordWrap/>
              <w:overflowPunct w:val="0"/>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183.11</w:t>
            </w:r>
          </w:p>
        </w:tc>
        <w:tc>
          <w:tcPr>
            <w:tcW w:w="1002" w:type="pct"/>
            <w:tcBorders>
              <w:tl2br w:val="nil"/>
              <w:tr2bl w:val="nil"/>
            </w:tcBorders>
            <w:shd w:val="clear" w:color="auto" w:fill="auto"/>
            <w:noWrap/>
            <w:vAlign w:val="center"/>
          </w:tcPr>
          <w:p>
            <w:pPr>
              <w:keepNext w:val="0"/>
              <w:keepLines w:val="0"/>
              <w:pageBreakBefore w:val="0"/>
              <w:widowControl/>
              <w:suppressLineNumbers w:val="0"/>
              <w:kinsoku/>
              <w:wordWrap/>
              <w:overflowPunct w:val="0"/>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55</w:t>
            </w:r>
          </w:p>
        </w:tc>
        <w:tc>
          <w:tcPr>
            <w:tcW w:w="1003" w:type="pct"/>
            <w:tcBorders>
              <w:tl2br w:val="nil"/>
              <w:tr2bl w:val="nil"/>
            </w:tcBorders>
            <w:shd w:val="clear" w:color="auto" w:fill="auto"/>
            <w:noWrap/>
            <w:vAlign w:val="center"/>
          </w:tcPr>
          <w:p>
            <w:pPr>
              <w:keepNext w:val="0"/>
              <w:keepLines w:val="0"/>
              <w:pageBreakBefore w:val="0"/>
              <w:widowControl/>
              <w:suppressLineNumbers w:val="0"/>
              <w:kinsoku/>
              <w:wordWrap/>
              <w:overflowPunct w:val="0"/>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401" w:hRule="atLeast"/>
          <w:jc w:val="center"/>
        </w:trPr>
        <w:tc>
          <w:tcPr>
            <w:tcW w:w="1991" w:type="pct"/>
            <w:tcBorders>
              <w:tl2br w:val="nil"/>
              <w:tr2bl w:val="nil"/>
            </w:tcBorders>
            <w:shd w:val="clear" w:color="auto" w:fill="auto"/>
            <w:noWrap/>
            <w:vAlign w:val="center"/>
          </w:tcPr>
          <w:p>
            <w:pPr>
              <w:keepNext w:val="0"/>
              <w:keepLines w:val="0"/>
              <w:pageBreakBefore w:val="0"/>
              <w:widowControl/>
              <w:suppressLineNumbers w:val="0"/>
              <w:kinsoku/>
              <w:wordWrap/>
              <w:overflowPunct w:val="0"/>
              <w:topLinePunct w:val="0"/>
              <w:autoSpaceDE/>
              <w:autoSpaceDN/>
              <w:bidi w:val="0"/>
              <w:adjustRightInd/>
              <w:snapToGrid w:val="0"/>
              <w:ind w:firstLine="0" w:firstLineChars="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德宏州妇幼保健院</w:t>
            </w:r>
          </w:p>
        </w:tc>
        <w:tc>
          <w:tcPr>
            <w:tcW w:w="1002" w:type="pct"/>
            <w:tcBorders>
              <w:tl2br w:val="nil"/>
              <w:tr2bl w:val="nil"/>
            </w:tcBorders>
            <w:shd w:val="clear" w:color="auto" w:fill="auto"/>
            <w:noWrap/>
            <w:vAlign w:val="center"/>
          </w:tcPr>
          <w:p>
            <w:pPr>
              <w:keepNext w:val="0"/>
              <w:keepLines w:val="0"/>
              <w:pageBreakBefore w:val="0"/>
              <w:widowControl/>
              <w:suppressLineNumbers w:val="0"/>
              <w:kinsoku/>
              <w:wordWrap/>
              <w:overflowPunct w:val="0"/>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160</w:t>
            </w:r>
          </w:p>
        </w:tc>
        <w:tc>
          <w:tcPr>
            <w:tcW w:w="1002" w:type="pct"/>
            <w:tcBorders>
              <w:tl2br w:val="nil"/>
              <w:tr2bl w:val="nil"/>
            </w:tcBorders>
            <w:shd w:val="clear" w:color="auto" w:fill="auto"/>
            <w:noWrap/>
            <w:vAlign w:val="center"/>
          </w:tcPr>
          <w:p>
            <w:pPr>
              <w:keepNext w:val="0"/>
              <w:keepLines w:val="0"/>
              <w:pageBreakBefore w:val="0"/>
              <w:widowControl/>
              <w:suppressLineNumbers w:val="0"/>
              <w:kinsoku/>
              <w:wordWrap/>
              <w:overflowPunct w:val="0"/>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160</w:t>
            </w:r>
          </w:p>
        </w:tc>
        <w:tc>
          <w:tcPr>
            <w:tcW w:w="1003" w:type="pct"/>
            <w:tcBorders>
              <w:tl2br w:val="nil"/>
              <w:tr2bl w:val="nil"/>
            </w:tcBorders>
            <w:shd w:val="clear" w:color="auto" w:fill="auto"/>
            <w:noWrap/>
            <w:vAlign w:val="center"/>
          </w:tcPr>
          <w:p>
            <w:pPr>
              <w:keepNext w:val="0"/>
              <w:keepLines w:val="0"/>
              <w:pageBreakBefore w:val="0"/>
              <w:widowControl/>
              <w:suppressLineNumbers w:val="0"/>
              <w:kinsoku/>
              <w:wordWrap/>
              <w:overflowPunct w:val="0"/>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01" w:hRule="atLeast"/>
          <w:jc w:val="center"/>
        </w:trPr>
        <w:tc>
          <w:tcPr>
            <w:tcW w:w="1991" w:type="pct"/>
            <w:tcBorders>
              <w:tl2br w:val="nil"/>
              <w:tr2bl w:val="nil"/>
            </w:tcBorders>
            <w:shd w:val="clear" w:color="auto" w:fill="auto"/>
            <w:noWrap/>
            <w:vAlign w:val="center"/>
          </w:tcPr>
          <w:p>
            <w:pPr>
              <w:keepNext w:val="0"/>
              <w:keepLines w:val="0"/>
              <w:pageBreakBefore w:val="0"/>
              <w:widowControl/>
              <w:suppressLineNumbers w:val="0"/>
              <w:kinsoku/>
              <w:wordWrap/>
              <w:overflowPunct w:val="0"/>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州直小计</w:t>
            </w:r>
          </w:p>
        </w:tc>
        <w:tc>
          <w:tcPr>
            <w:tcW w:w="1002" w:type="pct"/>
            <w:tcBorders>
              <w:tl2br w:val="nil"/>
              <w:tr2bl w:val="nil"/>
            </w:tcBorders>
            <w:shd w:val="clear" w:color="auto" w:fill="auto"/>
            <w:noWrap/>
            <w:vAlign w:val="center"/>
          </w:tcPr>
          <w:p>
            <w:pPr>
              <w:keepNext w:val="0"/>
              <w:keepLines w:val="0"/>
              <w:pageBreakBefore w:val="0"/>
              <w:widowControl/>
              <w:suppressLineNumbers w:val="0"/>
              <w:kinsoku/>
              <w:wordWrap/>
              <w:overflowPunct w:val="0"/>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2033.63</w:t>
            </w:r>
          </w:p>
        </w:tc>
        <w:tc>
          <w:tcPr>
            <w:tcW w:w="1002" w:type="pct"/>
            <w:tcBorders>
              <w:tl2br w:val="nil"/>
              <w:tr2bl w:val="nil"/>
            </w:tcBorders>
            <w:shd w:val="clear" w:color="auto" w:fill="auto"/>
            <w:noWrap/>
            <w:vAlign w:val="center"/>
          </w:tcPr>
          <w:p>
            <w:pPr>
              <w:keepNext w:val="0"/>
              <w:keepLines w:val="0"/>
              <w:pageBreakBefore w:val="0"/>
              <w:widowControl/>
              <w:suppressLineNumbers w:val="0"/>
              <w:kinsoku/>
              <w:wordWrap/>
              <w:overflowPunct w:val="0"/>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1749.12</w:t>
            </w:r>
          </w:p>
        </w:tc>
        <w:tc>
          <w:tcPr>
            <w:tcW w:w="1003" w:type="pct"/>
            <w:tcBorders>
              <w:tl2br w:val="nil"/>
              <w:tr2bl w:val="nil"/>
            </w:tcBorders>
            <w:shd w:val="clear" w:color="auto" w:fill="auto"/>
            <w:noWrap/>
            <w:vAlign w:val="center"/>
          </w:tcPr>
          <w:p>
            <w:pPr>
              <w:keepNext w:val="0"/>
              <w:keepLines w:val="0"/>
              <w:pageBreakBefore w:val="0"/>
              <w:widowControl/>
              <w:suppressLineNumbers w:val="0"/>
              <w:kinsoku/>
              <w:wordWrap/>
              <w:overflowPunct w:val="0"/>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86.01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426" w:hRule="atLeast"/>
          <w:jc w:val="center"/>
        </w:trPr>
        <w:tc>
          <w:tcPr>
            <w:tcW w:w="1991" w:type="pct"/>
            <w:tcBorders>
              <w:tl2br w:val="nil"/>
              <w:tr2bl w:val="nil"/>
            </w:tcBorders>
            <w:shd w:val="clear" w:color="auto" w:fill="auto"/>
            <w:noWrap/>
            <w:vAlign w:val="center"/>
          </w:tcPr>
          <w:p>
            <w:pPr>
              <w:keepNext w:val="0"/>
              <w:keepLines w:val="0"/>
              <w:pageBreakBefore w:val="0"/>
              <w:widowControl/>
              <w:suppressLineNumbers w:val="0"/>
              <w:kinsoku/>
              <w:wordWrap/>
              <w:overflowPunct w:val="0"/>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合计</w:t>
            </w:r>
          </w:p>
        </w:tc>
        <w:tc>
          <w:tcPr>
            <w:tcW w:w="1002" w:type="pct"/>
            <w:tcBorders>
              <w:tl2br w:val="nil"/>
              <w:tr2bl w:val="nil"/>
            </w:tcBorders>
            <w:shd w:val="clear" w:color="auto" w:fill="auto"/>
            <w:noWrap/>
            <w:vAlign w:val="center"/>
          </w:tcPr>
          <w:p>
            <w:pPr>
              <w:keepNext w:val="0"/>
              <w:keepLines w:val="0"/>
              <w:pageBreakBefore w:val="0"/>
              <w:widowControl/>
              <w:suppressLineNumbers w:val="0"/>
              <w:kinsoku/>
              <w:wordWrap/>
              <w:overflowPunct w:val="0"/>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4193.76</w:t>
            </w:r>
          </w:p>
        </w:tc>
        <w:tc>
          <w:tcPr>
            <w:tcW w:w="1002" w:type="pct"/>
            <w:tcBorders>
              <w:tl2br w:val="nil"/>
              <w:tr2bl w:val="nil"/>
            </w:tcBorders>
            <w:shd w:val="clear" w:color="auto" w:fill="auto"/>
            <w:noWrap/>
            <w:vAlign w:val="center"/>
          </w:tcPr>
          <w:p>
            <w:pPr>
              <w:keepNext w:val="0"/>
              <w:keepLines w:val="0"/>
              <w:pageBreakBefore w:val="0"/>
              <w:widowControl/>
              <w:suppressLineNumbers w:val="0"/>
              <w:kinsoku/>
              <w:wordWrap/>
              <w:overflowPunct w:val="0"/>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2342.13</w:t>
            </w:r>
          </w:p>
        </w:tc>
        <w:tc>
          <w:tcPr>
            <w:tcW w:w="1003" w:type="pct"/>
            <w:tcBorders>
              <w:tl2br w:val="nil"/>
              <w:tr2bl w:val="nil"/>
            </w:tcBorders>
            <w:shd w:val="clear" w:color="auto" w:fill="auto"/>
            <w:noWrap/>
            <w:vAlign w:val="center"/>
          </w:tcPr>
          <w:p>
            <w:pPr>
              <w:keepNext w:val="0"/>
              <w:keepLines w:val="0"/>
              <w:pageBreakBefore w:val="0"/>
              <w:widowControl/>
              <w:suppressLineNumbers w:val="0"/>
              <w:kinsoku/>
              <w:wordWrap/>
              <w:overflowPunct w:val="0"/>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55.85</w:t>
            </w:r>
          </w:p>
        </w:tc>
      </w:tr>
    </w:tbl>
    <w:p>
      <w:pPr>
        <w:bidi w:val="0"/>
        <w:rPr>
          <w:rFonts w:hint="eastAsia"/>
          <w:lang w:eastAsia="zh-CN"/>
        </w:rPr>
      </w:pPr>
    </w:p>
    <w:p>
      <w:pPr>
        <w:pStyle w:val="4"/>
        <w:keepNext/>
        <w:keepLines w:val="0"/>
        <w:pageBreakBefore w:val="0"/>
        <w:widowControl w:val="0"/>
        <w:kinsoku/>
        <w:wordWrap/>
        <w:overflowPunct w:val="0"/>
        <w:topLinePunct w:val="0"/>
        <w:autoSpaceDE/>
        <w:autoSpaceDN/>
        <w:bidi w:val="0"/>
        <w:adjustRightInd/>
        <w:snapToGrid/>
        <w:ind w:firstLine="641"/>
        <w:textAlignment w:val="auto"/>
        <w:rPr>
          <w:rFonts w:hint="eastAsia"/>
          <w:b/>
          <w:bCs/>
          <w:lang w:eastAsia="zh-CN"/>
        </w:rPr>
      </w:pPr>
      <w:r>
        <w:rPr>
          <w:rFonts w:hint="eastAsia"/>
          <w:b/>
          <w:bCs/>
          <w:lang w:eastAsia="zh-CN"/>
        </w:rPr>
        <w:t>资金管理</w:t>
      </w:r>
    </w:p>
    <w:p>
      <w:pPr>
        <w:bidi w:val="0"/>
        <w:rPr>
          <w:rFonts w:hint="eastAsia"/>
          <w:b w:val="0"/>
          <w:bCs w:val="0"/>
          <w:lang w:eastAsia="zh-CN"/>
        </w:rPr>
      </w:pPr>
      <w:r>
        <w:rPr>
          <w:rFonts w:hint="eastAsia"/>
          <w:b w:val="0"/>
          <w:bCs w:val="0"/>
          <w:lang w:eastAsia="zh-CN"/>
        </w:rPr>
        <w:t>资金分配始终坚持集体研究，科学决策。州卫生健康委严格执行</w:t>
      </w:r>
      <w:r>
        <w:rPr>
          <w:rFonts w:hint="eastAsia" w:ascii="方正仿宋_GBK" w:hAnsi="方正仿宋_GBK" w:eastAsia="方正仿宋_GBK" w:cs="方正仿宋_GBK"/>
          <w:b w:val="0"/>
          <w:bCs w:val="0"/>
          <w:lang w:eastAsia="zh-CN"/>
        </w:rPr>
        <w:t>“</w:t>
      </w:r>
      <w:r>
        <w:rPr>
          <w:rFonts w:hint="eastAsia"/>
          <w:b w:val="0"/>
          <w:bCs w:val="0"/>
          <w:lang w:eastAsia="zh-CN"/>
        </w:rPr>
        <w:t>三重一大</w:t>
      </w:r>
      <w:r>
        <w:rPr>
          <w:rFonts w:hint="eastAsia" w:ascii="方正仿宋_GBK" w:hAnsi="方正仿宋_GBK" w:eastAsia="方正仿宋_GBK" w:cs="方正仿宋_GBK"/>
          <w:b w:val="0"/>
          <w:bCs w:val="0"/>
          <w:lang w:eastAsia="zh-CN"/>
        </w:rPr>
        <w:t>”</w:t>
      </w:r>
      <w:r>
        <w:rPr>
          <w:rFonts w:hint="eastAsia"/>
          <w:b w:val="0"/>
          <w:bCs w:val="0"/>
          <w:lang w:eastAsia="zh-CN"/>
        </w:rPr>
        <w:t>议事制度，在重大资金安排方面始终坚持集体研究、科学决策，项目资金按程序提交班子会议、党组会议研究，报州政府分管领导批准后安排下达。在资金分配上坚持目标导向，按照</w:t>
      </w:r>
      <w:r>
        <w:rPr>
          <w:rFonts w:hint="eastAsia" w:ascii="方正仿宋_GBK" w:hAnsi="方正仿宋_GBK" w:eastAsia="方正仿宋_GBK" w:cs="方正仿宋_GBK"/>
          <w:b w:val="0"/>
          <w:bCs w:val="0"/>
          <w:lang w:eastAsia="zh-CN"/>
        </w:rPr>
        <w:t>“</w:t>
      </w:r>
      <w:r>
        <w:rPr>
          <w:rFonts w:hint="eastAsia"/>
          <w:b w:val="0"/>
          <w:bCs w:val="0"/>
          <w:lang w:eastAsia="zh-CN"/>
        </w:rPr>
        <w:t>钱随事走</w:t>
      </w:r>
      <w:r>
        <w:rPr>
          <w:rFonts w:hint="eastAsia" w:ascii="方正仿宋_GBK" w:hAnsi="方正仿宋_GBK" w:eastAsia="方正仿宋_GBK" w:cs="方正仿宋_GBK"/>
          <w:b w:val="0"/>
          <w:bCs w:val="0"/>
          <w:lang w:eastAsia="zh-CN"/>
        </w:rPr>
        <w:t>”</w:t>
      </w:r>
      <w:r>
        <w:rPr>
          <w:rFonts w:hint="eastAsia"/>
          <w:b w:val="0"/>
          <w:bCs w:val="0"/>
          <w:lang w:eastAsia="zh-CN"/>
        </w:rPr>
        <w:t>原则，根据工作任务、补助标准、绩效目标等要素安排下达。</w:t>
      </w:r>
    </w:p>
    <w:p>
      <w:pPr>
        <w:bidi w:val="0"/>
        <w:rPr>
          <w:rFonts w:hint="eastAsia"/>
          <w:b w:val="0"/>
          <w:bCs w:val="0"/>
          <w:lang w:eastAsia="zh-CN"/>
        </w:rPr>
      </w:pPr>
      <w:r>
        <w:rPr>
          <w:rFonts w:hint="eastAsia"/>
          <w:b w:val="0"/>
          <w:bCs w:val="0"/>
          <w:lang w:eastAsia="zh-CN"/>
        </w:rPr>
        <w:t>资金使用始终坚持专款专用，注重实效。一是规范管理，专款专用。经费管理主要按照《云南省基本公共卫生服务项目补助资金管理办法实施细则》（云财社〔2023〕36号）和定额标准执行，年度资金以当年目标要求管理使用。项目实施单位设有项目辅助账，对各项目资金进行独立核算，专款专用；二是加强监管，确保实效。业务科室定期、不定期深入县市、乡镇对工作开展情况进行督查指导，对重点专项资金执行进度实行月通报制度，对工作进度缓慢、措施不力的县市和单位及时进行通报，督促整改，追踪问效，确保工作落到实处。三是强化评价，提高效益。认真贯彻落实全面实施预算绩效管理要求，建立财政资金绩效评价机制，定期开展年度专项资金绩效自评工作，并在门户网站公开相关报告，广泛接受社会监督，有力促进了基层财务管理工作，确保专项资金使用效益。</w:t>
      </w:r>
    </w:p>
    <w:p>
      <w:pPr>
        <w:pStyle w:val="3"/>
        <w:bidi w:val="0"/>
        <w:rPr>
          <w:rFonts w:hint="eastAsia"/>
          <w:lang w:eastAsia="zh-CN"/>
        </w:rPr>
      </w:pPr>
      <w:r>
        <w:rPr>
          <w:rFonts w:hint="eastAsia"/>
          <w:lang w:eastAsia="zh-CN"/>
        </w:rPr>
        <w:t>总体目标完成情况分析</w:t>
      </w:r>
    </w:p>
    <w:p>
      <w:pPr>
        <w:bidi w:val="0"/>
        <w:rPr>
          <w:rFonts w:hint="default"/>
          <w:lang w:val="en-US" w:eastAsia="zh-CN"/>
        </w:rPr>
      </w:pPr>
      <w:r>
        <w:rPr>
          <w:rFonts w:hint="eastAsia"/>
          <w:lang w:eastAsia="zh-CN"/>
        </w:rPr>
        <w:t>德宏州严格按照项目实施方案组织实施</w:t>
      </w:r>
      <w:r>
        <w:rPr>
          <w:rFonts w:hint="eastAsia"/>
          <w:lang w:val="en-US" w:eastAsia="zh-CN"/>
        </w:rPr>
        <w:t>，项目管理、任务目标、项目效益基本达到要求，基层医疗服务与保障能力得到全面提升和加强，基层群众满意度高，总体绩效目标基本实现。</w:t>
      </w:r>
    </w:p>
    <w:p>
      <w:pPr>
        <w:bidi w:val="0"/>
        <w:rPr>
          <w:rFonts w:hint="eastAsia"/>
          <w:lang w:eastAsia="zh-CN"/>
        </w:rPr>
      </w:pPr>
      <w:r>
        <w:rPr>
          <w:rFonts w:hint="eastAsia"/>
          <w:lang w:eastAsia="zh-CN"/>
        </w:rPr>
        <w:t>1．医疗机构短板项目服务能力得到进一步提升。2023年德宏州贯彻落实党中央、国务院深化医改的决策部署，坚持以人民健康为中心，高效抓好疫情防控工作，持续深化公立医院综合改革，建立健全现代医院管理制度，协同推进医疗价格、人事薪酬、药品流通、医保支付改革，在补短板强弱项、建机制抓落实上下狠功夫。项目资金主要用于医疗机构设备购置和重点科室建设，医疗机构短板项目服务能力得到进一步提升。</w:t>
      </w:r>
    </w:p>
    <w:p>
      <w:pPr>
        <w:bidi w:val="0"/>
        <w:rPr>
          <w:rFonts w:hint="eastAsia"/>
          <w:lang w:eastAsia="zh-CN"/>
        </w:rPr>
      </w:pPr>
      <w:r>
        <w:rPr>
          <w:rFonts w:hint="eastAsia"/>
          <w:lang w:val="en-US" w:eastAsia="zh-CN"/>
        </w:rPr>
        <w:t>2</w:t>
      </w:r>
      <w:r>
        <w:rPr>
          <w:rFonts w:hint="eastAsia"/>
          <w:lang w:eastAsia="zh-CN"/>
        </w:rPr>
        <w:t>．基层中医药服务能力持续提升。</w:t>
      </w:r>
      <w:r>
        <w:rPr>
          <w:rFonts w:hint="eastAsia"/>
        </w:rPr>
        <w:t>瑞丽市</w:t>
      </w:r>
      <w:r>
        <w:rPr>
          <w:rFonts w:hint="eastAsia"/>
          <w:lang w:eastAsia="zh-CN"/>
        </w:rPr>
        <w:t>中医傣医</w:t>
      </w:r>
      <w:r>
        <w:rPr>
          <w:rFonts w:hint="eastAsia"/>
        </w:rPr>
        <w:t>医院</w:t>
      </w:r>
      <w:r>
        <w:rPr>
          <w:rFonts w:hint="eastAsia"/>
          <w:lang w:eastAsia="zh-CN"/>
        </w:rPr>
        <w:t>年内完成新建肛肠科、皮肤科门诊和肛肠科住院部，建成一个县级中医药适宜技术推广中心，完成人才培养14人，推广适宜技术15项，达到项目预期目标。</w:t>
      </w:r>
    </w:p>
    <w:p>
      <w:pPr>
        <w:bidi w:val="0"/>
        <w:rPr>
          <w:rFonts w:hint="eastAsia"/>
          <w:lang w:eastAsia="zh-CN"/>
        </w:rPr>
      </w:pPr>
      <w:r>
        <w:rPr>
          <w:rFonts w:hint="eastAsia"/>
          <w:lang w:eastAsia="zh-CN"/>
        </w:rPr>
        <w:t>3．助理全科医生培训、紧缺人才培训（全科医师转岗培训）、县乡村卫生人才能力提升培训等各项培训工作顺利实施，基层服务能力进一步提升。全年完成全科医生培训</w:t>
      </w:r>
      <w:r>
        <w:rPr>
          <w:rFonts w:hint="eastAsia"/>
          <w:lang w:val="en-US" w:eastAsia="zh-CN"/>
        </w:rPr>
        <w:t>51人，全科医师转岗培训2人，乡镇卫生院和社区卫生服务中心骨干全科医生培训4人，乡村医生培训20人，乡镇卫生院和社区卫生服务中心骨干人员培训5人</w:t>
      </w:r>
      <w:r>
        <w:rPr>
          <w:rFonts w:hint="eastAsia"/>
          <w:lang w:eastAsia="zh-CN"/>
        </w:rPr>
        <w:t>；万名医师支援县医院，由德宏州人民医院支援芒市人民医院，派出</w:t>
      </w:r>
      <w:r>
        <w:rPr>
          <w:rFonts w:hint="eastAsia"/>
          <w:lang w:val="en-US" w:eastAsia="zh-CN"/>
        </w:rPr>
        <w:t>8</w:t>
      </w:r>
      <w:r>
        <w:rPr>
          <w:rFonts w:hint="eastAsia"/>
          <w:lang w:eastAsia="zh-CN"/>
        </w:rPr>
        <w:t>人驻院帮扶，为芒市人民医院开展新技术共</w:t>
      </w:r>
      <w:r>
        <w:rPr>
          <w:rFonts w:hint="eastAsia"/>
          <w:lang w:val="en-US" w:eastAsia="zh-CN"/>
        </w:rPr>
        <w:t>12</w:t>
      </w:r>
      <w:r>
        <w:rPr>
          <w:rFonts w:hint="eastAsia"/>
          <w:lang w:eastAsia="zh-CN"/>
        </w:rPr>
        <w:t>项；传染病</w:t>
      </w:r>
      <w:r>
        <w:rPr>
          <w:rFonts w:hint="eastAsia"/>
        </w:rPr>
        <w:t>监测预警队伍建设和人才培养</w:t>
      </w:r>
      <w:r>
        <w:rPr>
          <w:rFonts w:hint="eastAsia"/>
          <w:lang w:eastAsia="zh-CN"/>
        </w:rPr>
        <w:t>正在组织实施中，计划</w:t>
      </w:r>
      <w:r>
        <w:rPr>
          <w:rFonts w:hint="eastAsia"/>
        </w:rPr>
        <w:t>州级遴选业务骨干2名到省疾控中心进行为期6个月的培训，县（市）级遴选监测预警业务人员21人到州疾控中心进行7天培训</w:t>
      </w:r>
      <w:r>
        <w:rPr>
          <w:rFonts w:hint="eastAsia"/>
          <w:lang w:eastAsia="zh-CN"/>
        </w:rPr>
        <w:t>。</w:t>
      </w:r>
    </w:p>
    <w:p>
      <w:pPr>
        <w:bidi w:val="0"/>
        <w:rPr>
          <w:rFonts w:hint="eastAsia"/>
          <w:lang w:eastAsia="zh-CN"/>
        </w:rPr>
      </w:pPr>
      <w:r>
        <w:rPr>
          <w:rFonts w:hint="eastAsia"/>
          <w:lang w:eastAsia="zh-CN"/>
        </w:rPr>
        <w:t>4．完成芒市、梁河、盈江、陇川共4家脱贫县县级公立医院开展能力建设，主要开展重点专科和信息化设备购置。其中，芒市人民医院用于</w:t>
      </w:r>
      <w:r>
        <w:rPr>
          <w:rFonts w:hint="eastAsia"/>
        </w:rPr>
        <w:t>临床营养科</w:t>
      </w:r>
      <w:r>
        <w:rPr>
          <w:rFonts w:hint="eastAsia"/>
          <w:lang w:eastAsia="zh-CN"/>
        </w:rPr>
        <w:t>建设，梁河县人民医院用于骨科、心内科、康复医学科建设，盈江县人民医院用于医共体信息化建设，陇川县人民医院用于影像科、职业病体检科建设。县医院受支持专科门诊数量、手术数量较上年分别提高</w:t>
      </w:r>
      <w:r>
        <w:rPr>
          <w:rFonts w:hint="eastAsia"/>
          <w:lang w:val="en-US" w:eastAsia="zh-CN"/>
        </w:rPr>
        <w:t>9%、11.43%</w:t>
      </w:r>
      <w:r>
        <w:rPr>
          <w:rFonts w:hint="eastAsia"/>
          <w:lang w:eastAsia="zh-CN"/>
        </w:rPr>
        <w:t>；支持</w:t>
      </w:r>
      <w:r>
        <w:rPr>
          <w:rFonts w:hint="eastAsia"/>
          <w:lang w:val="en-US" w:eastAsia="zh-CN"/>
        </w:rPr>
        <w:t>11</w:t>
      </w:r>
      <w:r>
        <w:rPr>
          <w:rFonts w:hint="eastAsia"/>
          <w:lang w:eastAsia="zh-CN"/>
        </w:rPr>
        <w:t>家基层医疗卫生机构（社区卫生服务中心和乡镇卫生院）服务能力提升建设，主要用于专用设备及附属设施改造建设等。全州累计45家基层医疗卫生机构服务能力达到国家基本标准及以上，占比达到</w:t>
      </w:r>
      <w:r>
        <w:rPr>
          <w:rFonts w:hint="eastAsia"/>
          <w:lang w:val="en-US" w:eastAsia="zh-CN"/>
        </w:rPr>
        <w:t>83.33%</w:t>
      </w:r>
      <w:r>
        <w:rPr>
          <w:rFonts w:hint="eastAsia"/>
          <w:lang w:eastAsia="zh-CN"/>
        </w:rPr>
        <w:t>。</w:t>
      </w:r>
    </w:p>
    <w:p>
      <w:pPr>
        <w:bidi w:val="0"/>
        <w:rPr>
          <w:rFonts w:hint="eastAsia"/>
          <w:lang w:eastAsia="zh-CN"/>
        </w:rPr>
      </w:pPr>
      <w:r>
        <w:rPr>
          <w:rFonts w:hint="eastAsia"/>
          <w:lang w:val="en-US" w:eastAsia="zh-CN"/>
        </w:rPr>
        <w:t>5</w:t>
      </w:r>
      <w:r>
        <w:rPr>
          <w:rFonts w:hint="eastAsia"/>
          <w:lang w:eastAsia="zh-CN"/>
        </w:rPr>
        <w:t>．</w:t>
      </w:r>
      <w:r>
        <w:rPr>
          <w:rFonts w:hint="eastAsia"/>
          <w:b/>
          <w:bCs/>
          <w:lang w:eastAsia="zh-CN"/>
        </w:rPr>
        <w:t>疾病预防控制中心能力建设项目</w:t>
      </w:r>
      <w:r>
        <w:rPr>
          <w:rFonts w:hint="eastAsia"/>
          <w:lang w:eastAsia="zh-CN"/>
        </w:rPr>
        <w:t>覆盖德宏州疾病预防控制中心和</w:t>
      </w:r>
      <w:r>
        <w:rPr>
          <w:rFonts w:hint="eastAsia"/>
          <w:lang w:val="en-US" w:eastAsia="zh-CN"/>
        </w:rPr>
        <w:t>5县市疾控中心</w:t>
      </w:r>
      <w:r>
        <w:rPr>
          <w:rFonts w:hint="eastAsia"/>
          <w:lang w:eastAsia="zh-CN"/>
        </w:rPr>
        <w:t>，项目支持</w:t>
      </w:r>
      <w:r>
        <w:rPr>
          <w:rFonts w:hint="eastAsia"/>
        </w:rPr>
        <w:t>传染病预警机应急指挥能力提升</w:t>
      </w:r>
      <w:r>
        <w:rPr>
          <w:rFonts w:hint="eastAsia"/>
          <w:lang w:eastAsia="zh-CN"/>
        </w:rPr>
        <w:t>。目前全州</w:t>
      </w:r>
      <w:r>
        <w:rPr>
          <w:rFonts w:hint="eastAsia"/>
        </w:rPr>
        <w:t>已建立11支卫生应急队伍，其中州级应急队伍6支共219人，各县市均建成30人以上的卫生应急队。</w:t>
      </w:r>
      <w:r>
        <w:rPr>
          <w:rFonts w:hint="eastAsia"/>
          <w:lang w:eastAsia="zh-CN"/>
        </w:rPr>
        <w:t>人员培训、设备及信息系统采购正在实施中；</w:t>
      </w:r>
      <w:r>
        <w:rPr>
          <w:rFonts w:hint="eastAsia"/>
          <w:b/>
          <w:bCs/>
          <w:lang w:eastAsia="zh-CN"/>
        </w:rPr>
        <w:t>县级妇幼保健机构能力建设项目</w:t>
      </w:r>
      <w:r>
        <w:rPr>
          <w:rFonts w:hint="eastAsia"/>
          <w:lang w:eastAsia="zh-CN"/>
        </w:rPr>
        <w:t>覆盖梁河县妇幼保健院，项目县</w:t>
      </w:r>
      <w:r>
        <w:rPr>
          <w:rFonts w:hint="eastAsia"/>
          <w:lang w:val="en-US" w:eastAsia="zh-CN"/>
        </w:rPr>
        <w:t>2023年</w:t>
      </w:r>
      <w:r>
        <w:rPr>
          <w:rFonts w:hint="eastAsia"/>
        </w:rPr>
        <w:t>孕产妇系统管理率达90.09%，住院分娩率达100%，妇幼保健院机构孕产妇系统管理能力及患者满意度均较上年提高</w:t>
      </w:r>
      <w:r>
        <w:rPr>
          <w:rFonts w:hint="eastAsia"/>
          <w:lang w:eastAsia="zh-CN"/>
        </w:rPr>
        <w:t>；</w:t>
      </w:r>
      <w:r>
        <w:rPr>
          <w:rFonts w:hint="eastAsia"/>
          <w:b/>
          <w:bCs/>
        </w:rPr>
        <w:t>卫生监督机构能力建设</w:t>
      </w:r>
      <w:r>
        <w:rPr>
          <w:rFonts w:hint="eastAsia"/>
          <w:b/>
          <w:bCs/>
          <w:lang w:eastAsia="zh-CN"/>
        </w:rPr>
        <w:t>项目</w:t>
      </w:r>
      <w:r>
        <w:rPr>
          <w:rFonts w:hint="eastAsia"/>
          <w:lang w:eastAsia="zh-CN"/>
        </w:rPr>
        <w:t>覆盖德宏州疾病预防控制中心、芒市疾控中心，项目正在实施中。</w:t>
      </w:r>
    </w:p>
    <w:p>
      <w:pPr>
        <w:bidi w:val="0"/>
        <w:rPr>
          <w:rFonts w:hint="eastAsia" w:eastAsia="方正仿宋_GBK"/>
          <w:lang w:val="en-US" w:eastAsia="zh-CN"/>
        </w:rPr>
      </w:pPr>
      <w:r>
        <w:rPr>
          <w:rFonts w:hint="default"/>
          <w:lang w:val="en-US" w:eastAsia="zh-CN"/>
        </w:rPr>
        <w:t>6</w:t>
      </w:r>
      <w:r>
        <w:rPr>
          <w:rFonts w:hint="eastAsia"/>
        </w:rPr>
        <w:t>．职业病防治能力提升</w:t>
      </w:r>
      <w:r>
        <w:rPr>
          <w:rFonts w:hint="eastAsia"/>
          <w:lang w:eastAsia="zh-CN"/>
        </w:rPr>
        <w:t>项目。</w:t>
      </w:r>
      <w:r>
        <w:rPr>
          <w:rFonts w:hint="eastAsia"/>
        </w:rPr>
        <w:t>德宏州疾控中心</w:t>
      </w:r>
      <w:r>
        <w:rPr>
          <w:rFonts w:hint="eastAsia"/>
          <w:lang w:eastAsia="zh-CN"/>
        </w:rPr>
        <w:t>按照</w:t>
      </w:r>
      <w:r>
        <w:rPr>
          <w:rFonts w:hint="eastAsia" w:ascii="方正仿宋_GBK" w:hAnsi="方正仿宋_GBK" w:eastAsia="方正仿宋_GBK" w:cs="方正仿宋_GBK"/>
        </w:rPr>
        <w:t>“</w:t>
      </w:r>
      <w:r>
        <w:rPr>
          <w:rFonts w:hint="eastAsia"/>
        </w:rPr>
        <w:t>填平补齐</w:t>
      </w:r>
      <w:r>
        <w:rPr>
          <w:rFonts w:hint="eastAsia"/>
          <w:lang w:eastAsia="zh-CN"/>
        </w:rPr>
        <w:t>、</w:t>
      </w:r>
      <w:r>
        <w:rPr>
          <w:rFonts w:hint="eastAsia"/>
        </w:rPr>
        <w:t>增强能力</w:t>
      </w:r>
      <w:r>
        <w:rPr>
          <w:rFonts w:hint="eastAsia" w:ascii="方正仿宋_GBK" w:hAnsi="方正仿宋_GBK" w:eastAsia="方正仿宋_GBK" w:cs="方正仿宋_GBK"/>
        </w:rPr>
        <w:t>”</w:t>
      </w:r>
      <w:r>
        <w:rPr>
          <w:rFonts w:hint="eastAsia"/>
        </w:rPr>
        <w:t>的原则，通过公开招标，</w:t>
      </w:r>
      <w:r>
        <w:rPr>
          <w:rFonts w:hint="eastAsia"/>
          <w:lang w:eastAsia="zh-CN"/>
        </w:rPr>
        <w:t>采购配置</w:t>
      </w:r>
      <w:r>
        <w:rPr>
          <w:rFonts w:hint="eastAsia"/>
        </w:rPr>
        <w:t>CT性能检测设备、牙科机性能检测设备、DSA性能检测设备、乳腺X射线摄影性能检测设备、</w:t>
      </w:r>
      <w:r>
        <w:rPr>
          <w:rFonts w:hint="default" w:ascii="Times New Roman" w:hAnsi="Times New Roman" w:cs="Times New Roman"/>
        </w:rPr>
        <w:t>Χ</w:t>
      </w:r>
      <w:r>
        <w:rPr>
          <w:rFonts w:hint="eastAsia"/>
          <w:lang w:val="en-US" w:eastAsia="zh-CN"/>
        </w:rPr>
        <w:t>/</w:t>
      </w:r>
      <w:r>
        <w:rPr>
          <w:rFonts w:hint="eastAsia"/>
        </w:rPr>
        <w:t>γ个人剂量热释光测量系统</w:t>
      </w:r>
      <w:r>
        <w:rPr>
          <w:rFonts w:hint="eastAsia"/>
          <w:lang w:eastAsia="zh-CN"/>
        </w:rPr>
        <w:t>等</w:t>
      </w:r>
      <w:r>
        <w:rPr>
          <w:rFonts w:hint="eastAsia"/>
        </w:rPr>
        <w:t>5类39台</w:t>
      </w:r>
      <w:r>
        <w:rPr>
          <w:rFonts w:hint="eastAsia"/>
          <w:lang w:eastAsia="zh-CN"/>
        </w:rPr>
        <w:t>（套）</w:t>
      </w:r>
      <w:r>
        <w:rPr>
          <w:rFonts w:hint="eastAsia"/>
        </w:rPr>
        <w:t>放射性因素检测仪器设备</w:t>
      </w:r>
      <w:r>
        <w:rPr>
          <w:rFonts w:hint="eastAsia"/>
          <w:lang w:eastAsia="zh-CN"/>
        </w:rPr>
        <w:t>。</w:t>
      </w:r>
    </w:p>
    <w:p>
      <w:pPr>
        <w:bidi w:val="0"/>
        <w:rPr>
          <w:rFonts w:hint="eastAsia"/>
          <w:lang w:val="en-US" w:eastAsia="zh-CN"/>
        </w:rPr>
      </w:pPr>
      <w:r>
        <w:rPr>
          <w:rFonts w:hint="eastAsia"/>
          <w:lang w:val="en-US" w:eastAsia="zh-CN"/>
        </w:rPr>
        <w:t>7</w:t>
      </w:r>
      <w:r>
        <w:rPr>
          <w:rFonts w:hint="eastAsia"/>
        </w:rPr>
        <w:t>．</w:t>
      </w:r>
      <w:r>
        <w:rPr>
          <w:rFonts w:hint="eastAsia"/>
          <w:lang w:val="en-US" w:eastAsia="zh-CN"/>
        </w:rPr>
        <w:t>职业病诊疗康复机构能力提升项目。德宏州人民医院为项目医院，年内共采购相关设备15台（件），</w:t>
      </w:r>
      <w:r>
        <w:rPr>
          <w:rFonts w:hint="eastAsia"/>
        </w:rPr>
        <w:t>其中</w:t>
      </w:r>
      <w:r>
        <w:rPr>
          <w:rFonts w:hint="eastAsia"/>
          <w:lang w:eastAsia="zh-CN"/>
        </w:rPr>
        <w:t>：</w:t>
      </w:r>
      <w:r>
        <w:rPr>
          <w:rFonts w:hint="eastAsia"/>
        </w:rPr>
        <w:t>康复设备4台（件）</w:t>
      </w:r>
      <w:r>
        <w:rPr>
          <w:rFonts w:hint="eastAsia"/>
          <w:lang w:eastAsia="zh-CN"/>
        </w:rPr>
        <w:t>、</w:t>
      </w:r>
      <w:r>
        <w:rPr>
          <w:rFonts w:hint="eastAsia"/>
        </w:rPr>
        <w:t>检验设备2台（件）</w:t>
      </w:r>
      <w:r>
        <w:rPr>
          <w:rFonts w:hint="eastAsia"/>
          <w:lang w:eastAsia="zh-CN"/>
        </w:rPr>
        <w:t>、</w:t>
      </w:r>
      <w:r>
        <w:rPr>
          <w:rFonts w:hint="eastAsia"/>
        </w:rPr>
        <w:t>听力设备4台（件）</w:t>
      </w:r>
      <w:r>
        <w:rPr>
          <w:rFonts w:hint="eastAsia"/>
          <w:lang w:eastAsia="zh-CN"/>
        </w:rPr>
        <w:t>、</w:t>
      </w:r>
      <w:r>
        <w:rPr>
          <w:rFonts w:hint="eastAsia"/>
        </w:rPr>
        <w:t>眼科设备3台（件）</w:t>
      </w:r>
      <w:r>
        <w:rPr>
          <w:rFonts w:hint="eastAsia"/>
          <w:lang w:eastAsia="zh-CN"/>
        </w:rPr>
        <w:t>、</w:t>
      </w:r>
      <w:r>
        <w:rPr>
          <w:rFonts w:hint="eastAsia"/>
        </w:rPr>
        <w:t>呼吸诊断设备2台（件）</w:t>
      </w:r>
      <w:r>
        <w:rPr>
          <w:rFonts w:hint="eastAsia"/>
          <w:lang w:eastAsia="zh-CN"/>
        </w:rPr>
        <w:t>；</w:t>
      </w:r>
      <w:r>
        <w:rPr>
          <w:rFonts w:hint="eastAsia"/>
          <w:lang w:val="en-US" w:eastAsia="zh-CN"/>
        </w:rPr>
        <w:t>完成业务骨干培养1人，院内培训70人；组织完成德宏州首例职业病</w:t>
      </w:r>
      <w:r>
        <w:rPr>
          <w:rFonts w:hint="eastAsia" w:ascii="方正仿宋_GBK" w:hAnsi="方正仿宋_GBK" w:eastAsia="方正仿宋_GBK" w:cs="方正仿宋_GBK"/>
          <w:lang w:val="en-US" w:eastAsia="zh-CN"/>
        </w:rPr>
        <w:t>“</w:t>
      </w:r>
      <w:r>
        <w:rPr>
          <w:rFonts w:hint="eastAsia"/>
          <w:lang w:val="en-US" w:eastAsia="zh-CN"/>
        </w:rPr>
        <w:t>尘肺</w:t>
      </w:r>
      <w:r>
        <w:rPr>
          <w:rFonts w:hint="eastAsia" w:ascii="方正仿宋_GBK" w:hAnsi="方正仿宋_GBK" w:eastAsia="方正仿宋_GBK" w:cs="方正仿宋_GBK"/>
          <w:lang w:val="en-US" w:eastAsia="zh-CN"/>
        </w:rPr>
        <w:t>”</w:t>
      </w:r>
      <w:r>
        <w:rPr>
          <w:rFonts w:hint="eastAsia"/>
          <w:lang w:val="en-US" w:eastAsia="zh-CN"/>
        </w:rPr>
        <w:t>的诊断。</w:t>
      </w:r>
      <w:r>
        <w:rPr>
          <w:rFonts w:hint="eastAsia"/>
        </w:rPr>
        <w:t>项目的实施提升了医院的职业病防治能力，为维护人民群众的生命安全和身体健康构建了坚实防线。</w:t>
      </w:r>
    </w:p>
    <w:p>
      <w:pPr>
        <w:bidi w:val="0"/>
        <w:rPr>
          <w:rFonts w:hint="eastAsia"/>
          <w:lang w:eastAsia="zh-CN"/>
        </w:rPr>
      </w:pPr>
      <w:r>
        <w:rPr>
          <w:rFonts w:hint="eastAsia"/>
          <w:lang w:val="en-US" w:eastAsia="zh-CN"/>
        </w:rPr>
        <w:t>8</w:t>
      </w:r>
      <w:r>
        <w:rPr>
          <w:rFonts w:hint="eastAsia"/>
          <w:lang w:eastAsia="zh-CN"/>
        </w:rPr>
        <w:t>．</w:t>
      </w:r>
      <w:r>
        <w:rPr>
          <w:rFonts w:hint="eastAsia"/>
        </w:rPr>
        <w:t>承担疫情重点救治任务医院能力建设</w:t>
      </w:r>
      <w:r>
        <w:rPr>
          <w:rFonts w:hint="eastAsia"/>
          <w:lang w:eastAsia="zh-CN"/>
        </w:rPr>
        <w:t>项目。德宏州人民医院为项目医院，医院</w:t>
      </w:r>
      <w:r>
        <w:rPr>
          <w:rFonts w:hint="eastAsia"/>
        </w:rPr>
        <w:t>聚焦</w:t>
      </w:r>
      <w:r>
        <w:rPr>
          <w:rFonts w:hint="eastAsia"/>
          <w:lang w:eastAsia="zh-CN"/>
        </w:rPr>
        <w:t>突发公共卫生事件处置能力短板，着力重点疾病规范化诊疗、感染控制、急危重症患者救治、实验室检测及疫情防控等方面的能力提升，构建完善医防结合服务模式，提高医院综合服务能力水平的提高，构筑起保护人民群众生命安全和身体健康的有力屏障。全年采购ICU设备27台（件），发热门诊及院感防控设备15台（件），信息化设备1套，储备院感防控防护物资50万元。</w:t>
      </w:r>
      <w:r>
        <w:rPr>
          <w:rFonts w:hint="eastAsia"/>
        </w:rPr>
        <w:t>疫情防治能力得到大幅提升。</w:t>
      </w:r>
    </w:p>
    <w:p>
      <w:pPr>
        <w:pStyle w:val="3"/>
        <w:bidi w:val="0"/>
        <w:rPr>
          <w:rFonts w:hint="eastAsia"/>
          <w:lang w:eastAsia="zh-CN"/>
        </w:rPr>
      </w:pPr>
      <w:r>
        <w:rPr>
          <w:rFonts w:hint="eastAsia"/>
          <w:lang w:eastAsia="zh-CN"/>
        </w:rPr>
        <w:t>绩效指标完成情况分析</w:t>
      </w:r>
    </w:p>
    <w:p>
      <w:pPr>
        <w:rPr>
          <w:rFonts w:hint="default"/>
          <w:lang w:val="en-US" w:eastAsia="zh-CN"/>
        </w:rPr>
      </w:pPr>
      <w:r>
        <w:rPr>
          <w:rFonts w:hint="eastAsia"/>
          <w:lang w:eastAsia="zh-CN"/>
        </w:rPr>
        <w:t>根据评价情况，设置的</w:t>
      </w:r>
      <w:r>
        <w:rPr>
          <w:rFonts w:hint="eastAsia"/>
          <w:lang w:val="en-US" w:eastAsia="zh-CN"/>
        </w:rPr>
        <w:t>73个指标中，完成57个，未完成16个。具体情况见下表：</w:t>
      </w:r>
    </w:p>
    <w:p>
      <w:pPr>
        <w:bidi w:val="0"/>
        <w:rPr>
          <w:rFonts w:hint="default"/>
          <w:lang w:val="en-US" w:eastAsia="zh-CN"/>
        </w:rPr>
      </w:pPr>
    </w:p>
    <w:p>
      <w:pPr>
        <w:keepNext/>
        <w:keepLines w:val="0"/>
        <w:pageBreakBefore w:val="0"/>
        <w:widowControl w:val="0"/>
        <w:kinsoku/>
        <w:wordWrap/>
        <w:overflowPunct w:val="0"/>
        <w:topLinePunct w:val="0"/>
        <w:autoSpaceDE/>
        <w:autoSpaceDN/>
        <w:bidi w:val="0"/>
        <w:adjustRightInd/>
        <w:snapToGrid/>
        <w:spacing w:line="20" w:lineRule="exact"/>
        <w:textAlignment w:val="auto"/>
        <w:rPr>
          <w:rFonts w:hint="default"/>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column">
                  <wp:posOffset>3647440</wp:posOffset>
                </wp:positionH>
                <wp:positionV relativeFrom="paragraph">
                  <wp:posOffset>85725</wp:posOffset>
                </wp:positionV>
                <wp:extent cx="516255" cy="222250"/>
                <wp:effectExtent l="0" t="0" r="17145" b="6350"/>
                <wp:wrapNone/>
                <wp:docPr id="2" name="文本框 2"/>
                <wp:cNvGraphicFramePr/>
                <a:graphic xmlns:a="http://schemas.openxmlformats.org/drawingml/2006/main">
                  <a:graphicData uri="http://schemas.microsoft.com/office/word/2010/wordprocessingShape">
                    <wps:wsp>
                      <wps:cNvSpPr txBox="1"/>
                      <wps:spPr>
                        <a:xfrm>
                          <a:off x="2075815" y="6197600"/>
                          <a:ext cx="516255" cy="2222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87.2pt;margin-top:6.75pt;height:17.5pt;width:40.65pt;z-index:251661312;mso-width-relative:page;mso-height-relative:page;" fillcolor="#FFFFFF [3201]" filled="t" stroked="f" coordsize="21600,21600" o:gfxdata="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">
                <v:fill on="t" focussize="0,0"/>
                <v:stroke on="f" weight="0.5pt"/>
                <v:imagedata o:title=""/>
                <o:lock v:ext="edit" aspectratio="f"/>
                <v:textbox inset="0mm,0mm,0mm,0mm">
                  <w:txbxContent>
                    <w:p/>
                  </w:txbxContent>
                </v:textbox>
              </v:shape>
            </w:pict>
          </mc:Fallback>
        </mc:AlternateContent>
      </w:r>
    </w:p>
    <w:tbl>
      <w:tblPr>
        <w:tblStyle w:val="16"/>
        <w:tblW w:w="491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1"/>
        <w:gridCol w:w="694"/>
        <w:gridCol w:w="931"/>
        <w:gridCol w:w="2250"/>
        <w:gridCol w:w="1041"/>
        <w:gridCol w:w="876"/>
        <w:gridCol w:w="26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blHeader/>
          <w:jc w:val="center"/>
        </w:trPr>
        <w:tc>
          <w:tcPr>
            <w:tcW w:w="5000" w:type="pct"/>
            <w:gridSpan w:val="7"/>
            <w:tcBorders>
              <w:top w:val="nil"/>
              <w:left w:val="nil"/>
              <w:bottom w:val="single" w:color="000000" w:sz="4" w:space="0"/>
              <w:right w:val="nil"/>
            </w:tcBorders>
            <w:shd w:val="clear" w:color="auto" w:fill="auto"/>
            <w:vAlign w:val="center"/>
          </w:tcPr>
          <w:p>
            <w:pPr>
              <w:pStyle w:val="11"/>
              <w:keepNext w:val="0"/>
              <w:keepLines w:val="0"/>
              <w:pageBreakBefore w:val="0"/>
              <w:widowControl w:val="0"/>
              <w:kinsoku/>
              <w:wordWrap/>
              <w:topLinePunct w:val="0"/>
              <w:autoSpaceDE/>
              <w:autoSpaceDN/>
              <w:bidi w:val="0"/>
              <w:adjustRightInd/>
              <w:rPr>
                <w:rFonts w:hint="default" w:ascii="Times New Roman" w:hAnsi="Times New Roman" w:eastAsia="方正仿宋_GBK" w:cs="Times New Roman"/>
                <w:i w:val="0"/>
                <w:iCs w:val="0"/>
                <w:color w:val="000000"/>
                <w:kern w:val="0"/>
                <w:sz w:val="28"/>
                <w:szCs w:val="28"/>
                <w:u w:val="none"/>
                <w:lang w:val="en-US" w:eastAsia="zh-CN" w:bidi="ar"/>
              </w:rPr>
            </w:pPr>
            <w:r>
              <w:t>表</w:t>
            </w:r>
            <w:r>
              <w:fldChar w:fldCharType="begin"/>
            </w:r>
            <w:r>
              <w:instrText xml:space="preserve"> SEQ 表 \* ARABIC </w:instrText>
            </w:r>
            <w:r>
              <w:fldChar w:fldCharType="separate"/>
            </w:r>
            <w:r>
              <w:t>5</w:t>
            </w:r>
            <w:r>
              <w:fldChar w:fldCharType="end"/>
            </w:r>
            <w:r>
              <w:rPr>
                <w:rFonts w:hint="eastAsia"/>
                <w:lang w:eastAsia="zh-CN"/>
              </w:rPr>
              <w:t xml:space="preserve">  绩效指标完成情况表（续）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blHeader/>
          <w:jc w:val="center"/>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b/>
                <w:bCs/>
                <w:i w:val="0"/>
                <w:iCs w:val="0"/>
                <w:color w:val="000000"/>
                <w:kern w:val="0"/>
                <w:sz w:val="21"/>
                <w:szCs w:val="21"/>
                <w:u w:val="none"/>
                <w:lang w:val="en-US" w:eastAsia="zh-CN" w:bidi="ar"/>
              </w:rPr>
            </w:pPr>
            <w:r>
              <w:rPr>
                <w:rFonts w:hint="eastAsia" w:ascii="Times New Roman" w:hAnsi="Times New Roman" w:eastAsia="方正仿宋_GBK" w:cs="Times New Roman"/>
                <w:b/>
                <w:bCs/>
                <w:i w:val="0"/>
                <w:iCs w:val="0"/>
                <w:color w:val="000000"/>
                <w:kern w:val="0"/>
                <w:sz w:val="21"/>
                <w:szCs w:val="21"/>
                <w:u w:val="none"/>
                <w:lang w:val="en-US" w:eastAsia="zh-CN" w:bidi="ar"/>
              </w:rPr>
              <w:t>序号</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一级指标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二级指标</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三级指标</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指标值</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指标实现情况</w:t>
            </w:r>
          </w:p>
        </w:tc>
        <w:tc>
          <w:tcPr>
            <w:tcW w:w="1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完成情况说明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05" w:hRule="atLeast"/>
          <w:jc w:val="center"/>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topLinePunct w:val="0"/>
              <w:autoSpaceDE/>
              <w:autoSpaceDN/>
              <w:bidi w:val="0"/>
              <w:adjustRightInd/>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产出指标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数量</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指标</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公立医院基本建设、设备购置长期负债占总资产的比例</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较上年降低</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完成</w:t>
            </w:r>
          </w:p>
        </w:tc>
        <w:tc>
          <w:tcPr>
            <w:tcW w:w="1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2023年2.80%，较2022年3.50%下降0.7个百分点。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78" w:hRule="atLeast"/>
          <w:jc w:val="center"/>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topLinePunct w:val="0"/>
              <w:autoSpaceDE/>
              <w:autoSpaceDN/>
              <w:bidi w:val="0"/>
              <w:adjustRightInd/>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产出指标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数量</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指标</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公立医院医疗服务收入（不含药品、耗材、检查、化验收入）占医疗收入比例</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较上年提高</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完成</w:t>
            </w:r>
          </w:p>
        </w:tc>
        <w:tc>
          <w:tcPr>
            <w:tcW w:w="1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2023年32.03%，较2022年30.12%提高1.91个百分点。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6" w:hRule="atLeast"/>
          <w:jc w:val="center"/>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topLinePunct w:val="0"/>
              <w:autoSpaceDE/>
              <w:autoSpaceDN/>
              <w:bidi w:val="0"/>
              <w:adjustRightInd/>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产出指标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数量</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指标</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公立医院资产负债率</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较上年降低</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完成</w:t>
            </w:r>
          </w:p>
        </w:tc>
        <w:tc>
          <w:tcPr>
            <w:tcW w:w="1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2023年26.49%，较2022年29.32%下降2.83个百分点。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5" w:hRule="atLeast"/>
          <w:jc w:val="center"/>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topLinePunct w:val="0"/>
              <w:autoSpaceDE/>
              <w:autoSpaceDN/>
              <w:bidi w:val="0"/>
              <w:adjustRightInd/>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产出指标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数量</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指标</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县级中医医院</w:t>
            </w:r>
            <w:r>
              <w:rPr>
                <w:rFonts w:hint="eastAsia" w:ascii="方正仿宋_GBK" w:hAnsi="方正仿宋_GBK" w:eastAsia="方正仿宋_GBK" w:cs="方正仿宋_GBK"/>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两专科一中心</w:t>
            </w:r>
            <w:r>
              <w:rPr>
                <w:rFonts w:hint="eastAsia" w:ascii="方正仿宋_GBK" w:hAnsi="方正仿宋_GBK" w:eastAsia="方正仿宋_GBK" w:cs="方正仿宋_GBK"/>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建设的医院数量（个）</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完成</w:t>
            </w:r>
          </w:p>
        </w:tc>
        <w:tc>
          <w:tcPr>
            <w:tcW w:w="1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lang w:val="en-US" w:eastAsia="zh-CN"/>
              </w:rPr>
            </w:pPr>
            <w:r>
              <w:rPr>
                <w:rFonts w:hint="eastAsia" w:cs="Times New Roman"/>
                <w:i w:val="0"/>
                <w:iCs w:val="0"/>
                <w:color w:val="000000"/>
                <w:sz w:val="21"/>
                <w:szCs w:val="21"/>
                <w:u w:val="none"/>
                <w:lang w:eastAsia="zh-CN"/>
              </w:rPr>
              <w:t>瑞丽市中医傣医医院</w:t>
            </w:r>
            <w:r>
              <w:rPr>
                <w:rFonts w:hint="eastAsia" w:cs="Times New Roman"/>
                <w:i w:val="0"/>
                <w:iCs w:val="0"/>
                <w:color w:val="000000"/>
                <w:sz w:val="21"/>
                <w:szCs w:val="21"/>
                <w:u w:val="none"/>
                <w:lang w:val="en-US" w:eastAsia="zh-CN"/>
              </w:rPr>
              <w:t>1家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41" w:hRule="atLeast"/>
          <w:jc w:val="center"/>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topLinePunct w:val="0"/>
              <w:autoSpaceDE/>
              <w:autoSpaceDN/>
              <w:bidi w:val="0"/>
              <w:adjustRightInd/>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产出指标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数量</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指标</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中医专科建设数量</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完成</w:t>
            </w:r>
          </w:p>
        </w:tc>
        <w:tc>
          <w:tcPr>
            <w:tcW w:w="1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瑞丽市中医傣医医院年内完成新建肛肠科、皮肤科门诊和肛肠科住院部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71" w:hRule="atLeast"/>
          <w:jc w:val="center"/>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topLinePunct w:val="0"/>
              <w:autoSpaceDE/>
              <w:autoSpaceDN/>
              <w:bidi w:val="0"/>
              <w:adjustRightInd/>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产出指标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数量</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指标</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传染病应急参训人员培训完成率</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≥95%</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未完成</w:t>
            </w:r>
          </w:p>
        </w:tc>
        <w:tc>
          <w:tcPr>
            <w:tcW w:w="1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2024年2月下达资金，各项业务工作正在组织实施。正积极筹备培训工作。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1" w:hRule="atLeast"/>
          <w:jc w:val="center"/>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topLinePunct w:val="0"/>
              <w:autoSpaceDE/>
              <w:autoSpaceDN/>
              <w:bidi w:val="0"/>
              <w:adjustRightInd/>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产出指标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数量</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指标</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监测预警基层专业人员培训人数完成率</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≥90%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未完成</w:t>
            </w:r>
          </w:p>
        </w:tc>
        <w:tc>
          <w:tcPr>
            <w:tcW w:w="1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2024年2月下达资金，各项业务工作正在组织实施。正积极筹备培训工作。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jc w:val="center"/>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topLinePunct w:val="0"/>
              <w:autoSpaceDE/>
              <w:autoSpaceDN/>
              <w:bidi w:val="0"/>
              <w:adjustRightInd/>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产出指标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数量</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指标</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监测预警专业骨干培训人数完成率</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≥90%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未完成</w:t>
            </w:r>
          </w:p>
        </w:tc>
        <w:tc>
          <w:tcPr>
            <w:tcW w:w="1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2024年2月下达资金，各项业务工作正在组织实施。正积极筹备培训工作。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16" w:hRule="atLeast"/>
          <w:jc w:val="center"/>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topLinePunct w:val="0"/>
              <w:autoSpaceDE/>
              <w:autoSpaceDN/>
              <w:bidi w:val="0"/>
              <w:adjustRightInd/>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产出指标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数量</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指标</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全科医生转岗</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2人</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完成</w:t>
            </w:r>
          </w:p>
        </w:tc>
        <w:tc>
          <w:tcPr>
            <w:tcW w:w="1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18" w:hRule="atLeast"/>
          <w:jc w:val="center"/>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topLinePunct w:val="0"/>
              <w:autoSpaceDE/>
              <w:autoSpaceDN/>
              <w:bidi w:val="0"/>
              <w:adjustRightInd/>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产出指标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数量</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指标</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帮助受援医院开展新技术、新项目</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≧1项</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完成</w:t>
            </w:r>
          </w:p>
        </w:tc>
        <w:tc>
          <w:tcPr>
            <w:tcW w:w="1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lang w:val="en-US"/>
              </w:rPr>
            </w:pPr>
            <w:r>
              <w:rPr>
                <w:rFonts w:hint="eastAsia" w:cs="Times New Roman"/>
                <w:i w:val="0"/>
                <w:iCs w:val="0"/>
                <w:color w:val="000000"/>
                <w:kern w:val="0"/>
                <w:sz w:val="21"/>
                <w:szCs w:val="21"/>
                <w:u w:val="none"/>
                <w:lang w:val="en-US" w:eastAsia="zh-CN" w:bidi="ar"/>
              </w:rPr>
              <w:t>芒市人民医院年内开展新技术新项目11</w:t>
            </w:r>
            <w:r>
              <w:rPr>
                <w:rFonts w:hint="default" w:ascii="Times New Roman" w:hAnsi="Times New Roman" w:eastAsia="方正仿宋_GBK" w:cs="Times New Roman"/>
                <w:i w:val="0"/>
                <w:iCs w:val="0"/>
                <w:color w:val="000000"/>
                <w:kern w:val="0"/>
                <w:sz w:val="21"/>
                <w:szCs w:val="21"/>
                <w:u w:val="none"/>
                <w:lang w:val="en-US" w:eastAsia="zh-CN" w:bidi="ar"/>
              </w:rPr>
              <w:t>项</w:t>
            </w:r>
            <w:r>
              <w:rPr>
                <w:rFonts w:hint="eastAsia" w:cs="Times New Roman"/>
                <w:i w:val="0"/>
                <w:iCs w:val="0"/>
                <w:color w:val="000000"/>
                <w:kern w:val="0"/>
                <w:sz w:val="21"/>
                <w:szCs w:val="21"/>
                <w:u w:val="none"/>
                <w:lang w:val="en-US" w:eastAsia="zh-CN" w:bidi="ar"/>
              </w:rPr>
              <w:t>,具体为：甲状腺细针穿刺细胞学临床应用、重症超声之心脏基本切面的获取、重症超声之肺部超声BLUE方案、重症超声之超声测量下腔静脉、重症超声之膈肌功能的评估、超声评估容量及容量状态、超声引导下腹腔包裹性积液的穿刺置管引流、重症超声之-肺水评估、胰岛素低血糖实验、1mg</w:t>
            </w:r>
            <w:r>
              <w:rPr>
                <w:rFonts w:hint="eastAsia" w:cs="Times New Roman"/>
                <w:i w:val="0"/>
                <w:iCs w:val="0"/>
                <w:color w:val="000000"/>
                <w:kern w:val="0"/>
                <w:sz w:val="21"/>
                <w:szCs w:val="21"/>
                <w:highlight w:val="none"/>
                <w:u w:val="none"/>
                <w:lang w:val="en-US" w:eastAsia="zh-CN" w:bidi="ar"/>
              </w:rPr>
              <w:t>地塞米松</w:t>
            </w:r>
            <w:r>
              <w:rPr>
                <w:rFonts w:hint="eastAsia" w:cs="Times New Roman"/>
                <w:i w:val="0"/>
                <w:iCs w:val="0"/>
                <w:color w:val="000000"/>
                <w:kern w:val="0"/>
                <w:sz w:val="21"/>
                <w:szCs w:val="21"/>
                <w:u w:val="none"/>
                <w:lang w:val="en-US" w:eastAsia="zh-CN" w:bidi="ar"/>
              </w:rPr>
              <w:t>抑制实验、烧伤冲洗清创术。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topLinePunct w:val="0"/>
              <w:autoSpaceDE/>
              <w:autoSpaceDN/>
              <w:bidi w:val="0"/>
              <w:adjustRightInd/>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产出指标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数量</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指标</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帮助县医院数量</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1家</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完成</w:t>
            </w:r>
          </w:p>
        </w:tc>
        <w:tc>
          <w:tcPr>
            <w:tcW w:w="1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由州人民医院支援芒市人民医院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jc w:val="center"/>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topLinePunct w:val="0"/>
              <w:autoSpaceDE/>
              <w:autoSpaceDN/>
              <w:bidi w:val="0"/>
              <w:adjustRightInd/>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产出指标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数量</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指标</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对口支援时间</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6-12个月</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完成</w:t>
            </w:r>
          </w:p>
        </w:tc>
        <w:tc>
          <w:tcPr>
            <w:tcW w:w="1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3" w:hRule="atLeast"/>
          <w:jc w:val="center"/>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topLinePunct w:val="0"/>
              <w:autoSpaceDE/>
              <w:autoSpaceDN/>
              <w:bidi w:val="0"/>
              <w:adjustRightInd/>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13</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产出指标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数量</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指标</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每批派驻受援医院医务人员</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5人</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完成</w:t>
            </w:r>
          </w:p>
        </w:tc>
        <w:tc>
          <w:tcPr>
            <w:tcW w:w="1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8人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27" w:hRule="atLeast"/>
          <w:jc w:val="center"/>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topLinePunct w:val="0"/>
              <w:autoSpaceDE/>
              <w:autoSpaceDN/>
              <w:bidi w:val="0"/>
              <w:adjustRightInd/>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14</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产出指标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数量</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指标</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乡镇卫生院和社区卫生服务中心骨干人员选派参训学员人数</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5人</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完成</w:t>
            </w:r>
          </w:p>
        </w:tc>
        <w:tc>
          <w:tcPr>
            <w:tcW w:w="1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jc w:val="center"/>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topLinePunct w:val="0"/>
              <w:autoSpaceDE/>
              <w:autoSpaceDN/>
              <w:bidi w:val="0"/>
              <w:adjustRightInd/>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产出指标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数量</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指标</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助理全科医生培训招收完成率</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≧95%</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完成</w:t>
            </w:r>
          </w:p>
        </w:tc>
        <w:tc>
          <w:tcPr>
            <w:tcW w:w="1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州人民医院、盈江县中医医院助理全科医师规范化培训招收率均达100%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jc w:val="center"/>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topLinePunct w:val="0"/>
              <w:autoSpaceDE/>
              <w:autoSpaceDN/>
              <w:bidi w:val="0"/>
              <w:adjustRightInd/>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产出指标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数量</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指标</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支持承担疫情重点救治任务的综合医院数量（个）</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完成</w:t>
            </w:r>
          </w:p>
        </w:tc>
        <w:tc>
          <w:tcPr>
            <w:tcW w:w="1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eastAsia" w:cs="Times New Roman"/>
                <w:i w:val="0"/>
                <w:iCs w:val="0"/>
                <w:color w:val="000000"/>
                <w:kern w:val="0"/>
                <w:sz w:val="21"/>
                <w:szCs w:val="21"/>
                <w:u w:val="none"/>
                <w:lang w:val="en-US" w:eastAsia="zh-CN" w:bidi="ar"/>
              </w:rPr>
              <w:t>德宏州人民医院</w:t>
            </w:r>
            <w:r>
              <w:rPr>
                <w:rFonts w:hint="default" w:ascii="Times New Roman" w:hAnsi="Times New Roman" w:eastAsia="方正仿宋_GBK" w:cs="Times New Roman"/>
                <w:i w:val="0"/>
                <w:iCs w:val="0"/>
                <w:color w:val="000000"/>
                <w:kern w:val="0"/>
                <w:sz w:val="21"/>
                <w:szCs w:val="21"/>
                <w:u w:val="none"/>
                <w:lang w:val="en-US" w:eastAsia="zh-CN" w:bidi="ar"/>
              </w:rPr>
              <w:t>1</w:t>
            </w:r>
            <w:r>
              <w:rPr>
                <w:rFonts w:hint="eastAsia" w:cs="Times New Roman"/>
                <w:i w:val="0"/>
                <w:iCs w:val="0"/>
                <w:color w:val="000000"/>
                <w:kern w:val="0"/>
                <w:sz w:val="21"/>
                <w:szCs w:val="21"/>
                <w:u w:val="none"/>
                <w:lang w:val="en-US" w:eastAsia="zh-CN" w:bidi="ar"/>
              </w:rPr>
              <w:t>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61" w:hRule="atLeast"/>
          <w:jc w:val="center"/>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topLinePunct w:val="0"/>
              <w:autoSpaceDE/>
              <w:autoSpaceDN/>
              <w:bidi w:val="0"/>
              <w:adjustRightInd/>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17</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产出指标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数量</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指标</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采购全自动污水采样设备</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未完成</w:t>
            </w:r>
          </w:p>
        </w:tc>
        <w:tc>
          <w:tcPr>
            <w:tcW w:w="1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2024年2月下达资金，正在组织实施政府采购工作。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27" w:hRule="atLeast"/>
          <w:jc w:val="center"/>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topLinePunct w:val="0"/>
              <w:autoSpaceDE/>
              <w:autoSpaceDN/>
              <w:bidi w:val="0"/>
              <w:adjustRightInd/>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产出指标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数量</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指标</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县级妇幼保健机构能力建设项目覆盖机构数量</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完成</w:t>
            </w:r>
          </w:p>
        </w:tc>
        <w:tc>
          <w:tcPr>
            <w:tcW w:w="1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eastAsia" w:cs="Times New Roman"/>
                <w:i w:val="0"/>
                <w:iCs w:val="0"/>
                <w:color w:val="000000"/>
                <w:kern w:val="0"/>
                <w:sz w:val="21"/>
                <w:szCs w:val="21"/>
                <w:u w:val="none"/>
                <w:lang w:val="en-US" w:eastAsia="zh-CN" w:bidi="ar"/>
              </w:rPr>
              <w:t>梁河县妇幼保健院</w:t>
            </w:r>
            <w:r>
              <w:rPr>
                <w:rFonts w:hint="default" w:ascii="Times New Roman" w:hAnsi="Times New Roman" w:eastAsia="方正仿宋_GBK" w:cs="Times New Roman"/>
                <w:i w:val="0"/>
                <w:iCs w:val="0"/>
                <w:color w:val="000000"/>
                <w:kern w:val="0"/>
                <w:sz w:val="21"/>
                <w:szCs w:val="21"/>
                <w:u w:val="none"/>
                <w:lang w:val="en-US" w:eastAsia="zh-CN" w:bidi="ar"/>
              </w:rPr>
              <w:t>1</w:t>
            </w:r>
            <w:r>
              <w:rPr>
                <w:rFonts w:hint="eastAsia" w:cs="Times New Roman"/>
                <w:i w:val="0"/>
                <w:iCs w:val="0"/>
                <w:color w:val="000000"/>
                <w:kern w:val="0"/>
                <w:sz w:val="21"/>
                <w:szCs w:val="21"/>
                <w:u w:val="none"/>
                <w:lang w:val="en-US" w:eastAsia="zh-CN" w:bidi="ar"/>
              </w:rPr>
              <w:t>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jc w:val="center"/>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topLinePunct w:val="0"/>
              <w:autoSpaceDE/>
              <w:autoSpaceDN/>
              <w:bidi w:val="0"/>
              <w:adjustRightInd/>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19</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产出指标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数量</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指标</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卫生监督执法装备购置完成率</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≥90%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未完成</w:t>
            </w:r>
          </w:p>
        </w:tc>
        <w:tc>
          <w:tcPr>
            <w:tcW w:w="1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2024年2月下达资金，正在组织实施政府采购工作。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9" w:hRule="atLeast"/>
          <w:jc w:val="center"/>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topLinePunct w:val="0"/>
              <w:autoSpaceDE/>
              <w:autoSpaceDN/>
              <w:bidi w:val="0"/>
              <w:adjustRightInd/>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产出指标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数量</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指标</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基层医疗卫生机构（社区卫生服务中心和乡镇卫生院）达到服务能力基本标准的比例</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完成</w:t>
            </w:r>
          </w:p>
        </w:tc>
        <w:tc>
          <w:tcPr>
            <w:tcW w:w="1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全州累计45家基层医疗卫生机构服务能力达到国家基本标准及以上，占比达到83.33%。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73" w:hRule="atLeast"/>
          <w:jc w:val="center"/>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topLinePunct w:val="0"/>
              <w:autoSpaceDE/>
              <w:autoSpaceDN/>
              <w:bidi w:val="0"/>
              <w:adjustRightInd/>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21</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产出指标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数量</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指标</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受支持的脱贫县县医院数量</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完成</w:t>
            </w:r>
          </w:p>
        </w:tc>
        <w:tc>
          <w:tcPr>
            <w:tcW w:w="1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芒市人民医院、梁河县人民医院、盈江县人民医院、陇川县人民医院共4家脱贫县县级公立医院开展能力建设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99" w:hRule="atLeast"/>
          <w:jc w:val="center"/>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topLinePunct w:val="0"/>
              <w:autoSpaceDE/>
              <w:autoSpaceDN/>
              <w:bidi w:val="0"/>
              <w:adjustRightInd/>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22</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产出指标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数量</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指标</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县医院受支持专科门诊数量</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较上年提高5%</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完成</w:t>
            </w:r>
          </w:p>
        </w:tc>
        <w:tc>
          <w:tcPr>
            <w:tcW w:w="1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2023年受支持专科门诊量747437人次，较2022年685713人次，增加61724人次，提高9%。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9" w:hRule="atLeast"/>
          <w:jc w:val="center"/>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topLinePunct w:val="0"/>
              <w:autoSpaceDE/>
              <w:autoSpaceDN/>
              <w:bidi w:val="0"/>
              <w:adjustRightInd/>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23</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产出指标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数量</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指标</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县医院受支持专科手术数量</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较上年提高5%</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完成</w:t>
            </w:r>
          </w:p>
        </w:tc>
        <w:tc>
          <w:tcPr>
            <w:tcW w:w="1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2023年受支持专科手术量14502台次，较2022年16159台次，增加1657台次，提高11.43%。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jc w:val="center"/>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topLinePunct w:val="0"/>
              <w:autoSpaceDE/>
              <w:autoSpaceDN/>
              <w:bidi w:val="0"/>
              <w:adjustRightInd/>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产出指标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数量</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指标</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受支持的乡镇卫生院数量</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完成</w:t>
            </w:r>
          </w:p>
        </w:tc>
        <w:tc>
          <w:tcPr>
            <w:tcW w:w="1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陇川县城子镇中心卫生院1</w:t>
            </w:r>
            <w:r>
              <w:rPr>
                <w:rFonts w:hint="eastAsia" w:cs="Times New Roman"/>
                <w:i w:val="0"/>
                <w:iCs w:val="0"/>
                <w:color w:val="000000"/>
                <w:kern w:val="0"/>
                <w:sz w:val="21"/>
                <w:szCs w:val="21"/>
                <w:u w:val="none"/>
                <w:lang w:val="en-US" w:eastAsia="zh-CN" w:bidi="ar"/>
              </w:rPr>
              <w:t>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27" w:hRule="atLeast"/>
          <w:jc w:val="center"/>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topLinePunct w:val="0"/>
              <w:autoSpaceDE/>
              <w:autoSpaceDN/>
              <w:bidi w:val="0"/>
              <w:adjustRightInd/>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产出指标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数量</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指标</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受支持的乡镇卫生院新增设备数量</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≥2台（套）</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未完成</w:t>
            </w:r>
          </w:p>
        </w:tc>
        <w:tc>
          <w:tcPr>
            <w:tcW w:w="1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目前项目正在实施阶段，预计2024年7月完成项目验收。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04" w:hRule="atLeast"/>
          <w:jc w:val="center"/>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topLinePunct w:val="0"/>
              <w:autoSpaceDE/>
              <w:autoSpaceDN/>
              <w:bidi w:val="0"/>
              <w:adjustRightInd/>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26</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产出指标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数量</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指标</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承担职业病危害因素监测任务的州市级疾病预防控制中心或州市级职业病防治院（所）职业病危害因素监测能力提升数量</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完成</w:t>
            </w:r>
          </w:p>
        </w:tc>
        <w:tc>
          <w:tcPr>
            <w:tcW w:w="1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eastAsia" w:cs="Times New Roman"/>
                <w:i w:val="0"/>
                <w:iCs w:val="0"/>
                <w:color w:val="000000"/>
                <w:kern w:val="0"/>
                <w:sz w:val="21"/>
                <w:szCs w:val="21"/>
                <w:u w:val="none"/>
                <w:lang w:val="en-US" w:eastAsia="zh-CN" w:bidi="ar"/>
              </w:rPr>
              <w:t>德宏州疾病预防控制中心</w:t>
            </w:r>
            <w:r>
              <w:rPr>
                <w:rFonts w:hint="default" w:ascii="Times New Roman" w:hAnsi="Times New Roman" w:eastAsia="方正仿宋_GBK" w:cs="Times New Roman"/>
                <w:i w:val="0"/>
                <w:iCs w:val="0"/>
                <w:color w:val="000000"/>
                <w:kern w:val="0"/>
                <w:sz w:val="21"/>
                <w:szCs w:val="21"/>
                <w:u w:val="none"/>
                <w:lang w:val="en-US" w:eastAsia="zh-CN" w:bidi="ar"/>
              </w:rPr>
              <w:t>1</w:t>
            </w:r>
            <w:r>
              <w:rPr>
                <w:rFonts w:hint="eastAsia" w:cs="Times New Roman"/>
                <w:i w:val="0"/>
                <w:iCs w:val="0"/>
                <w:color w:val="000000"/>
                <w:kern w:val="0"/>
                <w:sz w:val="21"/>
                <w:szCs w:val="21"/>
                <w:u w:val="none"/>
                <w:lang w:val="en-US" w:eastAsia="zh-CN" w:bidi="ar"/>
              </w:rPr>
              <w:t>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topLinePunct w:val="0"/>
              <w:autoSpaceDE/>
              <w:autoSpaceDN/>
              <w:bidi w:val="0"/>
              <w:adjustRightInd/>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27</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产出指标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数量</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指标</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职业病诊疗康复能力提升医院数量（个）</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完成</w:t>
            </w:r>
          </w:p>
        </w:tc>
        <w:tc>
          <w:tcPr>
            <w:tcW w:w="1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eastAsia" w:cs="Times New Roman"/>
                <w:i w:val="0"/>
                <w:iCs w:val="0"/>
                <w:color w:val="000000"/>
                <w:kern w:val="0"/>
                <w:sz w:val="21"/>
                <w:szCs w:val="21"/>
                <w:u w:val="none"/>
                <w:lang w:val="en-US" w:eastAsia="zh-CN" w:bidi="ar"/>
              </w:rPr>
              <w:t>德宏州人民医院</w:t>
            </w:r>
            <w:r>
              <w:rPr>
                <w:rFonts w:hint="default" w:ascii="Times New Roman" w:hAnsi="Times New Roman" w:eastAsia="方正仿宋_GBK" w:cs="Times New Roman"/>
                <w:i w:val="0"/>
                <w:iCs w:val="0"/>
                <w:color w:val="000000"/>
                <w:kern w:val="0"/>
                <w:sz w:val="21"/>
                <w:szCs w:val="21"/>
                <w:u w:val="none"/>
                <w:lang w:val="en-US" w:eastAsia="zh-CN" w:bidi="ar"/>
              </w:rPr>
              <w:t>1</w:t>
            </w:r>
            <w:r>
              <w:rPr>
                <w:rFonts w:hint="eastAsia" w:cs="Times New Roman"/>
                <w:i w:val="0"/>
                <w:iCs w:val="0"/>
                <w:color w:val="000000"/>
                <w:kern w:val="0"/>
                <w:sz w:val="21"/>
                <w:szCs w:val="21"/>
                <w:u w:val="none"/>
                <w:lang w:val="en-US" w:eastAsia="zh-CN" w:bidi="ar"/>
              </w:rPr>
              <w:t>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jc w:val="center"/>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topLinePunct w:val="0"/>
              <w:autoSpaceDE/>
              <w:autoSpaceDN/>
              <w:bidi w:val="0"/>
              <w:adjustRightInd/>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28</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产出指标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质量</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指标</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公立医院平均住院日</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较上年降低或≦9.5天</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完成</w:t>
            </w:r>
          </w:p>
        </w:tc>
        <w:tc>
          <w:tcPr>
            <w:tcW w:w="1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2023年7.95天，较2022年8.49天降低0.54天。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00" w:hRule="atLeast"/>
          <w:jc w:val="center"/>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topLinePunct w:val="0"/>
              <w:autoSpaceDE/>
              <w:autoSpaceDN/>
              <w:bidi w:val="0"/>
              <w:adjustRightInd/>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29</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产出指标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质量</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指标</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三级公立医院出院患者手术占比</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较上年提高</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未完成</w:t>
            </w:r>
          </w:p>
        </w:tc>
        <w:tc>
          <w:tcPr>
            <w:tcW w:w="1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2023年29.07%，较2022年30.04%降低0.97%。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90" w:hRule="atLeast"/>
          <w:jc w:val="center"/>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topLinePunct w:val="0"/>
              <w:autoSpaceDE/>
              <w:autoSpaceDN/>
              <w:bidi w:val="0"/>
              <w:adjustRightInd/>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产出指标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质量</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指标</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三级公立医院出院患者四级手术比例</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较上年提高</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未完成</w:t>
            </w:r>
          </w:p>
        </w:tc>
        <w:tc>
          <w:tcPr>
            <w:tcW w:w="1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2023年14.02%，较2022年22.21%下降8.19%。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1" w:hRule="atLeast"/>
          <w:jc w:val="center"/>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topLinePunct w:val="0"/>
              <w:autoSpaceDE/>
              <w:autoSpaceDN/>
              <w:bidi w:val="0"/>
              <w:adjustRightInd/>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31</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产出指标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质量</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指标</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人才培养合格率</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≧95%</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完成</w:t>
            </w:r>
          </w:p>
        </w:tc>
        <w:tc>
          <w:tcPr>
            <w:tcW w:w="1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eastAsia" w:cs="Times New Roman"/>
                <w:i w:val="0"/>
                <w:iCs w:val="0"/>
                <w:color w:val="000000"/>
                <w:kern w:val="0"/>
                <w:sz w:val="21"/>
                <w:szCs w:val="21"/>
                <w:u w:val="none"/>
                <w:lang w:val="en-US" w:eastAsia="zh-CN" w:bidi="ar"/>
              </w:rPr>
              <w:t>瑞丽市中医傣医医院持续加强人才队伍建设，肛肠科选派4名医生、2名护士到州中医医院进修学习，皮肤科选派2名医师赴省级医院进修，组织6名医师参加省级中医药适宜技术推广师资培训。人才培养合格率达100%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5" w:hRule="atLeast"/>
          <w:jc w:val="center"/>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topLinePunct w:val="0"/>
              <w:autoSpaceDE/>
              <w:autoSpaceDN/>
              <w:bidi w:val="0"/>
              <w:adjustRightInd/>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产出指标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质量</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指标</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助理全科医生培训结业考核通过率</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≧85%</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未完成</w:t>
            </w:r>
          </w:p>
        </w:tc>
        <w:tc>
          <w:tcPr>
            <w:tcW w:w="1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考核通过率78.5%，整改措施：进一步加强培训基地管理，严格教学活动，强化师资力量。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27" w:hRule="atLeast"/>
          <w:jc w:val="center"/>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topLinePunct w:val="0"/>
              <w:autoSpaceDE/>
              <w:autoSpaceDN/>
              <w:bidi w:val="0"/>
              <w:adjustRightInd/>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33</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产出指标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质量</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指标</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承担疫情重点救治任务每项目医院发热门诊设备配备</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≧1台</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完成</w:t>
            </w:r>
          </w:p>
        </w:tc>
        <w:tc>
          <w:tcPr>
            <w:tcW w:w="1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15台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99" w:hRule="atLeast"/>
          <w:jc w:val="center"/>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topLinePunct w:val="0"/>
              <w:autoSpaceDE/>
              <w:autoSpaceDN/>
              <w:bidi w:val="0"/>
              <w:adjustRightInd/>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34</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产出指标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质量</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指标</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承担疫情重点救治任务每项目医院防控防护设备配备和物资储备</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较去年提升</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完成</w:t>
            </w:r>
          </w:p>
        </w:tc>
        <w:tc>
          <w:tcPr>
            <w:tcW w:w="1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储备物资1批次，价值50万元。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jc w:val="center"/>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topLinePunct w:val="0"/>
              <w:autoSpaceDE/>
              <w:autoSpaceDN/>
              <w:bidi w:val="0"/>
              <w:adjustRightInd/>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产出指标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质量</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指标</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承担疫情重点救治任务每项目医院信息化设备配备</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≧1台</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完成</w:t>
            </w:r>
          </w:p>
        </w:tc>
        <w:tc>
          <w:tcPr>
            <w:tcW w:w="1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9" w:hRule="atLeast"/>
          <w:jc w:val="center"/>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topLinePunct w:val="0"/>
              <w:autoSpaceDE/>
              <w:autoSpaceDN/>
              <w:bidi w:val="0"/>
              <w:adjustRightInd/>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产出指标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质量</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指标</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承担疫情重点救治任务每项目医院重症监护病区（ICU）设备配置</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≧1台</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完成</w:t>
            </w:r>
          </w:p>
        </w:tc>
        <w:tc>
          <w:tcPr>
            <w:tcW w:w="1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27台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99" w:hRule="atLeast"/>
          <w:jc w:val="center"/>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topLinePunct w:val="0"/>
              <w:autoSpaceDE/>
              <w:autoSpaceDN/>
              <w:bidi w:val="0"/>
              <w:adjustRightInd/>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37</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产出指标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质量</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指标</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传染病监测预警及应急指挥提升项目技术升级和业务保障能力提升</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逐步提升</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未完成</w:t>
            </w:r>
          </w:p>
        </w:tc>
        <w:tc>
          <w:tcPr>
            <w:tcW w:w="1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2024年2月下达资金，正在组织实施政府采购工作。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27" w:hRule="atLeast"/>
          <w:jc w:val="center"/>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topLinePunct w:val="0"/>
              <w:autoSpaceDE/>
              <w:autoSpaceDN/>
              <w:bidi w:val="0"/>
              <w:adjustRightInd/>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38</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产出指标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质量</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指标</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辖区孕产妇系统管理率</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≥85%</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完成</w:t>
            </w:r>
          </w:p>
        </w:tc>
        <w:tc>
          <w:tcPr>
            <w:tcW w:w="1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eastAsia" w:cs="Times New Roman"/>
                <w:i w:val="0"/>
                <w:iCs w:val="0"/>
                <w:color w:val="000000"/>
                <w:kern w:val="0"/>
                <w:sz w:val="21"/>
                <w:szCs w:val="21"/>
                <w:u w:val="none"/>
                <w:lang w:val="en-US" w:eastAsia="zh-CN" w:bidi="ar"/>
              </w:rPr>
              <w:t>20</w:t>
            </w:r>
            <w:r>
              <w:rPr>
                <w:rFonts w:hint="default" w:ascii="Times New Roman" w:hAnsi="Times New Roman" w:eastAsia="方正仿宋_GBK" w:cs="Times New Roman"/>
                <w:i w:val="0"/>
                <w:iCs w:val="0"/>
                <w:color w:val="000000"/>
                <w:kern w:val="0"/>
                <w:sz w:val="21"/>
                <w:szCs w:val="21"/>
                <w:u w:val="none"/>
                <w:lang w:val="en-US" w:eastAsia="zh-CN" w:bidi="ar"/>
              </w:rPr>
              <w:t>23年</w:t>
            </w:r>
            <w:r>
              <w:rPr>
                <w:rFonts w:hint="eastAsia" w:cs="Times New Roman"/>
                <w:i w:val="0"/>
                <w:iCs w:val="0"/>
                <w:color w:val="000000"/>
                <w:kern w:val="0"/>
                <w:sz w:val="21"/>
                <w:szCs w:val="21"/>
                <w:u w:val="none"/>
                <w:lang w:val="en-US" w:eastAsia="zh-CN" w:bidi="ar"/>
              </w:rPr>
              <w:t>梁河县</w:t>
            </w:r>
            <w:r>
              <w:rPr>
                <w:rFonts w:hint="default" w:ascii="Times New Roman" w:hAnsi="Times New Roman" w:eastAsia="方正仿宋_GBK" w:cs="Times New Roman"/>
                <w:i w:val="0"/>
                <w:iCs w:val="0"/>
                <w:color w:val="000000"/>
                <w:kern w:val="0"/>
                <w:sz w:val="21"/>
                <w:szCs w:val="21"/>
                <w:u w:val="none"/>
                <w:lang w:val="en-US" w:eastAsia="zh-CN" w:bidi="ar"/>
              </w:rPr>
              <w:t>活产数989人，系统管理891人，系统管理率90.09%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1" w:hRule="atLeast"/>
          <w:jc w:val="center"/>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topLinePunct w:val="0"/>
              <w:autoSpaceDE/>
              <w:autoSpaceDN/>
              <w:bidi w:val="0"/>
              <w:adjustRightInd/>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39</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产出指标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质量</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指标</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新建市、县级基层传染病应急小分队数量</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全覆盖</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完成</w:t>
            </w:r>
          </w:p>
        </w:tc>
        <w:tc>
          <w:tcPr>
            <w:tcW w:w="1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全覆盖。德宏州已建立11支卫生应急队伍，其中州级应急队伍6支共219人，各县市均建成30人以上的卫生应急队。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jc w:val="center"/>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topLinePunct w:val="0"/>
              <w:autoSpaceDE/>
              <w:autoSpaceDN/>
              <w:bidi w:val="0"/>
              <w:adjustRightInd/>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产出指标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质量</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指标</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受支持的乡镇卫生院服务能力水平</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达到国家推荐标准</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完成</w:t>
            </w:r>
          </w:p>
        </w:tc>
        <w:tc>
          <w:tcPr>
            <w:tcW w:w="1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达到国家推荐标准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27" w:hRule="atLeast"/>
          <w:jc w:val="center"/>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topLinePunct w:val="0"/>
              <w:autoSpaceDE/>
              <w:autoSpaceDN/>
              <w:bidi w:val="0"/>
              <w:adjustRightInd/>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41</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产出指标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质量</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指标</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辖区内县市级疾控机构参加盲样考核结果符合率</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≥95%</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未完成</w:t>
            </w:r>
          </w:p>
        </w:tc>
        <w:tc>
          <w:tcPr>
            <w:tcW w:w="1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2024年2月下达资金，各项业务工作正在组织实施。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17" w:hRule="atLeast"/>
          <w:jc w:val="center"/>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topLinePunct w:val="0"/>
              <w:autoSpaceDE/>
              <w:autoSpaceDN/>
              <w:bidi w:val="0"/>
              <w:adjustRightInd/>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42</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产出指标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质量</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指标</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州市级职业病防治技术支撑能力</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有所提升</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完成</w:t>
            </w:r>
          </w:p>
        </w:tc>
        <w:tc>
          <w:tcPr>
            <w:tcW w:w="1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共配备5类29件设备，监测能力有所提升。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jc w:val="center"/>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topLinePunct w:val="0"/>
              <w:autoSpaceDE/>
              <w:autoSpaceDN/>
              <w:bidi w:val="0"/>
              <w:adjustRightInd/>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43</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产出指标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质量</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指标</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职业病诊疗康复机构能力提升项目采购设备合格率</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完成</w:t>
            </w:r>
          </w:p>
        </w:tc>
        <w:tc>
          <w:tcPr>
            <w:tcW w:w="1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2" w:hRule="atLeast"/>
          <w:jc w:val="center"/>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topLinePunct w:val="0"/>
              <w:autoSpaceDE/>
              <w:autoSpaceDN/>
              <w:bidi w:val="0"/>
              <w:adjustRightInd/>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44</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产出指标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时效</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指标</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县级中医医院</w:t>
            </w:r>
            <w:r>
              <w:rPr>
                <w:rFonts w:hint="eastAsia" w:ascii="方正仿宋_GBK" w:hAnsi="方正仿宋_GBK" w:eastAsia="方正仿宋_GBK" w:cs="方正仿宋_GBK"/>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两专科一中心</w:t>
            </w:r>
            <w:r>
              <w:rPr>
                <w:rFonts w:hint="eastAsia" w:ascii="方正仿宋_GBK" w:hAnsi="方正仿宋_GBK" w:eastAsia="方正仿宋_GBK" w:cs="方正仿宋_GBK"/>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建设项目</w:t>
            </w:r>
            <w:r>
              <w:rPr>
                <w:rFonts w:hint="eastAsia" w:cs="Times New Roman"/>
                <w:i w:val="0"/>
                <w:iCs w:val="0"/>
                <w:color w:val="000000"/>
                <w:kern w:val="0"/>
                <w:sz w:val="21"/>
                <w:szCs w:val="21"/>
                <w:highlight w:val="none"/>
                <w:u w:val="none"/>
                <w:lang w:val="en-US" w:eastAsia="zh-CN" w:bidi="ar"/>
              </w:rPr>
              <w:t>及时完成率</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完成</w:t>
            </w:r>
          </w:p>
        </w:tc>
        <w:tc>
          <w:tcPr>
            <w:tcW w:w="1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52" w:hRule="atLeast"/>
          <w:jc w:val="center"/>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topLinePunct w:val="0"/>
              <w:autoSpaceDE/>
              <w:autoSpaceDN/>
              <w:bidi w:val="0"/>
              <w:adjustRightInd/>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45</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产出指标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时效</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指标</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职业病诊疗康复机构能力提升项目及时完成率</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完成</w:t>
            </w:r>
          </w:p>
        </w:tc>
        <w:tc>
          <w:tcPr>
            <w:tcW w:w="1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49" w:hRule="atLeast"/>
          <w:jc w:val="center"/>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topLinePunct w:val="0"/>
              <w:autoSpaceDE/>
              <w:autoSpaceDN/>
              <w:bidi w:val="0"/>
              <w:adjustRightInd/>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46</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产出指标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成本</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指标</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公立医院百元医疗收入的医疗支出（不含药品收入）</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较上年降低</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完成</w:t>
            </w:r>
          </w:p>
        </w:tc>
        <w:tc>
          <w:tcPr>
            <w:tcW w:w="1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2023年109.28元，较2022年114.63元降低5.35元。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jc w:val="center"/>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topLinePunct w:val="0"/>
              <w:autoSpaceDE/>
              <w:autoSpaceDN/>
              <w:bidi w:val="0"/>
              <w:adjustRightInd/>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47</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效益指标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社会效益指标</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公立医院出院者平均医药费用增长比例</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较上年降低</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完成</w:t>
            </w:r>
          </w:p>
        </w:tc>
        <w:tc>
          <w:tcPr>
            <w:tcW w:w="1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2023年出院者次均费用较上年降低6.14%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2" w:hRule="atLeast"/>
          <w:jc w:val="center"/>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topLinePunct w:val="0"/>
              <w:autoSpaceDE/>
              <w:autoSpaceDN/>
              <w:bidi w:val="0"/>
              <w:adjustRightInd/>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效益指标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社会效益指标</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公立医院每门急诊人次平均收费水平增长比例</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较上年降低</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未完成</w:t>
            </w:r>
          </w:p>
        </w:tc>
        <w:tc>
          <w:tcPr>
            <w:tcW w:w="1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2023年门诊次均费用较上年增长178.94%。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52" w:hRule="atLeast"/>
          <w:jc w:val="center"/>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topLinePunct w:val="0"/>
              <w:autoSpaceDE/>
              <w:autoSpaceDN/>
              <w:bidi w:val="0"/>
              <w:adjustRightInd/>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49</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效益指标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社会效益指标</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基层医疗卫生机构诊疗人次数占医疗卫生机构诊疗总人次数的比例</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较上年提高</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完成</w:t>
            </w:r>
          </w:p>
        </w:tc>
        <w:tc>
          <w:tcPr>
            <w:tcW w:w="1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2023年52.33%，较2022年43.01%提高9.32个百分点。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1" w:hRule="atLeast"/>
          <w:jc w:val="center"/>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topLinePunct w:val="0"/>
              <w:autoSpaceDE/>
              <w:autoSpaceDN/>
              <w:bidi w:val="0"/>
              <w:adjustRightInd/>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50</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效益指标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社会效益指标</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三级公立医院门诊人次数与出院人次数比</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较上年降低</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完成</w:t>
            </w:r>
          </w:p>
        </w:tc>
        <w:tc>
          <w:tcPr>
            <w:tcW w:w="1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2023年比值为13.19，2022年为29.51，下降16.32。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 w:hRule="atLeast"/>
          <w:jc w:val="center"/>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topLinePunct w:val="0"/>
              <w:autoSpaceDE/>
              <w:autoSpaceDN/>
              <w:bidi w:val="0"/>
              <w:adjustRightInd/>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51</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效益指标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社会效益指标</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升级传染病疫情报告网络安全防护条件</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完成升级</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未完成</w:t>
            </w:r>
          </w:p>
        </w:tc>
        <w:tc>
          <w:tcPr>
            <w:tcW w:w="1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2024年2月下达资金，正在开展政府采购工作。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jc w:val="center"/>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topLinePunct w:val="0"/>
              <w:autoSpaceDE/>
              <w:autoSpaceDN/>
              <w:bidi w:val="0"/>
              <w:adjustRightInd/>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52</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效益指标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社会效益指标</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辖区住院分娩率</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≥99%</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完成</w:t>
            </w:r>
          </w:p>
        </w:tc>
        <w:tc>
          <w:tcPr>
            <w:tcW w:w="1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eastAsia" w:cs="Times New Roman"/>
                <w:i w:val="0"/>
                <w:iCs w:val="0"/>
                <w:color w:val="000000"/>
                <w:kern w:val="0"/>
                <w:sz w:val="21"/>
                <w:szCs w:val="21"/>
                <w:u w:val="none"/>
                <w:lang w:val="en-US" w:eastAsia="zh-CN" w:bidi="ar"/>
              </w:rPr>
              <w:t>梁河县20</w:t>
            </w:r>
            <w:r>
              <w:rPr>
                <w:rFonts w:hint="default" w:ascii="Times New Roman" w:hAnsi="Times New Roman" w:eastAsia="方正仿宋_GBK" w:cs="Times New Roman"/>
                <w:i w:val="0"/>
                <w:iCs w:val="0"/>
                <w:color w:val="000000"/>
                <w:kern w:val="0"/>
                <w:sz w:val="21"/>
                <w:szCs w:val="21"/>
                <w:u w:val="none"/>
                <w:lang w:val="en-US" w:eastAsia="zh-CN" w:bidi="ar"/>
              </w:rPr>
              <w:t>23年活产数989人，住院分娩活产数989人，住院分娩率100%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645" w:hRule="atLeast"/>
          <w:jc w:val="center"/>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topLinePunct w:val="0"/>
              <w:autoSpaceDE/>
              <w:autoSpaceDN/>
              <w:bidi w:val="0"/>
              <w:adjustRightInd/>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53</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效益指标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社会效益指标</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县医院开展疾病诊疗能力建设新技术新项目平均数量</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≥1项</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完成</w:t>
            </w:r>
          </w:p>
        </w:tc>
        <w:tc>
          <w:tcPr>
            <w:tcW w:w="1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lang w:val="en-US"/>
              </w:rPr>
            </w:pPr>
            <w:r>
              <w:rPr>
                <w:rFonts w:hint="eastAsia" w:cs="Times New Roman"/>
                <w:i w:val="0"/>
                <w:iCs w:val="0"/>
                <w:color w:val="000000"/>
                <w:kern w:val="0"/>
                <w:sz w:val="21"/>
                <w:szCs w:val="21"/>
                <w:u w:val="none"/>
                <w:lang w:val="en-US" w:eastAsia="zh-CN" w:bidi="ar"/>
              </w:rPr>
              <w:t>4家脱贫县公立医院年内开展新技术新项目共46</w:t>
            </w:r>
            <w:r>
              <w:rPr>
                <w:rFonts w:hint="default" w:ascii="Times New Roman" w:hAnsi="Times New Roman" w:eastAsia="方正仿宋_GBK" w:cs="Times New Roman"/>
                <w:i w:val="0"/>
                <w:iCs w:val="0"/>
                <w:color w:val="000000"/>
                <w:kern w:val="0"/>
                <w:sz w:val="21"/>
                <w:szCs w:val="21"/>
                <w:u w:val="none"/>
                <w:lang w:val="en-US" w:eastAsia="zh-CN" w:bidi="ar"/>
              </w:rPr>
              <w:t>项</w:t>
            </w:r>
            <w:r>
              <w:rPr>
                <w:rFonts w:hint="eastAsia" w:cs="Times New Roman"/>
                <w:i w:val="0"/>
                <w:iCs w:val="0"/>
                <w:color w:val="000000"/>
                <w:kern w:val="0"/>
                <w:sz w:val="21"/>
                <w:szCs w:val="21"/>
                <w:u w:val="none"/>
                <w:lang w:val="en-US" w:eastAsia="zh-CN" w:bidi="ar"/>
              </w:rPr>
              <w:t>，其中：芒市人民医院11项、梁河县人民医院6项、盈江县人民医院28项、陇川县人民医院1项。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85" w:hRule="atLeast"/>
          <w:jc w:val="center"/>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topLinePunct w:val="0"/>
              <w:autoSpaceDE/>
              <w:autoSpaceDN/>
              <w:bidi w:val="0"/>
              <w:adjustRightInd/>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54</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效益指标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社会效益指标</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县医院远程医疗系统配置率</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较上一年提高</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完成</w:t>
            </w:r>
          </w:p>
        </w:tc>
        <w:tc>
          <w:tcPr>
            <w:tcW w:w="1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topLinePunct w:val="0"/>
              <w:autoSpaceDE/>
              <w:autoSpaceDN/>
              <w:bidi w:val="0"/>
              <w:adjustRightInd/>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55</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效益指标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社会效益指标</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县域就诊率较上一年得到提升的项目县占比</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≥60%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完成</w:t>
            </w:r>
          </w:p>
        </w:tc>
        <w:tc>
          <w:tcPr>
            <w:tcW w:w="1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5" w:hRule="atLeast"/>
          <w:jc w:val="center"/>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topLinePunct w:val="0"/>
              <w:autoSpaceDE/>
              <w:autoSpaceDN/>
              <w:bidi w:val="0"/>
              <w:adjustRightInd/>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56</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效益指标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社会效益指标</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受支持的乡镇卫生院开展新技术或新项目的数量</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≥1项</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完成</w:t>
            </w:r>
          </w:p>
        </w:tc>
        <w:tc>
          <w:tcPr>
            <w:tcW w:w="1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eastAsia" w:cs="Times New Roman"/>
                <w:i w:val="0"/>
                <w:iCs w:val="0"/>
                <w:color w:val="000000"/>
                <w:kern w:val="0"/>
                <w:sz w:val="21"/>
                <w:szCs w:val="21"/>
                <w:u w:val="none"/>
                <w:lang w:val="en-US" w:eastAsia="zh-CN" w:bidi="ar"/>
              </w:rPr>
              <w:t>陇川县城子镇中心卫生院年内开展新项目</w:t>
            </w:r>
            <w:r>
              <w:rPr>
                <w:rFonts w:hint="default" w:ascii="Times New Roman" w:hAnsi="Times New Roman" w:eastAsia="方正仿宋_GBK" w:cs="Times New Roman"/>
                <w:i w:val="0"/>
                <w:iCs w:val="0"/>
                <w:color w:val="000000"/>
                <w:kern w:val="0"/>
                <w:sz w:val="21"/>
                <w:szCs w:val="21"/>
                <w:u w:val="none"/>
                <w:lang w:val="en-US" w:eastAsia="zh-CN" w:bidi="ar"/>
              </w:rPr>
              <w:t>4项</w:t>
            </w:r>
            <w:r>
              <w:rPr>
                <w:rFonts w:hint="eastAsia" w:cs="Times New Roman"/>
                <w:i w:val="0"/>
                <w:iCs w:val="0"/>
                <w:color w:val="000000"/>
                <w:kern w:val="0"/>
                <w:sz w:val="21"/>
                <w:szCs w:val="21"/>
                <w:u w:val="none"/>
                <w:lang w:val="en-US" w:eastAsia="zh-CN" w:bidi="ar"/>
              </w:rPr>
              <w:t>，具体为：穴位埋线技术、穴位贴敷技术、根管测量技术长度技术、口腔X一次性成像技术。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27" w:hRule="atLeast"/>
          <w:jc w:val="center"/>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topLinePunct w:val="0"/>
              <w:autoSpaceDE/>
              <w:autoSpaceDN/>
              <w:bidi w:val="0"/>
              <w:adjustRightInd/>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57</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效益指标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可持续影响指标</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管理费用占公立医院业务支出的比例</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较上年降低</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完成</w:t>
            </w:r>
          </w:p>
        </w:tc>
        <w:tc>
          <w:tcPr>
            <w:tcW w:w="1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2023年9.68%，较2022年10.27%降低0.59个百分点。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27" w:hRule="atLeast"/>
          <w:jc w:val="center"/>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topLinePunct w:val="0"/>
              <w:autoSpaceDE/>
              <w:autoSpaceDN/>
              <w:bidi w:val="0"/>
              <w:adjustRightInd/>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58</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效益指标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可持续影响指标</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三级公立医院万元收入能耗支出</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较上年降低</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完成</w:t>
            </w:r>
          </w:p>
        </w:tc>
        <w:tc>
          <w:tcPr>
            <w:tcW w:w="1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2023年32元，较2022年45元减少13元。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3" w:hRule="atLeast"/>
          <w:jc w:val="center"/>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topLinePunct w:val="0"/>
              <w:autoSpaceDE/>
              <w:autoSpaceDN/>
              <w:bidi w:val="0"/>
              <w:adjustRightInd/>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59</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效益指标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可持续影响指标</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实现收支平衡的公立医院数占公立医院总数的比例</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较上年提高</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完成</w:t>
            </w:r>
          </w:p>
        </w:tc>
        <w:tc>
          <w:tcPr>
            <w:tcW w:w="1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2023年实现收支平衡的公立医院从上年的6家，增加到8家，占公立医院总数比例提高到89%，较2022年60%提高29个百分点。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8" w:hRule="atLeast"/>
          <w:jc w:val="center"/>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topLinePunct w:val="0"/>
              <w:autoSpaceDE/>
              <w:autoSpaceDN/>
              <w:bidi w:val="0"/>
              <w:adjustRightInd/>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60</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效益指标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可持续影响指标</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项目成果持续发展能力</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显著提升</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完成</w:t>
            </w:r>
          </w:p>
        </w:tc>
        <w:tc>
          <w:tcPr>
            <w:tcW w:w="1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通过项目推进，</w:t>
            </w:r>
            <w:r>
              <w:rPr>
                <w:rFonts w:hint="eastAsia" w:cs="Times New Roman"/>
                <w:i w:val="0"/>
                <w:iCs w:val="0"/>
                <w:color w:val="000000"/>
                <w:kern w:val="0"/>
                <w:sz w:val="21"/>
                <w:szCs w:val="21"/>
                <w:u w:val="none"/>
                <w:lang w:val="en-US" w:eastAsia="zh-CN" w:bidi="ar"/>
              </w:rPr>
              <w:t>瑞丽市中医傣医医院</w:t>
            </w:r>
            <w:r>
              <w:rPr>
                <w:rFonts w:hint="default" w:ascii="Times New Roman" w:hAnsi="Times New Roman" w:eastAsia="方正仿宋_GBK" w:cs="Times New Roman"/>
                <w:i w:val="0"/>
                <w:iCs w:val="0"/>
                <w:color w:val="000000"/>
                <w:kern w:val="0"/>
                <w:sz w:val="21"/>
                <w:szCs w:val="21"/>
                <w:u w:val="none"/>
                <w:lang w:val="en-US" w:eastAsia="zh-CN" w:bidi="ar"/>
              </w:rPr>
              <w:t>建成肛肠科、皮肤科两个门诊和肛肠科住院部，医院持续发展能力显著提升。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27" w:hRule="atLeast"/>
          <w:jc w:val="center"/>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topLinePunct w:val="0"/>
              <w:autoSpaceDE/>
              <w:autoSpaceDN/>
              <w:bidi w:val="0"/>
              <w:adjustRightInd/>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61</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效益指标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可持续影响指标</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提升智慧化监测预警和风险评估能力水平</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有效提升</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未完成</w:t>
            </w:r>
          </w:p>
        </w:tc>
        <w:tc>
          <w:tcPr>
            <w:tcW w:w="1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2024年2月下达资金，正在开展政府采购工作。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27" w:hRule="atLeast"/>
          <w:jc w:val="center"/>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topLinePunct w:val="0"/>
              <w:autoSpaceDE/>
              <w:autoSpaceDN/>
              <w:bidi w:val="0"/>
              <w:adjustRightInd/>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62</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效益指标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可持续影响指标</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卫生监督工作效率</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有效提升</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未完成</w:t>
            </w:r>
          </w:p>
        </w:tc>
        <w:tc>
          <w:tcPr>
            <w:tcW w:w="1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2024年2月下达资金，正在开展政府采购工作。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6" w:hRule="atLeast"/>
          <w:jc w:val="center"/>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topLinePunct w:val="0"/>
              <w:autoSpaceDE/>
              <w:autoSpaceDN/>
              <w:bidi w:val="0"/>
              <w:adjustRightInd/>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63</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效益指标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可持续影响指标</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受支持的乡镇卫生院诊疗人次</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较上年提高</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完成</w:t>
            </w:r>
          </w:p>
        </w:tc>
        <w:tc>
          <w:tcPr>
            <w:tcW w:w="1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2023年114587人次，2022年54042人次（已扣减愿检尽检人员核酸检测人次88766人次），诊疗人次较上年提高112%。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3" w:hRule="atLeast"/>
          <w:jc w:val="center"/>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topLinePunct w:val="0"/>
              <w:autoSpaceDE/>
              <w:autoSpaceDN/>
              <w:bidi w:val="0"/>
              <w:adjustRightInd/>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满意度指标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服务对象受益度指标</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公立医院门诊患者满意度</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≧85.00分</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完成</w:t>
            </w:r>
          </w:p>
        </w:tc>
        <w:tc>
          <w:tcPr>
            <w:tcW w:w="1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88.7（2022年度）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7" w:hRule="atLeast"/>
          <w:jc w:val="center"/>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topLinePunct w:val="0"/>
              <w:autoSpaceDE/>
              <w:autoSpaceDN/>
              <w:bidi w:val="0"/>
              <w:adjustRightInd/>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65</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满意度指标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服务对象受益度指标</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公立医院职工满意度</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≧78.71分</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完成</w:t>
            </w:r>
          </w:p>
        </w:tc>
        <w:tc>
          <w:tcPr>
            <w:tcW w:w="1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88.23（2022年度）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27" w:hRule="atLeast"/>
          <w:jc w:val="center"/>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topLinePunct w:val="0"/>
              <w:autoSpaceDE/>
              <w:autoSpaceDN/>
              <w:bidi w:val="0"/>
              <w:adjustRightInd/>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66</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满意度指标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服务对象受益度指标</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公立医院住院患者满意度</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≧88.54分</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完成</w:t>
            </w:r>
          </w:p>
        </w:tc>
        <w:tc>
          <w:tcPr>
            <w:tcW w:w="1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88.77（2022年度）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jc w:val="center"/>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topLinePunct w:val="0"/>
              <w:autoSpaceDE/>
              <w:autoSpaceDN/>
              <w:bidi w:val="0"/>
              <w:adjustRightInd/>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67</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满意度指标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服务对象受益度指标</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中医药事业传承与发展项目培训对象满意度</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≧90%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完成</w:t>
            </w:r>
          </w:p>
        </w:tc>
        <w:tc>
          <w:tcPr>
            <w:tcW w:w="1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jc w:val="center"/>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topLinePunct w:val="0"/>
              <w:autoSpaceDE/>
              <w:autoSpaceDN/>
              <w:bidi w:val="0"/>
              <w:adjustRightInd/>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68</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满意度指标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服务对象受益度指标</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监测预警培训学员满意度</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≥90%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未完成</w:t>
            </w:r>
          </w:p>
        </w:tc>
        <w:tc>
          <w:tcPr>
            <w:tcW w:w="1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2024年2月下达资金，各项业务工作正在组织实施。正积极筹备培训工作。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27" w:hRule="atLeast"/>
          <w:jc w:val="center"/>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topLinePunct w:val="0"/>
              <w:autoSpaceDE/>
              <w:autoSpaceDN/>
              <w:bidi w:val="0"/>
              <w:adjustRightInd/>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69</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满意度指标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服务对象受益度指标</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助理全科医生培训参培学员满意度</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≧85%</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完成</w:t>
            </w:r>
          </w:p>
        </w:tc>
        <w:tc>
          <w:tcPr>
            <w:tcW w:w="1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27" w:hRule="atLeast"/>
          <w:jc w:val="center"/>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topLinePunct w:val="0"/>
              <w:autoSpaceDE/>
              <w:autoSpaceDN/>
              <w:bidi w:val="0"/>
              <w:adjustRightInd/>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70</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满意度指标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服务对象受益度指标</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承担疫情重点救治任务医院能力建设项目医院患者满意度</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较去年提升</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完成</w:t>
            </w:r>
          </w:p>
        </w:tc>
        <w:tc>
          <w:tcPr>
            <w:tcW w:w="1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2023年94.48%，较2022年93.56%，提高0.92个百分点</w:t>
            </w:r>
            <w:r>
              <w:rPr>
                <w:rFonts w:hint="eastAsia" w:cs="Times New Roman"/>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jc w:val="center"/>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topLinePunct w:val="0"/>
              <w:autoSpaceDE/>
              <w:autoSpaceDN/>
              <w:bidi w:val="0"/>
              <w:adjustRightInd/>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71</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满意度指标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服务对象受益度指标</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县域医疗机构能力提升项目县医疗机构患者满意度</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较上一年提高</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完成</w:t>
            </w:r>
          </w:p>
        </w:tc>
        <w:tc>
          <w:tcPr>
            <w:tcW w:w="1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2023年94.12%，较2022年90.74%，提高3.38个百分点。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jc w:val="center"/>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topLinePunct w:val="0"/>
              <w:autoSpaceDE/>
              <w:autoSpaceDN/>
              <w:bidi w:val="0"/>
              <w:adjustRightInd/>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72</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满意度指标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服务对象受益度指标</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县域医疗机构能力提升项目县医疗机构医务人员满意度</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较上一年提高</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完成</w:t>
            </w:r>
          </w:p>
        </w:tc>
        <w:tc>
          <w:tcPr>
            <w:tcW w:w="1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2023年91.62%，较2022年82.32%，提高9.3%。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36" w:hRule="atLeast"/>
          <w:jc w:val="center"/>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topLinePunct w:val="0"/>
              <w:autoSpaceDE/>
              <w:autoSpaceDN/>
              <w:bidi w:val="0"/>
              <w:adjustRightInd/>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73</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满意度指标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服务对象受益度指标</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职业病诊疗康复机构能力提升项目医疗机构患者满意度</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较上年提高</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完成</w:t>
            </w:r>
          </w:p>
        </w:tc>
        <w:tc>
          <w:tcPr>
            <w:tcW w:w="1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方正仿宋_GBK" w:cs="Times New Roman"/>
                <w:i w:val="0"/>
                <w:iCs w:val="0"/>
                <w:color w:val="000000"/>
                <w:sz w:val="21"/>
                <w:szCs w:val="21"/>
                <w:u w:val="none"/>
                <w:lang w:val="en-US"/>
              </w:rPr>
            </w:pPr>
            <w:r>
              <w:rPr>
                <w:rFonts w:hint="default" w:ascii="Times New Roman" w:hAnsi="Times New Roman" w:eastAsia="方正仿宋_GBK" w:cs="Times New Roman"/>
                <w:i w:val="0"/>
                <w:iCs w:val="0"/>
                <w:color w:val="000000"/>
                <w:kern w:val="0"/>
                <w:sz w:val="21"/>
                <w:szCs w:val="21"/>
                <w:u w:val="none"/>
                <w:lang w:val="en-US" w:eastAsia="zh-CN" w:bidi="ar"/>
              </w:rPr>
              <w:t>2023年95.61%，较2022年95.38%，提高0.23个百分点</w:t>
            </w:r>
            <w:r>
              <w:rPr>
                <w:rFonts w:hint="eastAsia" w:cs="Times New Roman"/>
                <w:i w:val="0"/>
                <w:iCs w:val="0"/>
                <w:color w:val="000000"/>
                <w:kern w:val="0"/>
                <w:sz w:val="21"/>
                <w:szCs w:val="21"/>
                <w:u w:val="none"/>
                <w:lang w:val="en-US" w:eastAsia="zh-CN" w:bidi="ar"/>
              </w:rPr>
              <w:t>。</w:t>
            </w:r>
          </w:p>
        </w:tc>
      </w:tr>
    </w:tbl>
    <w:p>
      <w:pPr>
        <w:bidi w:val="0"/>
        <w:rPr>
          <w:rFonts w:hint="eastAsia"/>
          <w:lang w:eastAsia="zh-CN"/>
        </w:rPr>
      </w:pPr>
    </w:p>
    <w:p>
      <w:pPr>
        <w:rPr>
          <w:rFonts w:hint="default"/>
          <w:b/>
          <w:bCs/>
          <w:lang w:val="en-US" w:eastAsia="zh-CN"/>
        </w:rPr>
      </w:pPr>
      <w:r>
        <w:rPr>
          <w:rFonts w:hint="eastAsia"/>
          <w:b/>
          <w:bCs/>
          <w:lang w:val="en-US" w:eastAsia="zh-CN"/>
        </w:rPr>
        <w:t>未完成指标原因分析及改进措施</w:t>
      </w:r>
    </w:p>
    <w:p>
      <w:pPr>
        <w:rPr>
          <w:rFonts w:hint="eastAsia"/>
          <w:lang w:val="en-US" w:eastAsia="zh-CN"/>
        </w:rPr>
      </w:pPr>
      <w:r>
        <w:rPr>
          <w:rFonts w:hint="eastAsia"/>
          <w:lang w:val="en-US" w:eastAsia="zh-CN"/>
        </w:rPr>
        <w:t>1．</w:t>
      </w:r>
      <w:r>
        <w:rPr>
          <w:rFonts w:hint="eastAsia"/>
          <w:lang w:eastAsia="zh-CN"/>
        </w:rPr>
        <w:t>公立医院综合改革</w:t>
      </w:r>
      <w:r>
        <w:rPr>
          <w:rFonts w:hint="eastAsia"/>
          <w:lang w:val="en-US" w:eastAsia="zh-CN"/>
        </w:rPr>
        <w:t>3项</w:t>
      </w:r>
      <w:r>
        <w:rPr>
          <w:rFonts w:hint="eastAsia"/>
          <w:lang w:eastAsia="zh-CN"/>
        </w:rPr>
        <w:t>指标未完成。</w:t>
      </w:r>
      <w:r>
        <w:rPr>
          <w:rFonts w:hint="default"/>
          <w:lang w:eastAsia="zh-CN"/>
        </w:rPr>
        <w:t>主要为</w:t>
      </w:r>
      <w:r>
        <w:rPr>
          <w:rFonts w:hint="default"/>
        </w:rPr>
        <w:t>三级公立医院出院患者手术占比</w:t>
      </w:r>
      <w:r>
        <w:rPr>
          <w:rFonts w:hint="default"/>
          <w:lang w:eastAsia="zh-CN"/>
        </w:rPr>
        <w:t>较上年下降</w:t>
      </w:r>
      <w:r>
        <w:rPr>
          <w:rFonts w:hint="default"/>
          <w:lang w:val="en-US" w:eastAsia="zh-CN"/>
        </w:rPr>
        <w:t>0.97个百分点，</w:t>
      </w:r>
      <w:r>
        <w:rPr>
          <w:rFonts w:hint="default"/>
        </w:rPr>
        <w:t>三级公立医院出院患者四级手术比例</w:t>
      </w:r>
      <w:r>
        <w:rPr>
          <w:rFonts w:hint="default"/>
          <w:lang w:eastAsia="zh-CN"/>
        </w:rPr>
        <w:t>较上年下降</w:t>
      </w:r>
      <w:r>
        <w:rPr>
          <w:rFonts w:hint="default"/>
          <w:lang w:val="en-US" w:eastAsia="zh-CN"/>
        </w:rPr>
        <w:t>8.19个百分点，</w:t>
      </w:r>
      <w:r>
        <w:rPr>
          <w:rFonts w:hint="default"/>
        </w:rPr>
        <w:t>公立医院每门急诊人次平均收费水平增长比例</w:t>
      </w:r>
      <w:r>
        <w:rPr>
          <w:rFonts w:hint="default"/>
          <w:lang w:eastAsia="zh-CN"/>
        </w:rPr>
        <w:t>较上年提高</w:t>
      </w:r>
      <w:r>
        <w:rPr>
          <w:rFonts w:hint="default"/>
          <w:lang w:val="en-US" w:eastAsia="zh-CN"/>
        </w:rPr>
        <w:t>178.94%。这3项指标未完成的主要原因：一是</w:t>
      </w:r>
      <w:r>
        <w:rPr>
          <w:rFonts w:hint="default"/>
        </w:rPr>
        <w:t>因冬春季儿科、内科肺炎流感等常见病</w:t>
      </w:r>
      <w:r>
        <w:rPr>
          <w:rFonts w:hint="default"/>
          <w:lang w:eastAsia="zh-CN"/>
        </w:rPr>
        <w:t>门诊</w:t>
      </w:r>
      <w:r>
        <w:rPr>
          <w:rFonts w:hint="default"/>
        </w:rPr>
        <w:t>患者增多</w:t>
      </w:r>
      <w:r>
        <w:rPr>
          <w:rFonts w:hint="default"/>
          <w:lang w:eastAsia="zh-CN"/>
        </w:rPr>
        <w:t>，导致</w:t>
      </w:r>
      <w:r>
        <w:rPr>
          <w:rFonts w:hint="default"/>
        </w:rPr>
        <w:t>出院患者手术占比</w:t>
      </w:r>
      <w:r>
        <w:rPr>
          <w:rFonts w:hint="default"/>
          <w:lang w:eastAsia="zh-CN"/>
        </w:rPr>
        <w:t>下降；二是</w:t>
      </w:r>
      <w:r>
        <w:rPr>
          <w:rFonts w:hint="default"/>
        </w:rPr>
        <w:t>日间二级手术比例增加</w:t>
      </w:r>
      <w:r>
        <w:rPr>
          <w:rFonts w:hint="default"/>
          <w:lang w:eastAsia="zh-CN"/>
        </w:rPr>
        <w:t>，导致</w:t>
      </w:r>
      <w:r>
        <w:rPr>
          <w:rFonts w:hint="default"/>
        </w:rPr>
        <w:t>出院患者四级手术比例</w:t>
      </w:r>
      <w:r>
        <w:rPr>
          <w:rFonts w:hint="default"/>
          <w:lang w:eastAsia="zh-CN"/>
        </w:rPr>
        <w:t>下降；三是</w:t>
      </w:r>
      <w:r>
        <w:rPr>
          <w:rFonts w:hint="default"/>
        </w:rPr>
        <w:t>每门急诊人次平均收费</w:t>
      </w:r>
      <w:r>
        <w:rPr>
          <w:rFonts w:hint="default"/>
          <w:lang w:eastAsia="zh-CN"/>
        </w:rPr>
        <w:t>水平因</w:t>
      </w:r>
      <w:r>
        <w:rPr>
          <w:rFonts w:hint="default"/>
        </w:rPr>
        <w:t>2022年度该指标包含新冠肺炎</w:t>
      </w:r>
      <w:r>
        <w:rPr>
          <w:rFonts w:hint="eastAsia" w:ascii="方正仿宋_GBK" w:hAnsi="方正仿宋_GBK" w:eastAsia="方正仿宋_GBK" w:cs="方正仿宋_GBK"/>
        </w:rPr>
        <w:t>“</w:t>
      </w:r>
      <w:r>
        <w:rPr>
          <w:rFonts w:hint="default"/>
        </w:rPr>
        <w:t>愿检尽检</w:t>
      </w:r>
      <w:r>
        <w:rPr>
          <w:rFonts w:hint="eastAsia" w:ascii="方正仿宋_GBK" w:hAnsi="方正仿宋_GBK" w:eastAsia="方正仿宋_GBK" w:cs="方正仿宋_GBK"/>
        </w:rPr>
        <w:t>”</w:t>
      </w:r>
      <w:r>
        <w:rPr>
          <w:rFonts w:hint="default"/>
        </w:rPr>
        <w:t>核酸检测人次</w:t>
      </w:r>
      <w:r>
        <w:rPr>
          <w:rFonts w:hint="default"/>
          <w:lang w:eastAsia="zh-CN"/>
        </w:rPr>
        <w:t>，拉低了平均收费水平</w:t>
      </w:r>
      <w:r>
        <w:rPr>
          <w:rFonts w:hint="default"/>
        </w:rPr>
        <w:t>，2023年度疫情转段防控措施相应调整，新冠肺炎核酸检测人次大幅减少，总体门急诊人次大幅下降，致人均费用大幅提高。</w:t>
      </w:r>
      <w:r>
        <w:rPr>
          <w:rFonts w:hint="default"/>
          <w:lang w:val="en-US" w:eastAsia="zh-CN"/>
        </w:rPr>
        <w:t>改进措施：</w:t>
      </w:r>
      <w:r>
        <w:rPr>
          <w:rFonts w:hint="default"/>
        </w:rPr>
        <w:t>加大日间手术推进力度，提高医疗技术水平。</w:t>
      </w:r>
      <w:r>
        <w:rPr>
          <w:rFonts w:hint="default"/>
          <w:lang w:eastAsia="zh-CN"/>
        </w:rPr>
        <w:t>努力</w:t>
      </w:r>
      <w:r>
        <w:rPr>
          <w:rFonts w:hint="default"/>
        </w:rPr>
        <w:t>提高医疗技术水平，</w:t>
      </w:r>
      <w:r>
        <w:rPr>
          <w:rFonts w:hint="default"/>
          <w:lang w:eastAsia="zh-CN"/>
        </w:rPr>
        <w:t>积极</w:t>
      </w:r>
      <w:r>
        <w:rPr>
          <w:rFonts w:hint="default"/>
        </w:rPr>
        <w:t>开展新技术新项目</w:t>
      </w:r>
      <w:r>
        <w:rPr>
          <w:rFonts w:hint="default"/>
          <w:lang w:eastAsia="zh-CN"/>
        </w:rPr>
        <w:t>，不断提升</w:t>
      </w:r>
      <w:r>
        <w:rPr>
          <w:rFonts w:hint="default"/>
          <w:lang w:val="en-US" w:eastAsia="zh-CN"/>
        </w:rPr>
        <w:t>公立医院医疗服务能力。</w:t>
      </w:r>
    </w:p>
    <w:p>
      <w:pPr>
        <w:bidi w:val="0"/>
        <w:rPr>
          <w:rFonts w:hint="eastAsia"/>
          <w:lang w:val="en-US" w:eastAsia="zh-CN"/>
        </w:rPr>
      </w:pPr>
      <w:r>
        <w:rPr>
          <w:rFonts w:hint="eastAsia"/>
          <w:lang w:val="en-US" w:eastAsia="zh-CN"/>
        </w:rPr>
        <w:t>2．</w:t>
      </w:r>
      <w:r>
        <w:rPr>
          <w:rFonts w:hint="eastAsia"/>
        </w:rPr>
        <w:t>监测预警队伍建设和人才培养项目</w:t>
      </w:r>
      <w:r>
        <w:rPr>
          <w:rFonts w:hint="eastAsia"/>
          <w:lang w:eastAsia="zh-CN"/>
        </w:rPr>
        <w:t>未实施。因州财政局</w:t>
      </w:r>
      <w:r>
        <w:rPr>
          <w:rFonts w:hint="eastAsia"/>
          <w:lang w:val="en-US" w:eastAsia="zh-CN"/>
        </w:rPr>
        <w:t>2024年2月才下达资金，项目工作未能按计划在2023年实施，导致</w:t>
      </w:r>
      <w:r>
        <w:rPr>
          <w:rFonts w:hint="eastAsia"/>
        </w:rPr>
        <w:t>监测预警基层专业人员培训人数完成率</w:t>
      </w:r>
      <w:r>
        <w:rPr>
          <w:rFonts w:hint="eastAsia"/>
          <w:lang w:eastAsia="zh-CN"/>
        </w:rPr>
        <w:t>、</w:t>
      </w:r>
      <w:r>
        <w:rPr>
          <w:rFonts w:hint="eastAsia"/>
        </w:rPr>
        <w:t>监测预警专业骨干培训人数完成率</w:t>
      </w:r>
      <w:r>
        <w:rPr>
          <w:rFonts w:hint="eastAsia"/>
          <w:lang w:eastAsia="zh-CN"/>
        </w:rPr>
        <w:t>、</w:t>
      </w:r>
      <w:r>
        <w:rPr>
          <w:rFonts w:hint="eastAsia"/>
        </w:rPr>
        <w:t>传染病应急参训人员培训完成率</w:t>
      </w:r>
      <w:r>
        <w:rPr>
          <w:rFonts w:hint="eastAsia"/>
          <w:lang w:eastAsia="zh-CN"/>
        </w:rPr>
        <w:t>、</w:t>
      </w:r>
      <w:r>
        <w:rPr>
          <w:rFonts w:hint="eastAsia"/>
        </w:rPr>
        <w:t>监测预警培训学员满意度</w:t>
      </w:r>
      <w:r>
        <w:rPr>
          <w:rFonts w:hint="eastAsia"/>
          <w:lang w:eastAsia="zh-CN"/>
        </w:rPr>
        <w:t>等</w:t>
      </w:r>
      <w:r>
        <w:rPr>
          <w:rFonts w:hint="eastAsia"/>
          <w:lang w:val="en-US" w:eastAsia="zh-CN"/>
        </w:rPr>
        <w:t>4个指标未完成。改进措施：德宏州疾病预防控制中心正在积极筹备培训工作；</w:t>
      </w:r>
    </w:p>
    <w:p>
      <w:pPr>
        <w:bidi w:val="0"/>
        <w:rPr>
          <w:rFonts w:hint="default"/>
        </w:rPr>
      </w:pPr>
      <w:r>
        <w:rPr>
          <w:rFonts w:hint="eastAsia"/>
          <w:lang w:val="en-US" w:eastAsia="zh-CN"/>
        </w:rPr>
        <w:t>3．</w:t>
      </w:r>
      <w:r>
        <w:rPr>
          <w:rFonts w:hint="eastAsia"/>
        </w:rPr>
        <w:t>助理全科医生培训结业考核通过率</w:t>
      </w:r>
      <w:r>
        <w:rPr>
          <w:rFonts w:hint="eastAsia"/>
          <w:lang w:eastAsia="zh-CN"/>
        </w:rPr>
        <w:t>低于目标要求。</w:t>
      </w:r>
      <w:r>
        <w:rPr>
          <w:rFonts w:hint="eastAsia"/>
          <w:lang w:val="en-US" w:eastAsia="zh-CN"/>
        </w:rPr>
        <w:t>2023年我州培训基地</w:t>
      </w:r>
      <w:r>
        <w:rPr>
          <w:rFonts w:hint="eastAsia"/>
        </w:rPr>
        <w:t>助理全科医生培训结业考核通过率</w:t>
      </w:r>
      <w:r>
        <w:rPr>
          <w:rFonts w:hint="eastAsia"/>
          <w:lang w:eastAsia="zh-CN"/>
        </w:rPr>
        <w:t>为</w:t>
      </w:r>
      <w:r>
        <w:rPr>
          <w:rFonts w:hint="eastAsia"/>
          <w:lang w:val="en-US" w:eastAsia="zh-CN"/>
        </w:rPr>
        <w:t>78.5%，较目标要求低6.5个百分点。</w:t>
      </w:r>
      <w:r>
        <w:rPr>
          <w:rFonts w:hint="eastAsia"/>
        </w:rPr>
        <w:t>改进措施：进一步加强培训基地管理，严格教学活动，强化师资力量。</w:t>
      </w:r>
    </w:p>
    <w:p>
      <w:pPr>
        <w:bidi w:val="0"/>
        <w:rPr>
          <w:rFonts w:hint="default"/>
        </w:rPr>
      </w:pPr>
      <w:r>
        <w:rPr>
          <w:rFonts w:hint="eastAsia"/>
          <w:lang w:val="en-US" w:eastAsia="zh-CN"/>
        </w:rPr>
        <w:t>4．州级</w:t>
      </w:r>
      <w:r>
        <w:rPr>
          <w:rFonts w:hint="eastAsia"/>
        </w:rPr>
        <w:t>传染病监测预警及应急指挥能力提升</w:t>
      </w:r>
      <w:r>
        <w:rPr>
          <w:rFonts w:hint="eastAsia"/>
          <w:lang w:eastAsia="zh-CN"/>
        </w:rPr>
        <w:t>项目未实施。</w:t>
      </w:r>
      <w:r>
        <w:rPr>
          <w:rFonts w:hint="eastAsia"/>
        </w:rPr>
        <w:t>因州财政局2024年2月才下达资金，项目工作未能按计划在2023年实施，导致采购全自动污水采样设备</w:t>
      </w:r>
      <w:r>
        <w:rPr>
          <w:rFonts w:hint="eastAsia"/>
          <w:lang w:eastAsia="zh-CN"/>
        </w:rPr>
        <w:t>、</w:t>
      </w:r>
      <w:r>
        <w:rPr>
          <w:rFonts w:hint="eastAsia"/>
        </w:rPr>
        <w:t>传染病监测预警及应急指挥提升项目技术升级和业务保障能力提升</w:t>
      </w:r>
      <w:r>
        <w:rPr>
          <w:rFonts w:hint="eastAsia"/>
          <w:lang w:eastAsia="zh-CN"/>
        </w:rPr>
        <w:t>、</w:t>
      </w:r>
      <w:r>
        <w:rPr>
          <w:rFonts w:hint="eastAsia"/>
        </w:rPr>
        <w:t>升级传染病疫情报告网络安全防护条件</w:t>
      </w:r>
      <w:r>
        <w:rPr>
          <w:rFonts w:hint="eastAsia"/>
          <w:lang w:eastAsia="zh-CN"/>
        </w:rPr>
        <w:t>、</w:t>
      </w:r>
      <w:r>
        <w:rPr>
          <w:rFonts w:hint="eastAsia"/>
        </w:rPr>
        <w:t>提升智慧化监测预警和风险评估能力水平</w:t>
      </w:r>
      <w:r>
        <w:rPr>
          <w:rFonts w:hint="eastAsia"/>
          <w:lang w:eastAsia="zh-CN"/>
        </w:rPr>
        <w:t>共</w:t>
      </w:r>
      <w:r>
        <w:rPr>
          <w:rFonts w:hint="eastAsia"/>
          <w:lang w:val="en-US" w:eastAsia="zh-CN"/>
        </w:rPr>
        <w:t>4项指标未完成。改进措施：德宏州疾病预防控制中心正在组织实施政府采购工作。</w:t>
      </w:r>
    </w:p>
    <w:p>
      <w:pPr>
        <w:bidi w:val="0"/>
        <w:rPr>
          <w:rFonts w:hint="default"/>
        </w:rPr>
      </w:pPr>
      <w:r>
        <w:rPr>
          <w:rFonts w:hint="eastAsia"/>
          <w:lang w:val="en-US" w:eastAsia="zh-CN"/>
        </w:rPr>
        <w:t>5．州级</w:t>
      </w:r>
      <w:r>
        <w:rPr>
          <w:rFonts w:hint="eastAsia"/>
        </w:rPr>
        <w:t>卫生监督机构能力建设</w:t>
      </w:r>
      <w:r>
        <w:rPr>
          <w:rFonts w:hint="eastAsia"/>
          <w:lang w:eastAsia="zh-CN"/>
        </w:rPr>
        <w:t>项目未实施。</w:t>
      </w:r>
      <w:r>
        <w:rPr>
          <w:rFonts w:hint="eastAsia"/>
        </w:rPr>
        <w:t>因州财政局2024年2月才下达资金，项目工作未能按计划在2023年实施，导致卫生监督执法装备购置完成率</w:t>
      </w:r>
      <w:r>
        <w:rPr>
          <w:rFonts w:hint="eastAsia"/>
          <w:lang w:eastAsia="zh-CN"/>
        </w:rPr>
        <w:t>、</w:t>
      </w:r>
      <w:r>
        <w:rPr>
          <w:rFonts w:hint="eastAsia"/>
        </w:rPr>
        <w:t>卫生监督工作效率</w:t>
      </w:r>
      <w:r>
        <w:rPr>
          <w:rFonts w:hint="eastAsia"/>
          <w:lang w:eastAsia="zh-CN"/>
        </w:rPr>
        <w:t>共</w:t>
      </w:r>
      <w:r>
        <w:rPr>
          <w:rFonts w:hint="eastAsia"/>
          <w:lang w:val="en-US" w:eastAsia="zh-CN"/>
        </w:rPr>
        <w:t>2个指标未完成。</w:t>
      </w:r>
      <w:r>
        <w:rPr>
          <w:rFonts w:hint="eastAsia"/>
        </w:rPr>
        <w:t>德宏州疾病预防控制中心正在组织实施政府采购工作。</w:t>
      </w:r>
    </w:p>
    <w:p>
      <w:pPr>
        <w:bidi w:val="0"/>
        <w:rPr>
          <w:rFonts w:hint="default"/>
        </w:rPr>
      </w:pPr>
      <w:r>
        <w:rPr>
          <w:rFonts w:hint="eastAsia"/>
          <w:lang w:val="en-US" w:eastAsia="zh-CN"/>
        </w:rPr>
        <w:t>6．陇川县</w:t>
      </w:r>
      <w:r>
        <w:rPr>
          <w:rFonts w:hint="eastAsia"/>
        </w:rPr>
        <w:t>乡镇卫生院配置升级医疗设备</w:t>
      </w:r>
      <w:r>
        <w:rPr>
          <w:rFonts w:hint="eastAsia"/>
          <w:lang w:eastAsia="zh-CN"/>
        </w:rPr>
        <w:t>项目设备采购未完成。因陇川县财政局</w:t>
      </w:r>
      <w:r>
        <w:rPr>
          <w:rFonts w:hint="eastAsia"/>
          <w:lang w:val="en-US" w:eastAsia="zh-CN"/>
        </w:rPr>
        <w:t>2024年才下达项目资金，项</w:t>
      </w:r>
      <w:bookmarkStart w:id="0" w:name="_GoBack"/>
      <w:bookmarkEnd w:id="0"/>
      <w:r>
        <w:rPr>
          <w:rFonts w:hint="eastAsia"/>
          <w:lang w:val="en-US" w:eastAsia="zh-CN"/>
        </w:rPr>
        <w:t>目设备未能在2023年实施采购，导致</w:t>
      </w:r>
      <w:r>
        <w:rPr>
          <w:rFonts w:hint="eastAsia"/>
        </w:rPr>
        <w:t>受支持的乡镇卫生院新增设备数量</w:t>
      </w:r>
      <w:r>
        <w:rPr>
          <w:rFonts w:hint="eastAsia"/>
          <w:lang w:eastAsia="zh-CN"/>
        </w:rPr>
        <w:t>未完成。改进措施：已向财政部门申请资金，正在组织采购，预计</w:t>
      </w:r>
      <w:r>
        <w:rPr>
          <w:rFonts w:hint="eastAsia"/>
          <w:lang w:val="en-US" w:eastAsia="zh-CN"/>
        </w:rPr>
        <w:t>2024年7月完成。</w:t>
      </w:r>
    </w:p>
    <w:p>
      <w:pPr>
        <w:bidi w:val="0"/>
        <w:rPr>
          <w:rFonts w:hint="default"/>
          <w:lang w:val="en-US" w:eastAsia="zh-CN"/>
        </w:rPr>
      </w:pPr>
      <w:r>
        <w:rPr>
          <w:rFonts w:hint="eastAsia"/>
          <w:lang w:val="en-US" w:eastAsia="zh-CN"/>
        </w:rPr>
        <w:t>7．州级</w:t>
      </w:r>
      <w:r>
        <w:rPr>
          <w:rFonts w:hint="eastAsia"/>
        </w:rPr>
        <w:t>新冠病毒变异监测基础设备</w:t>
      </w:r>
      <w:r>
        <w:rPr>
          <w:rFonts w:hint="eastAsia"/>
          <w:lang w:eastAsia="zh-CN"/>
        </w:rPr>
        <w:t>项目未实施。</w:t>
      </w:r>
      <w:r>
        <w:rPr>
          <w:rFonts w:hint="eastAsia"/>
        </w:rPr>
        <w:t>因州财政局2024年2月才下达资金，项目工作未能按计划在2023年实施，导致辖区内县市级疾控机构参加盲样考核结果符合率</w:t>
      </w:r>
      <w:r>
        <w:rPr>
          <w:rFonts w:hint="eastAsia"/>
          <w:lang w:val="en-US" w:eastAsia="zh-CN"/>
        </w:rPr>
        <w:t>1个指标未完成。改进措施：</w:t>
      </w:r>
      <w:r>
        <w:rPr>
          <w:rFonts w:hint="eastAsia"/>
        </w:rPr>
        <w:t>德宏州疾病预防控制中心正在</w:t>
      </w:r>
      <w:r>
        <w:rPr>
          <w:rFonts w:hint="eastAsia"/>
          <w:lang w:eastAsia="zh-CN"/>
        </w:rPr>
        <w:t>积极</w:t>
      </w:r>
      <w:r>
        <w:rPr>
          <w:rFonts w:hint="eastAsia"/>
        </w:rPr>
        <w:t>组织</w:t>
      </w:r>
      <w:r>
        <w:rPr>
          <w:rFonts w:hint="eastAsia"/>
          <w:lang w:eastAsia="zh-CN"/>
        </w:rPr>
        <w:t>推进各项工作</w:t>
      </w:r>
      <w:r>
        <w:rPr>
          <w:rFonts w:hint="eastAsia"/>
        </w:rPr>
        <w:t>。</w:t>
      </w:r>
    </w:p>
    <w:p>
      <w:pPr>
        <w:pStyle w:val="2"/>
        <w:bidi w:val="0"/>
        <w:rPr>
          <w:rFonts w:hint="eastAsia"/>
          <w:lang w:eastAsia="zh-CN"/>
        </w:rPr>
      </w:pPr>
      <w:r>
        <w:rPr>
          <w:rFonts w:hint="eastAsia"/>
          <w:lang w:eastAsia="zh-CN"/>
        </w:rPr>
        <w:t>发现的主要问题和改进措施</w:t>
      </w:r>
    </w:p>
    <w:p>
      <w:pPr>
        <w:pStyle w:val="3"/>
        <w:bidi w:val="0"/>
        <w:rPr>
          <w:rFonts w:hint="eastAsia"/>
          <w:lang w:val="en-US" w:eastAsia="zh-CN"/>
        </w:rPr>
      </w:pPr>
      <w:r>
        <w:rPr>
          <w:rFonts w:hint="eastAsia"/>
          <w:lang w:val="en-US" w:eastAsia="zh-CN"/>
        </w:rPr>
        <w:t>中央资金下达不及时</w:t>
      </w:r>
    </w:p>
    <w:p>
      <w:pPr>
        <w:bidi w:val="0"/>
        <w:rPr>
          <w:rFonts w:hint="default"/>
          <w:lang w:val="en-US" w:eastAsia="zh-CN"/>
        </w:rPr>
      </w:pPr>
      <w:r>
        <w:rPr>
          <w:rFonts w:hint="eastAsia"/>
          <w:lang w:val="en-US" w:eastAsia="zh-CN"/>
        </w:rPr>
        <w:t>因项目资金涉及科室多，分配意见收集时间长。同时，需按程序提交单位党组会议研究，州政府分管副州长批准，导致分配方案定稿时间耗时长，2023年10笔中央资金预算下达平均用时58天，仅有1笔资金在30天内下达县市，最长的下达时间为107天。下一步，我州将认真做好项目预算分配的各项前期准备，优化资金分配流程，缩短内部耗用时长，争取按照规定时限下达预算。</w:t>
      </w:r>
    </w:p>
    <w:p>
      <w:pPr>
        <w:pStyle w:val="3"/>
        <w:bidi w:val="0"/>
        <w:rPr>
          <w:rFonts w:hint="default"/>
          <w:lang w:val="en-US" w:eastAsia="zh-CN"/>
        </w:rPr>
      </w:pPr>
      <w:r>
        <w:rPr>
          <w:rFonts w:hint="eastAsia"/>
          <w:lang w:val="en-US" w:eastAsia="zh-CN"/>
        </w:rPr>
        <w:t>预算执行率低</w:t>
      </w:r>
    </w:p>
    <w:p>
      <w:pPr>
        <w:bidi w:val="0"/>
        <w:rPr>
          <w:rFonts w:hint="eastAsia"/>
          <w:lang w:val="en-US" w:eastAsia="zh-CN"/>
        </w:rPr>
      </w:pPr>
      <w:r>
        <w:rPr>
          <w:rFonts w:hint="eastAsia"/>
          <w:lang w:val="en-US" w:eastAsia="zh-CN"/>
        </w:rPr>
        <w:t>近年来，县市财政收支矛盾异常突出，国库资金调度缺口较大，为保障政府债券还本付息、人员工资等刚性支出需求，不得不采取滞拨缓拨部分民生资金的方式来确保财政平稳运行，卫生专项资金保障不到位。至评价日项目预算执行率仅为55.85%。下一步，我们将多渠道、多层面督促县市拨付资金，建立中央和省专项资金拨付支出监测跟踪机制督促基层工作落实。加强业务指导，做好单据归集、签字审批等前置工作，力争资金</w:t>
      </w:r>
      <w:r>
        <w:rPr>
          <w:rFonts w:hint="eastAsia" w:ascii="方正仿宋_GBK" w:hAnsi="方正仿宋_GBK" w:eastAsia="方正仿宋_GBK" w:cs="方正仿宋_GBK"/>
          <w:lang w:val="en-US" w:eastAsia="zh-CN"/>
        </w:rPr>
        <w:t>“</w:t>
      </w:r>
      <w:r>
        <w:rPr>
          <w:rFonts w:hint="eastAsia"/>
          <w:lang w:val="en-US" w:eastAsia="zh-CN"/>
        </w:rPr>
        <w:t>到一笔，报一笔</w:t>
      </w:r>
      <w:r>
        <w:rPr>
          <w:rFonts w:hint="eastAsia" w:ascii="方正仿宋_GBK" w:hAnsi="方正仿宋_GBK" w:eastAsia="方正仿宋_GBK" w:cs="方正仿宋_GBK"/>
          <w:lang w:val="en-US" w:eastAsia="zh-CN"/>
        </w:rPr>
        <w:t>”</w:t>
      </w:r>
      <w:r>
        <w:rPr>
          <w:rFonts w:hint="eastAsia"/>
          <w:lang w:val="en-US" w:eastAsia="zh-CN"/>
        </w:rPr>
        <w:t>，高效率形成实际支出进度。</w:t>
      </w:r>
    </w:p>
    <w:p>
      <w:pPr>
        <w:pStyle w:val="2"/>
        <w:bidi w:val="0"/>
        <w:rPr>
          <w:rFonts w:hint="eastAsia"/>
          <w:lang w:eastAsia="zh-CN"/>
        </w:rPr>
      </w:pPr>
      <w:r>
        <w:rPr>
          <w:rFonts w:hint="eastAsia"/>
          <w:lang w:eastAsia="zh-CN"/>
        </w:rPr>
        <w:t>绩效自评结果拟应用和公开情况</w:t>
      </w:r>
    </w:p>
    <w:p>
      <w:pPr>
        <w:bidi w:val="0"/>
        <w:rPr>
          <w:rFonts w:hint="eastAsia"/>
          <w:lang w:eastAsia="zh-CN"/>
        </w:rPr>
      </w:pPr>
      <w:r>
        <w:rPr>
          <w:rFonts w:hint="eastAsia"/>
          <w:lang w:eastAsia="zh-CN"/>
        </w:rPr>
        <w:t>我州将把绩效自评结果与项目监管、资金分配有效结合，同时在门户网站将绩效自评结果进行公开，接受社会广泛监督。</w:t>
      </w:r>
    </w:p>
    <w:p>
      <w:pPr>
        <w:pStyle w:val="2"/>
        <w:bidi w:val="0"/>
        <w:rPr>
          <w:rFonts w:hint="eastAsia"/>
          <w:lang w:eastAsia="zh-CN"/>
        </w:rPr>
      </w:pPr>
      <w:r>
        <w:rPr>
          <w:rFonts w:hint="eastAsia"/>
          <w:lang w:eastAsia="zh-CN"/>
        </w:rPr>
        <w:t>绩效自评工作开展情况</w:t>
      </w:r>
    </w:p>
    <w:p>
      <w:pPr>
        <w:bidi w:val="0"/>
        <w:rPr>
          <w:rFonts w:hint="eastAsia"/>
          <w:lang w:eastAsia="zh-CN"/>
        </w:rPr>
      </w:pPr>
      <w:r>
        <w:rPr>
          <w:rFonts w:hint="eastAsia"/>
          <w:lang w:eastAsia="zh-CN"/>
        </w:rPr>
        <w:t>收到省级通知后，我州迅速安排布置，及时印发了《德宏州卫生健康委员会关于做好2023年度中央对地方转移支付预算执行情况绩效自评工作的通知》（NO.35），对自评范围、内容、方法、时限、要求进行了明确。同时，于3月4日组织委机关各科室开展</w:t>
      </w:r>
      <w:r>
        <w:rPr>
          <w:rFonts w:hint="eastAsia" w:ascii="方正仿宋_GBK" w:hAnsi="方正仿宋_GBK" w:eastAsia="方正仿宋_GBK" w:cs="方正仿宋_GBK"/>
          <w:lang w:eastAsia="zh-CN"/>
        </w:rPr>
        <w:t>“</w:t>
      </w:r>
      <w:r>
        <w:rPr>
          <w:rFonts w:hint="eastAsia"/>
          <w:lang w:eastAsia="zh-CN"/>
        </w:rPr>
        <w:t>2023年度中央转移支付资金绩效评价暨2024年预算绩效管理培训</w:t>
      </w:r>
      <w:r>
        <w:rPr>
          <w:rFonts w:hint="eastAsia" w:ascii="方正仿宋_GBK" w:hAnsi="方正仿宋_GBK" w:eastAsia="方正仿宋_GBK" w:cs="方正仿宋_GBK"/>
          <w:lang w:eastAsia="zh-CN"/>
        </w:rPr>
        <w:t>”</w:t>
      </w:r>
      <w:r>
        <w:rPr>
          <w:rFonts w:hint="eastAsia"/>
          <w:lang w:eastAsia="zh-CN"/>
        </w:rPr>
        <w:t>，进一步提高自评工作质量。</w:t>
      </w:r>
    </w:p>
    <w:p>
      <w:pPr>
        <w:bidi w:val="0"/>
        <w:rPr>
          <w:rFonts w:hint="eastAsia"/>
          <w:lang w:eastAsia="zh-CN"/>
        </w:rPr>
      </w:pPr>
      <w:r>
        <w:rPr>
          <w:rFonts w:hint="eastAsia"/>
          <w:lang w:eastAsia="zh-CN"/>
        </w:rPr>
        <w:t>本次自评，我州根据项目情况，将任务分解到相关科室，明确任务、明确人员、明确要求。科室在完成全州报告撰写的同时，还负责对口指标审核，严把数据质量关，确保评价结果真实。</w:t>
      </w:r>
    </w:p>
    <w:p>
      <w:pPr>
        <w:pStyle w:val="2"/>
        <w:bidi w:val="0"/>
        <w:rPr>
          <w:rFonts w:hint="eastAsia"/>
          <w:lang w:eastAsia="zh-CN"/>
        </w:rPr>
      </w:pPr>
      <w:r>
        <w:rPr>
          <w:rFonts w:hint="eastAsia"/>
          <w:lang w:eastAsia="zh-CN"/>
        </w:rPr>
        <w:t>其他需要说明的问题</w:t>
      </w:r>
    </w:p>
    <w:p>
      <w:pPr>
        <w:bidi w:val="0"/>
        <w:rPr>
          <w:rFonts w:hint="eastAsia"/>
          <w:lang w:eastAsia="zh-CN"/>
        </w:rPr>
      </w:pPr>
      <w:r>
        <w:rPr>
          <w:rFonts w:hint="eastAsia"/>
          <w:lang w:eastAsia="zh-CN"/>
        </w:rPr>
        <w:t>无</w:t>
      </w:r>
    </w:p>
    <w:p>
      <w:pPr>
        <w:bidi w:val="0"/>
        <w:rPr>
          <w:rFonts w:hint="eastAsia"/>
          <w:lang w:eastAsia="zh-CN"/>
        </w:rPr>
      </w:pPr>
    </w:p>
    <w:p>
      <w:pPr>
        <w:bidi w:val="0"/>
        <w:ind w:left="1258" w:leftChars="200" w:hanging="626" w:hangingChars="198"/>
        <w:rPr>
          <w:rFonts w:hint="eastAsia"/>
          <w:lang w:eastAsia="zh-CN"/>
        </w:rPr>
      </w:pPr>
      <w:r>
        <w:rPr>
          <w:rFonts w:hint="eastAsia"/>
          <w:lang w:eastAsia="zh-CN"/>
        </w:rPr>
        <w:t>附：医疗服务与保障能力提升补助资金中央转移支付整体绩效目标自评表</w:t>
      </w:r>
    </w:p>
    <w:sectPr>
      <w:footerReference r:id="rId5" w:type="default"/>
      <w:footerReference r:id="rId6" w:type="even"/>
      <w:pgSz w:w="11906" w:h="16838"/>
      <w:pgMar w:top="2098" w:right="1474" w:bottom="1984" w:left="1587" w:header="851" w:footer="1417" w:gutter="0"/>
      <w:pgBorders>
        <w:top w:val="none" w:sz="0" w:space="0"/>
        <w:left w:val="none" w:sz="0" w:space="0"/>
        <w:bottom w:val="none" w:sz="0" w:space="0"/>
        <w:right w:val="none" w:sz="0" w:space="0"/>
      </w:pgBorders>
      <w:cols w:space="0" w:num="1"/>
      <w:rtlGutter w:val="0"/>
      <w:docGrid w:type="linesAndChars" w:linePitch="579" w:charSpace="-842"/>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acds>
    <wne:acd wne:argValue="AQAAAAE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32"/>
      </w:pPr>
      <w:r>
        <w:separator/>
      </w:r>
    </w:p>
  </w:endnote>
  <w:endnote w:type="continuationSeparator" w:id="1">
    <w:p>
      <w:pPr>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0" w:firstLineChars="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ind w:firstLine="0" w:firstLineChars="0"/>
                            <w:jc w:val="cen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">
              <v:fill on="f" focussize="0,0"/>
              <v:stroke on="f" weight="0.5pt"/>
              <v:imagedata o:title=""/>
              <o:lock v:ext="edit" aspectratio="f"/>
              <v:textbox inset="0mm,0mm,0mm,0mm" style="mso-fit-shape-to-text:t;">
                <w:txbxContent>
                  <w:p>
                    <w:pPr>
                      <w:pStyle w:val="12"/>
                      <w:ind w:firstLine="0" w:firstLineChars="0"/>
                      <w:jc w:val="cente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keepNext w:val="0"/>
                            <w:keepLines w:val="0"/>
                            <w:pageBreakBefore w:val="0"/>
                            <w:widowControl w:val="0"/>
                            <w:kinsoku/>
                            <w:wordWrap/>
                            <w:overflowPunct w:val="0"/>
                            <w:topLinePunct w:val="0"/>
                            <w:autoSpaceDE/>
                            <w:autoSpaceDN/>
                            <w:bidi w:val="0"/>
                            <w:adjustRightInd/>
                            <w:snapToGrid w:val="0"/>
                            <w:ind w:firstLine="0" w:firstLineChars="0"/>
                            <w:textAlignment w:val="auto"/>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">
              <v:fill on="f" focussize="0,0"/>
              <v:stroke on="f" weight="0.5pt"/>
              <v:imagedata o:title=""/>
              <o:lock v:ext="edit" aspectratio="f"/>
              <v:textbox inset="0mm,0mm,0mm,0mm" style="mso-fit-shape-to-text:t;">
                <w:txbxContent>
                  <w:p>
                    <w:pPr>
                      <w:pStyle w:val="12"/>
                      <w:keepNext w:val="0"/>
                      <w:keepLines w:val="0"/>
                      <w:pageBreakBefore w:val="0"/>
                      <w:widowControl w:val="0"/>
                      <w:kinsoku/>
                      <w:wordWrap/>
                      <w:overflowPunct w:val="0"/>
                      <w:topLinePunct w:val="0"/>
                      <w:autoSpaceDE/>
                      <w:autoSpaceDN/>
                      <w:bidi w:val="0"/>
                      <w:adjustRightInd/>
                      <w:snapToGrid w:val="0"/>
                      <w:ind w:firstLine="0" w:firstLineChars="0"/>
                      <w:textAlignment w:val="auto"/>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32"/>
      </w:pPr>
      <w:r>
        <w:separator/>
      </w:r>
    </w:p>
  </w:footnote>
  <w:footnote w:type="continuationSeparator" w:id="1">
    <w:p>
      <w:pPr>
        <w:ind w:firstLine="63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0FA036"/>
    <w:multiLevelType w:val="multilevel"/>
    <w:tmpl w:val="B90FA036"/>
    <w:lvl w:ilvl="0" w:tentative="0">
      <w:start w:val="1"/>
      <w:numFmt w:val="chineseCounting"/>
      <w:pStyle w:val="2"/>
      <w:suff w:val="nothing"/>
      <w:lvlText w:val="%1、"/>
      <w:lvlJc w:val="left"/>
      <w:pPr>
        <w:tabs>
          <w:tab w:val="left" w:pos="0"/>
        </w:tabs>
        <w:ind w:left="0" w:leftChars="0" w:firstLine="640" w:firstLineChars="0"/>
      </w:pPr>
      <w:rPr>
        <w:rFonts w:hint="eastAsia" w:ascii="方正黑体_GBK" w:hAnsi="方正黑体_GBK" w:eastAsia="方正黑体_GBK" w:cs="方正黑体_GBK"/>
        <w:outline w:val="0"/>
        <w:shadow w:val="0"/>
        <w:emboss w:val="0"/>
        <w:imprint w:val="0"/>
        <w:vanish w:val="0"/>
        <w:w w:val="100"/>
        <w:sz w:val="32"/>
        <w:szCs w:val="32"/>
        <w:u w:val="none"/>
      </w:rPr>
    </w:lvl>
    <w:lvl w:ilvl="1" w:tentative="0">
      <w:start w:val="1"/>
      <w:numFmt w:val="chineseCounting"/>
      <w:pStyle w:val="3"/>
      <w:suff w:val="nothing"/>
      <w:lvlText w:val="（%2）"/>
      <w:lvlJc w:val="left"/>
      <w:pPr>
        <w:tabs>
          <w:tab w:val="left" w:pos="0"/>
        </w:tabs>
        <w:ind w:left="0" w:leftChars="0" w:firstLine="640" w:firstLineChars="0"/>
      </w:pPr>
      <w:rPr>
        <w:rFonts w:hint="eastAsia" w:ascii="方正楷体_GBK" w:hAnsi="方正楷体_GBK" w:eastAsia="方正楷体_GBK" w:cs="方正楷体_GBK"/>
        <w:outline w:val="0"/>
        <w:shadow w:val="0"/>
        <w:emboss w:val="0"/>
        <w:imprint w:val="0"/>
        <w:vanish w:val="0"/>
        <w:w w:val="100"/>
        <w:sz w:val="32"/>
        <w:szCs w:val="32"/>
        <w:u w:val="none"/>
      </w:rPr>
    </w:lvl>
    <w:lvl w:ilvl="2" w:tentative="0">
      <w:start w:val="1"/>
      <w:numFmt w:val="decimal"/>
      <w:pStyle w:val="4"/>
      <w:suff w:val="nothing"/>
      <w:lvlText w:val="%3．"/>
      <w:lvlJc w:val="left"/>
      <w:pPr>
        <w:tabs>
          <w:tab w:val="left" w:pos="0"/>
        </w:tabs>
        <w:ind w:left="0" w:leftChars="0" w:firstLine="640" w:firstLineChars="0"/>
      </w:pPr>
      <w:rPr>
        <w:rFonts w:hint="eastAsia" w:ascii="仿宋_GB2312" w:hAnsi="方正仿宋_GBK" w:eastAsia="方正仿宋_GBK" w:cs="方正仿宋_GBK"/>
        <w:outline w:val="0"/>
        <w:shadow w:val="0"/>
        <w:emboss w:val="0"/>
        <w:imprint w:val="0"/>
        <w:vanish w:val="0"/>
        <w:w w:val="100"/>
        <w:sz w:val="32"/>
        <w:szCs w:val="32"/>
        <w:u w:val="none"/>
      </w:rPr>
    </w:lvl>
    <w:lvl w:ilvl="3" w:tentative="0">
      <w:start w:val="1"/>
      <w:numFmt w:val="decimal"/>
      <w:pStyle w:val="5"/>
      <w:suff w:val="nothing"/>
      <w:lvlText w:val="（%4）"/>
      <w:lvlJc w:val="left"/>
      <w:pPr>
        <w:tabs>
          <w:tab w:val="left" w:pos="0"/>
        </w:tabs>
        <w:ind w:left="0" w:leftChars="0" w:firstLine="640" w:firstLineChars="0"/>
      </w:pPr>
      <w:rPr>
        <w:rFonts w:hint="eastAsia" w:ascii="仿宋_GB2312" w:hAnsi="仿宋_GB2312" w:eastAsia="方正仿宋_GBK" w:cs="方正仿宋_GBK"/>
        <w:outline w:val="0"/>
        <w:shadow w:val="0"/>
        <w:emboss w:val="0"/>
        <w:imprint w:val="0"/>
        <w:vanish w:val="0"/>
        <w:w w:val="100"/>
        <w:sz w:val="32"/>
        <w:szCs w:val="32"/>
        <w:u w:val="none"/>
      </w:rPr>
    </w:lvl>
    <w:lvl w:ilvl="4" w:tentative="0">
      <w:start w:val="1"/>
      <w:numFmt w:val="decimalEnclosedCircleChinese"/>
      <w:pStyle w:val="6"/>
      <w:suff w:val="nothing"/>
      <w:lvlText w:val="%5"/>
      <w:lvlJc w:val="left"/>
      <w:pPr>
        <w:tabs>
          <w:tab w:val="left" w:pos="0"/>
        </w:tabs>
        <w:ind w:left="0" w:leftChars="0" w:firstLine="640" w:firstLineChars="0"/>
      </w:pPr>
      <w:rPr>
        <w:rFonts w:hint="eastAsia" w:ascii="仿宋_GB2312" w:hAnsi="仿宋_GB2312" w:eastAsia="方正仿宋_GBK" w:cs="方正仿宋_GBK"/>
        <w:outline w:val="0"/>
        <w:shadow w:val="0"/>
        <w:emboss w:val="0"/>
        <w:imprint w:val="0"/>
        <w:vanish w:val="0"/>
        <w:w w:val="100"/>
        <w:sz w:val="32"/>
        <w:szCs w:val="32"/>
        <w:u w:val="none"/>
      </w:rPr>
    </w:lvl>
    <w:lvl w:ilvl="5" w:tentative="0">
      <w:start w:val="1"/>
      <w:numFmt w:val="decimal"/>
      <w:pStyle w:val="7"/>
      <w:suff w:val="nothing"/>
      <w:lvlText w:val="%6）"/>
      <w:lvlJc w:val="left"/>
      <w:pPr>
        <w:tabs>
          <w:tab w:val="left" w:pos="0"/>
        </w:tabs>
        <w:ind w:left="0" w:leftChars="0" w:firstLine="640" w:firstLineChars="0"/>
      </w:pPr>
      <w:rPr>
        <w:rFonts w:hint="eastAsia" w:ascii="仿宋_GB2312" w:hAnsi="仿宋_GB2312" w:eastAsia="方正仿宋_GBK" w:cs="方正仿宋_GBK"/>
        <w:outline w:val="0"/>
        <w:shadow w:val="0"/>
        <w:emboss w:val="0"/>
        <w:imprint w:val="0"/>
        <w:vanish w:val="0"/>
        <w:w w:val="100"/>
        <w:sz w:val="32"/>
        <w:szCs w:val="32"/>
        <w:u w:val="none"/>
      </w:rPr>
    </w:lvl>
    <w:lvl w:ilvl="6" w:tentative="0">
      <w:start w:val="1"/>
      <w:numFmt w:val="lowerLetter"/>
      <w:pStyle w:val="8"/>
      <w:suff w:val="nothing"/>
      <w:lvlText w:val="%7．"/>
      <w:lvlJc w:val="left"/>
      <w:pPr>
        <w:tabs>
          <w:tab w:val="left" w:pos="0"/>
        </w:tabs>
        <w:ind w:left="0" w:leftChars="0" w:firstLine="640" w:firstLineChars="0"/>
      </w:pPr>
      <w:rPr>
        <w:rFonts w:hint="eastAsia" w:ascii="仿宋_GB2312" w:hAnsi="仿宋_GB2312" w:eastAsia="方正仿宋_GBK" w:cs="方正仿宋_GBK"/>
        <w:outline w:val="0"/>
        <w:shadow w:val="0"/>
        <w:emboss w:val="0"/>
        <w:imprint w:val="0"/>
        <w:vanish w:val="0"/>
        <w:w w:val="100"/>
        <w:sz w:val="32"/>
        <w:szCs w:val="32"/>
        <w:u w:val="none"/>
      </w:rPr>
    </w:lvl>
    <w:lvl w:ilvl="7" w:tentative="0">
      <w:start w:val="1"/>
      <w:numFmt w:val="lowerLetter"/>
      <w:pStyle w:val="9"/>
      <w:suff w:val="nothing"/>
      <w:lvlText w:val="%8）"/>
      <w:lvlJc w:val="left"/>
      <w:pPr>
        <w:tabs>
          <w:tab w:val="left" w:pos="0"/>
        </w:tabs>
        <w:ind w:left="0" w:leftChars="0" w:firstLine="640" w:firstLineChars="0"/>
      </w:pPr>
      <w:rPr>
        <w:rFonts w:hint="eastAsia" w:ascii="仿宋_GB2312" w:hAnsi="仿宋_GB2312" w:eastAsia="方正仿宋_GBK" w:cs="方正仿宋_GBK"/>
        <w:outline w:val="0"/>
        <w:shadow w:val="0"/>
        <w:emboss w:val="0"/>
        <w:imprint w:val="0"/>
        <w:vanish w:val="0"/>
        <w:w w:val="100"/>
        <w:sz w:val="32"/>
        <w:szCs w:val="32"/>
        <w:u w:val="none"/>
      </w:rPr>
    </w:lvl>
    <w:lvl w:ilvl="8" w:tentative="0">
      <w:start w:val="1"/>
      <w:numFmt w:val="lowerRoman"/>
      <w:pStyle w:val="10"/>
      <w:suff w:val="nothing"/>
      <w:lvlText w:val="%9 "/>
      <w:lvlJc w:val="left"/>
      <w:pPr>
        <w:tabs>
          <w:tab w:val="left" w:pos="0"/>
        </w:tabs>
        <w:ind w:left="0" w:leftChars="0" w:firstLine="640" w:firstLineChars="0"/>
      </w:pPr>
      <w:rPr>
        <w:rFonts w:hint="eastAsia" w:ascii="仿宋_GB2312" w:hAnsi="仿宋_GB2312" w:eastAsia="方正仿宋_GBK" w:cs="方正仿宋_GBK"/>
        <w:outline w:val="0"/>
        <w:shadow w:val="0"/>
        <w:emboss w:val="0"/>
        <w:imprint w:val="0"/>
        <w:vanish w:val="0"/>
        <w:w w:val="100"/>
        <w:sz w:val="32"/>
        <w:szCs w:val="32"/>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attachedTemplate r:id="rId1"/>
  <w:documentProtection w:enforcement="0"/>
  <w:defaultTabStop w:val="494"/>
  <w:evenAndOddHeaders w:val="1"/>
  <w:drawingGridHorizontalSpacing w:val="158"/>
  <w:drawingGridVerticalSpacing w:val="290"/>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E592974"/>
    <w:rsid w:val="1B613C9A"/>
    <w:rsid w:val="1CFF450C"/>
    <w:rsid w:val="1DFC806F"/>
    <w:rsid w:val="1FFB7744"/>
    <w:rsid w:val="21884273"/>
    <w:rsid w:val="2BC7F801"/>
    <w:rsid w:val="2EFF3E47"/>
    <w:rsid w:val="2F1FA99C"/>
    <w:rsid w:val="2FEEA182"/>
    <w:rsid w:val="34CF0A91"/>
    <w:rsid w:val="35753F44"/>
    <w:rsid w:val="357BD835"/>
    <w:rsid w:val="35ACBBBA"/>
    <w:rsid w:val="36AFB66F"/>
    <w:rsid w:val="377E8F9E"/>
    <w:rsid w:val="377FCD8C"/>
    <w:rsid w:val="37DCC20D"/>
    <w:rsid w:val="3BBD580C"/>
    <w:rsid w:val="3BE9E69B"/>
    <w:rsid w:val="3BFEEF88"/>
    <w:rsid w:val="3D7F5D31"/>
    <w:rsid w:val="3DAE6D58"/>
    <w:rsid w:val="3DDEF206"/>
    <w:rsid w:val="3E934022"/>
    <w:rsid w:val="3ECF3805"/>
    <w:rsid w:val="3EFFFD16"/>
    <w:rsid w:val="3F6EF6B0"/>
    <w:rsid w:val="3F7C84A2"/>
    <w:rsid w:val="3F8F1D76"/>
    <w:rsid w:val="3F9790CA"/>
    <w:rsid w:val="3FFFA955"/>
    <w:rsid w:val="462FCB95"/>
    <w:rsid w:val="4CDF7500"/>
    <w:rsid w:val="4D769882"/>
    <w:rsid w:val="4D7FEB2A"/>
    <w:rsid w:val="4DFEF0B7"/>
    <w:rsid w:val="4F5A8C7F"/>
    <w:rsid w:val="4FF261BC"/>
    <w:rsid w:val="54276C34"/>
    <w:rsid w:val="55BB96A5"/>
    <w:rsid w:val="57DF5761"/>
    <w:rsid w:val="5A297569"/>
    <w:rsid w:val="5AFE1E80"/>
    <w:rsid w:val="5BEB42A4"/>
    <w:rsid w:val="5CFE98D2"/>
    <w:rsid w:val="5D9C67DF"/>
    <w:rsid w:val="5DA55ED7"/>
    <w:rsid w:val="5EE603E2"/>
    <w:rsid w:val="5F7527DE"/>
    <w:rsid w:val="5F9F282C"/>
    <w:rsid w:val="5FCA8B95"/>
    <w:rsid w:val="5FEB8789"/>
    <w:rsid w:val="5FFFB05A"/>
    <w:rsid w:val="639FB463"/>
    <w:rsid w:val="67E99617"/>
    <w:rsid w:val="67F3F8F1"/>
    <w:rsid w:val="67FF1352"/>
    <w:rsid w:val="6D6E09AC"/>
    <w:rsid w:val="6DBD76ED"/>
    <w:rsid w:val="6F7DF0A8"/>
    <w:rsid w:val="6FCBABD5"/>
    <w:rsid w:val="6FD3803C"/>
    <w:rsid w:val="6FDF49BE"/>
    <w:rsid w:val="6FF73147"/>
    <w:rsid w:val="70D6F4CA"/>
    <w:rsid w:val="7148D3F3"/>
    <w:rsid w:val="73D3A2F5"/>
    <w:rsid w:val="73EF8094"/>
    <w:rsid w:val="73F5EA5F"/>
    <w:rsid w:val="75BED808"/>
    <w:rsid w:val="75DDA44D"/>
    <w:rsid w:val="76BB07B2"/>
    <w:rsid w:val="76FF80C0"/>
    <w:rsid w:val="77C5C99D"/>
    <w:rsid w:val="77E715E7"/>
    <w:rsid w:val="78F73DFB"/>
    <w:rsid w:val="79FA8043"/>
    <w:rsid w:val="7AB573B8"/>
    <w:rsid w:val="7BA6E4C5"/>
    <w:rsid w:val="7BABC4C3"/>
    <w:rsid w:val="7BF84B93"/>
    <w:rsid w:val="7BFE9DB1"/>
    <w:rsid w:val="7CCEA70E"/>
    <w:rsid w:val="7CDF832A"/>
    <w:rsid w:val="7CDFDFA2"/>
    <w:rsid w:val="7CEFE7B7"/>
    <w:rsid w:val="7D9E39D1"/>
    <w:rsid w:val="7DAB83D3"/>
    <w:rsid w:val="7DBFC517"/>
    <w:rsid w:val="7DFF8365"/>
    <w:rsid w:val="7E9FA90B"/>
    <w:rsid w:val="7EED8A7E"/>
    <w:rsid w:val="7EFB8F3C"/>
    <w:rsid w:val="7F2BF687"/>
    <w:rsid w:val="7F962739"/>
    <w:rsid w:val="7FA37519"/>
    <w:rsid w:val="7FBBA759"/>
    <w:rsid w:val="7FBEF3D9"/>
    <w:rsid w:val="7FDDA617"/>
    <w:rsid w:val="7FFAB7D0"/>
    <w:rsid w:val="7FFFA686"/>
    <w:rsid w:val="9FF7BE07"/>
    <w:rsid w:val="A7FF76ED"/>
    <w:rsid w:val="ABFB0CAD"/>
    <w:rsid w:val="ADFF9E1F"/>
    <w:rsid w:val="AED1CCE5"/>
    <w:rsid w:val="AEF9B9ED"/>
    <w:rsid w:val="B0BCC8FE"/>
    <w:rsid w:val="B2E4F2E8"/>
    <w:rsid w:val="B76FB8D5"/>
    <w:rsid w:val="BB476A21"/>
    <w:rsid w:val="BCF7D9F7"/>
    <w:rsid w:val="BD7DC39F"/>
    <w:rsid w:val="BDF9C557"/>
    <w:rsid w:val="BE592974"/>
    <w:rsid w:val="BF77D743"/>
    <w:rsid w:val="BF7992BD"/>
    <w:rsid w:val="BFAB92C8"/>
    <w:rsid w:val="BFBD68E5"/>
    <w:rsid w:val="BFBFF8B0"/>
    <w:rsid w:val="BFDFAFBB"/>
    <w:rsid w:val="BFF783E9"/>
    <w:rsid w:val="C05FE1F6"/>
    <w:rsid w:val="CA547D9C"/>
    <w:rsid w:val="CEB7D799"/>
    <w:rsid w:val="CF56132C"/>
    <w:rsid w:val="CF717591"/>
    <w:rsid w:val="CFFE5657"/>
    <w:rsid w:val="D5DC6291"/>
    <w:rsid w:val="D7F5E455"/>
    <w:rsid w:val="D7FDFFD1"/>
    <w:rsid w:val="D9DF14A5"/>
    <w:rsid w:val="DADF2A83"/>
    <w:rsid w:val="DBBF8B3C"/>
    <w:rsid w:val="DBF57511"/>
    <w:rsid w:val="DBFB537D"/>
    <w:rsid w:val="DBFB80D0"/>
    <w:rsid w:val="DBFF7A46"/>
    <w:rsid w:val="DCE5E1B3"/>
    <w:rsid w:val="DDCFBF31"/>
    <w:rsid w:val="DE6D7755"/>
    <w:rsid w:val="DEABDF19"/>
    <w:rsid w:val="DF5A2BF2"/>
    <w:rsid w:val="DFBE9745"/>
    <w:rsid w:val="DFDD4923"/>
    <w:rsid w:val="DFDF7BD3"/>
    <w:rsid w:val="DFFFD912"/>
    <w:rsid w:val="E3FE86A2"/>
    <w:rsid w:val="E5DBA094"/>
    <w:rsid w:val="E7A54539"/>
    <w:rsid w:val="EBBF3FEB"/>
    <w:rsid w:val="ED5B78B7"/>
    <w:rsid w:val="EDFFC1B5"/>
    <w:rsid w:val="EE63ED99"/>
    <w:rsid w:val="EECFFF90"/>
    <w:rsid w:val="EF33EEA4"/>
    <w:rsid w:val="EFDFAE67"/>
    <w:rsid w:val="EFF5693F"/>
    <w:rsid w:val="EFF80854"/>
    <w:rsid w:val="F0EB4C07"/>
    <w:rsid w:val="F50F313F"/>
    <w:rsid w:val="F65153EF"/>
    <w:rsid w:val="F777F0ED"/>
    <w:rsid w:val="F7CE61F6"/>
    <w:rsid w:val="F7DEE505"/>
    <w:rsid w:val="F7F3796F"/>
    <w:rsid w:val="F7F98D76"/>
    <w:rsid w:val="F7FBE60D"/>
    <w:rsid w:val="F7FEAEF0"/>
    <w:rsid w:val="F8F98A19"/>
    <w:rsid w:val="F9576BAF"/>
    <w:rsid w:val="FB2F20AB"/>
    <w:rsid w:val="FBE9AF31"/>
    <w:rsid w:val="FBF53F12"/>
    <w:rsid w:val="FCDBF727"/>
    <w:rsid w:val="FCFD9B9A"/>
    <w:rsid w:val="FD5EE95D"/>
    <w:rsid w:val="FD7AF48B"/>
    <w:rsid w:val="FDAF5588"/>
    <w:rsid w:val="FE278BE0"/>
    <w:rsid w:val="FEEF3D08"/>
    <w:rsid w:val="FEF8169A"/>
    <w:rsid w:val="FEFB335E"/>
    <w:rsid w:val="FEFFF03B"/>
    <w:rsid w:val="FF3F27B4"/>
    <w:rsid w:val="FF3FA0B0"/>
    <w:rsid w:val="FF3FD6D8"/>
    <w:rsid w:val="FF670FC6"/>
    <w:rsid w:val="FF6E9502"/>
    <w:rsid w:val="FF9F1ABB"/>
    <w:rsid w:val="FF9F447B"/>
    <w:rsid w:val="FFB6C217"/>
    <w:rsid w:val="FFB786E9"/>
    <w:rsid w:val="FFE9E4C4"/>
    <w:rsid w:val="FFFFFC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ind w:firstLine="850" w:firstLineChars="200"/>
      <w:jc w:val="both"/>
    </w:pPr>
    <w:rPr>
      <w:rFonts w:ascii="Times New Roman" w:hAnsi="Times New Roman" w:eastAsia="方正仿宋_GBK" w:cs="方正仿宋_GBK"/>
      <w:kern w:val="0"/>
      <w:sz w:val="32"/>
      <w:szCs w:val="32"/>
      <w:lang w:val="en-US" w:eastAsia="zh-CN" w:bidi="ar-SA"/>
    </w:rPr>
  </w:style>
  <w:style w:type="paragraph" w:styleId="2">
    <w:name w:val="heading 1"/>
    <w:next w:val="1"/>
    <w:qFormat/>
    <w:uiPriority w:val="0"/>
    <w:pPr>
      <w:keepNext/>
      <w:keepLines w:val="0"/>
      <w:widowControl w:val="0"/>
      <w:numPr>
        <w:ilvl w:val="0"/>
        <w:numId w:val="1"/>
      </w:numPr>
      <w:overflowPunct w:val="0"/>
      <w:spacing w:beforeLines="0" w:beforeAutospacing="0" w:afterLines="0" w:afterAutospacing="0" w:line="240" w:lineRule="auto"/>
      <w:ind w:firstLine="641" w:firstLineChars="0"/>
      <w:jc w:val="both"/>
      <w:outlineLvl w:val="0"/>
    </w:pPr>
    <w:rPr>
      <w:rFonts w:ascii="方正黑体_GBK" w:hAnsi="方正黑体_GBK" w:eastAsia="方正黑体_GBK" w:cs="方正黑体_GBK"/>
      <w:kern w:val="0"/>
      <w:sz w:val="32"/>
      <w:szCs w:val="32"/>
    </w:rPr>
  </w:style>
  <w:style w:type="paragraph" w:styleId="3">
    <w:name w:val="heading 2"/>
    <w:next w:val="1"/>
    <w:unhideWhenUsed/>
    <w:qFormat/>
    <w:uiPriority w:val="0"/>
    <w:pPr>
      <w:keepNext w:val="0"/>
      <w:keepLines w:val="0"/>
      <w:widowControl w:val="0"/>
      <w:numPr>
        <w:ilvl w:val="1"/>
        <w:numId w:val="1"/>
      </w:numPr>
      <w:overflowPunct w:val="0"/>
      <w:spacing w:beforeLines="0" w:beforeAutospacing="0" w:afterLines="0" w:afterAutospacing="0" w:line="240" w:lineRule="auto"/>
      <w:ind w:firstLine="640" w:firstLineChars="0"/>
      <w:jc w:val="both"/>
      <w:outlineLvl w:val="1"/>
    </w:pPr>
    <w:rPr>
      <w:rFonts w:ascii="方正楷体_GBK" w:hAnsi="方正楷体_GBK" w:eastAsia="方正楷体_GBK" w:cs="方正楷体_GBK"/>
      <w:sz w:val="32"/>
      <w:szCs w:val="32"/>
    </w:rPr>
  </w:style>
  <w:style w:type="paragraph" w:styleId="4">
    <w:name w:val="heading 3"/>
    <w:next w:val="1"/>
    <w:unhideWhenUsed/>
    <w:qFormat/>
    <w:uiPriority w:val="0"/>
    <w:pPr>
      <w:keepNext w:val="0"/>
      <w:keepLines w:val="0"/>
      <w:widowControl w:val="0"/>
      <w:numPr>
        <w:ilvl w:val="2"/>
        <w:numId w:val="1"/>
      </w:numPr>
      <w:overflowPunct w:val="0"/>
      <w:spacing w:beforeLines="0" w:beforeAutospacing="0" w:afterLines="0" w:afterAutospacing="0" w:line="240" w:lineRule="auto"/>
      <w:ind w:firstLine="640" w:firstLineChars="0"/>
      <w:jc w:val="both"/>
      <w:outlineLvl w:val="2"/>
    </w:pPr>
    <w:rPr>
      <w:rFonts w:ascii="Times New Roman" w:hAnsi="方正仿宋_GBK" w:eastAsia="方正仿宋_GBK" w:cs="方正仿宋_GBK"/>
      <w:sz w:val="32"/>
      <w:szCs w:val="32"/>
    </w:rPr>
  </w:style>
  <w:style w:type="paragraph" w:styleId="5">
    <w:name w:val="heading 4"/>
    <w:next w:val="1"/>
    <w:unhideWhenUsed/>
    <w:qFormat/>
    <w:uiPriority w:val="0"/>
    <w:pPr>
      <w:keepNext w:val="0"/>
      <w:keepLines w:val="0"/>
      <w:widowControl w:val="0"/>
      <w:numPr>
        <w:ilvl w:val="3"/>
        <w:numId w:val="1"/>
      </w:numPr>
      <w:overflowPunct w:val="0"/>
      <w:spacing w:beforeLines="0" w:beforeAutospacing="0" w:afterLines="0" w:afterAutospacing="0" w:line="240" w:lineRule="auto"/>
      <w:ind w:firstLine="640" w:firstLineChars="0"/>
      <w:jc w:val="both"/>
      <w:outlineLvl w:val="3"/>
    </w:pPr>
    <w:rPr>
      <w:rFonts w:ascii="Times New Roman" w:hAnsi="方正仿宋_GBK" w:eastAsia="方正仿宋_GBK" w:cs="方正仿宋_GBK"/>
      <w:sz w:val="32"/>
      <w:szCs w:val="32"/>
    </w:rPr>
  </w:style>
  <w:style w:type="paragraph" w:styleId="6">
    <w:name w:val="heading 5"/>
    <w:next w:val="1"/>
    <w:semiHidden/>
    <w:unhideWhenUsed/>
    <w:qFormat/>
    <w:uiPriority w:val="0"/>
    <w:pPr>
      <w:keepNext w:val="0"/>
      <w:keepLines w:val="0"/>
      <w:widowControl w:val="0"/>
      <w:numPr>
        <w:ilvl w:val="4"/>
        <w:numId w:val="1"/>
      </w:numPr>
      <w:overflowPunct w:val="0"/>
      <w:spacing w:beforeLines="0" w:beforeAutospacing="0" w:afterLines="0" w:afterAutospacing="0" w:line="240" w:lineRule="auto"/>
      <w:ind w:firstLine="640" w:firstLineChars="0"/>
      <w:jc w:val="both"/>
      <w:outlineLvl w:val="4"/>
    </w:pPr>
    <w:rPr>
      <w:rFonts w:ascii="Times New Roman" w:hAnsi="方正仿宋_GBK" w:eastAsia="方正仿宋_GBK" w:cs="方正仿宋_GBK"/>
      <w:sz w:val="32"/>
      <w:szCs w:val="32"/>
    </w:rPr>
  </w:style>
  <w:style w:type="paragraph" w:styleId="7">
    <w:name w:val="heading 6"/>
    <w:next w:val="1"/>
    <w:semiHidden/>
    <w:unhideWhenUsed/>
    <w:qFormat/>
    <w:uiPriority w:val="0"/>
    <w:pPr>
      <w:keepNext w:val="0"/>
      <w:keepLines w:val="0"/>
      <w:widowControl w:val="0"/>
      <w:numPr>
        <w:ilvl w:val="5"/>
        <w:numId w:val="1"/>
      </w:numPr>
      <w:overflowPunct w:val="0"/>
      <w:spacing w:beforeLines="0" w:beforeAutospacing="0" w:afterLines="0" w:afterAutospacing="0" w:line="240" w:lineRule="auto"/>
      <w:ind w:firstLine="640" w:firstLineChars="0"/>
      <w:jc w:val="both"/>
      <w:outlineLvl w:val="5"/>
    </w:pPr>
    <w:rPr>
      <w:rFonts w:ascii="Times New Roman" w:hAnsi="方正仿宋_GBK" w:eastAsia="方正仿宋_GBK" w:cs="方正仿宋_GBK"/>
      <w:sz w:val="32"/>
      <w:szCs w:val="32"/>
    </w:rPr>
  </w:style>
  <w:style w:type="paragraph" w:styleId="8">
    <w:name w:val="heading 7"/>
    <w:next w:val="1"/>
    <w:semiHidden/>
    <w:unhideWhenUsed/>
    <w:qFormat/>
    <w:uiPriority w:val="0"/>
    <w:pPr>
      <w:keepNext w:val="0"/>
      <w:keepLines w:val="0"/>
      <w:widowControl w:val="0"/>
      <w:numPr>
        <w:ilvl w:val="6"/>
        <w:numId w:val="1"/>
      </w:numPr>
      <w:overflowPunct w:val="0"/>
      <w:spacing w:beforeLines="0" w:beforeAutospacing="0" w:afterLines="0" w:afterAutospacing="0" w:line="240" w:lineRule="auto"/>
      <w:ind w:firstLine="640" w:firstLineChars="0"/>
      <w:jc w:val="both"/>
      <w:outlineLvl w:val="6"/>
    </w:pPr>
    <w:rPr>
      <w:rFonts w:ascii="Times New Roman" w:hAnsi="方正仿宋_GBK" w:eastAsia="方正仿宋_GBK" w:cs="方正仿宋_GBK"/>
      <w:sz w:val="32"/>
      <w:szCs w:val="32"/>
    </w:rPr>
  </w:style>
  <w:style w:type="paragraph" w:styleId="9">
    <w:name w:val="heading 8"/>
    <w:next w:val="1"/>
    <w:semiHidden/>
    <w:unhideWhenUsed/>
    <w:qFormat/>
    <w:uiPriority w:val="0"/>
    <w:pPr>
      <w:keepNext w:val="0"/>
      <w:keepLines w:val="0"/>
      <w:widowControl w:val="0"/>
      <w:numPr>
        <w:ilvl w:val="7"/>
        <w:numId w:val="1"/>
      </w:numPr>
      <w:overflowPunct w:val="0"/>
      <w:spacing w:beforeLines="0" w:beforeAutospacing="0" w:afterLines="0" w:afterAutospacing="0" w:line="240" w:lineRule="auto"/>
      <w:ind w:firstLine="640" w:firstLineChars="0"/>
      <w:jc w:val="both"/>
      <w:outlineLvl w:val="7"/>
    </w:pPr>
    <w:rPr>
      <w:rFonts w:ascii="Times New Roman" w:hAnsi="方正仿宋_GBK" w:eastAsia="方正仿宋_GBK" w:cs="方正仿宋_GBK"/>
      <w:sz w:val="32"/>
      <w:szCs w:val="32"/>
    </w:rPr>
  </w:style>
  <w:style w:type="paragraph" w:styleId="10">
    <w:name w:val="heading 9"/>
    <w:next w:val="1"/>
    <w:semiHidden/>
    <w:unhideWhenUsed/>
    <w:qFormat/>
    <w:uiPriority w:val="0"/>
    <w:pPr>
      <w:keepNext w:val="0"/>
      <w:keepLines w:val="0"/>
      <w:widowControl w:val="0"/>
      <w:numPr>
        <w:ilvl w:val="8"/>
        <w:numId w:val="1"/>
      </w:numPr>
      <w:overflowPunct w:val="0"/>
      <w:spacing w:beforeLines="0" w:beforeAutospacing="0" w:afterLines="0" w:afterAutospacing="0" w:line="240" w:lineRule="auto"/>
      <w:ind w:firstLine="850" w:firstLineChars="200"/>
      <w:jc w:val="both"/>
      <w:outlineLvl w:val="8"/>
    </w:pPr>
    <w:rPr>
      <w:rFonts w:ascii="Times New Roman" w:hAnsi="方正仿宋_GBK" w:eastAsia="方正仿宋_GBK" w:cs="方正仿宋_GBK"/>
      <w:sz w:val="32"/>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11">
    <w:name w:val="caption"/>
    <w:next w:val="1"/>
    <w:semiHidden/>
    <w:unhideWhenUsed/>
    <w:qFormat/>
    <w:uiPriority w:val="0"/>
    <w:pPr>
      <w:keepNext/>
      <w:keepLines/>
      <w:snapToGrid w:val="0"/>
      <w:jc w:val="center"/>
    </w:pPr>
    <w:rPr>
      <w:rFonts w:ascii="方正黑体_GBK" w:hAnsi="方正黑体_GBK" w:eastAsia="方正黑体_GBK" w:cs="方正黑体_GBK"/>
      <w:sz w:val="28"/>
      <w:szCs w:val="2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Subtitle"/>
    <w:next w:val="1"/>
    <w:qFormat/>
    <w:uiPriority w:val="0"/>
    <w:pPr>
      <w:widowControl w:val="0"/>
      <w:overflowPunct w:val="0"/>
      <w:spacing w:beforeLines="0" w:beforeAutospacing="0" w:afterLines="0" w:afterAutospacing="0" w:line="240" w:lineRule="auto"/>
      <w:jc w:val="center"/>
      <w:outlineLvl w:val="9"/>
    </w:pPr>
    <w:rPr>
      <w:rFonts w:ascii="方正楷体_GBK" w:hAnsi="方正楷体_GBK" w:eastAsia="方正楷体_GBK" w:cs="方正楷体_GBK"/>
      <w:kern w:val="0"/>
      <w:sz w:val="32"/>
      <w:szCs w:val="32"/>
    </w:rPr>
  </w:style>
  <w:style w:type="paragraph" w:styleId="15">
    <w:name w:val="Title"/>
    <w:next w:val="1"/>
    <w:qFormat/>
    <w:uiPriority w:val="0"/>
    <w:pPr>
      <w:widowControl w:val="0"/>
      <w:overflowPunct w:val="0"/>
      <w:snapToGrid w:val="0"/>
      <w:spacing w:beforeLines="0" w:beforeAutospacing="0" w:afterLines="0" w:afterAutospacing="0"/>
      <w:jc w:val="center"/>
      <w:outlineLvl w:val="9"/>
    </w:pPr>
    <w:rPr>
      <w:rFonts w:ascii="方正小标宋_GBK" w:hAnsi="方正小标宋_GBK" w:eastAsia="方正小标宋_GBK" w:cs="方正小标宋_GBK"/>
      <w:sz w:val="44"/>
      <w:szCs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data/home/user/MyDataDisk/Document_Backup/2019/&#20844;&#25991;&#27169;&#26495;/&#20844;&#25991;&#27169;&#26495;&#65288;&#30333;&#22836;&#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公文模板（白头）.dotx</Template>
  <Pages>23</Pages>
  <Words>11002</Words>
  <Characters>12579</Characters>
  <Lines>0</Lines>
  <Paragraphs>0</Paragraphs>
  <TotalTime>16</TotalTime>
  <ScaleCrop>false</ScaleCrop>
  <LinksUpToDate>false</LinksUpToDate>
  <CharactersWithSpaces>12589</CharactersWithSpaces>
  <Application>WPS Office_11.8.2.11653_F1E327BC-269C-435d-A152-05C5408002CA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2023-03-04T07:32:00Z</dcterms:created>
  <dc:creator>杨玉成</dc:creator>
  <cp:lastModifiedBy>杨玉成</cp:lastModifiedBy>
  <dcterms:modified xsi:type="dcterms:W3CDTF">2024-06-24T16:30:05Z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2052-11.8.2.11653</vt:lpwstr>
  </property>
  <property fmtid="{D5CDD505-2E9C-101B-9397-08002B2CF9AE}" pid="3" name="ICV">
    <vt:lpwstr>5A1439CDEC374117A3680A66ADCEEC6D</vt:lpwstr>
  </property>
</Properties>
</file>