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26112" w14:textId="64550A7B" w:rsidR="0046132D" w:rsidRDefault="00FC31C6">
      <w:pPr>
        <w:pStyle w:val="1"/>
      </w:pPr>
      <w:r>
        <w:rPr>
          <w:rFonts w:hint="eastAsia"/>
        </w:rPr>
        <w:t>德宏州帮扶资产清理核查项目实施方案</w:t>
      </w:r>
    </w:p>
    <w:p w14:paraId="1D62B00E" w14:textId="77777777" w:rsidR="0046132D" w:rsidRDefault="0046132D">
      <w:pPr>
        <w:ind w:firstLine="640"/>
      </w:pPr>
    </w:p>
    <w:p w14:paraId="6E08CB9F" w14:textId="77777777" w:rsidR="0046132D" w:rsidRDefault="00FC31C6">
      <w:pPr>
        <w:pStyle w:val="2"/>
        <w:ind w:firstLine="640"/>
      </w:pPr>
      <w:r>
        <w:rPr>
          <w:rFonts w:hint="eastAsia"/>
        </w:rPr>
        <w:t>一、项目背景与目标</w:t>
      </w:r>
    </w:p>
    <w:p w14:paraId="627877FD" w14:textId="77777777" w:rsidR="0046132D" w:rsidRDefault="00FC31C6">
      <w:pPr>
        <w:pStyle w:val="3"/>
        <w:ind w:firstLine="640"/>
      </w:pPr>
      <w:r>
        <w:rPr>
          <w:rFonts w:hint="eastAsia"/>
        </w:rPr>
        <w:t>（一）项目背景</w:t>
      </w:r>
    </w:p>
    <w:p w14:paraId="42A00E09" w14:textId="77777777" w:rsidR="0046132D" w:rsidRDefault="00FC31C6">
      <w:pPr>
        <w:ind w:firstLine="640"/>
      </w:pPr>
      <w:r>
        <w:rPr>
          <w:rFonts w:hint="eastAsia"/>
        </w:rPr>
        <w:t>为深入贯彻习近平总书记关于巩固拓展脱贫攻坚成果同乡村振兴有效衔接的重要指示精神，全面落实党的二十届三中全会《决定》以及</w:t>
      </w:r>
      <w:r>
        <w:rPr>
          <w:rFonts w:hint="eastAsia"/>
        </w:rPr>
        <w:t>2025</w:t>
      </w:r>
      <w:r>
        <w:rPr>
          <w:rFonts w:hint="eastAsia"/>
        </w:rPr>
        <w:t>年中央一号文件中健全脱贫攻坚国家投入形成资产长效管理机制的部署，依据《国务院办公厅转发国家乡村振兴局中央农办财政部关于加强扶贫项目资产后续管理指导意见的通知》《农业农村部关于落实“四个一批”要求扎实推进帮扶产业高质量发展的指导意见》《云南省人民政府办公厅转发省乡村振兴局省委农办财政厅关于进一步加强全省扶贫项目资产后续管理实施意见的通知》《云南省乡村振兴局云南省财政厅云南省农业农村厅关于</w:t>
      </w:r>
      <w:r>
        <w:t>“</w:t>
      </w:r>
      <w:r>
        <w:rPr>
          <w:rFonts w:hint="eastAsia"/>
        </w:rPr>
        <w:t>四个一批”推动帮扶产业提质增效的意见》《德宏州扶贫项目资产后续管理办法（试行）》《德宏州</w:t>
      </w:r>
      <w:r>
        <w:t>“</w:t>
      </w:r>
      <w:r>
        <w:rPr>
          <w:rFonts w:hint="eastAsia"/>
        </w:rPr>
        <w:t>四个一批”推动帮扶产业项目提质增效行动方案》等系列政策文件，在现行国有资产和农村集体资产管理制度框架下，</w:t>
      </w:r>
      <w:proofErr w:type="gramStart"/>
      <w:r>
        <w:rPr>
          <w:rFonts w:hint="eastAsia"/>
        </w:rPr>
        <w:t>秉持全</w:t>
      </w:r>
      <w:proofErr w:type="gramEnd"/>
      <w:r>
        <w:rPr>
          <w:rFonts w:hint="eastAsia"/>
        </w:rPr>
        <w:t>周期全链条管理理念，进一步精准摸清德宏州帮扶项目资产底数，构建统一、规范的资产登记管理台账，实现资金、项目、资产管理一体化，推动资产稳定高效运营，持续发挥资产效益，为德宏州巩固拓展脱贫攻坚成果、全面推进乡村振兴筑牢坚实根基。</w:t>
      </w:r>
    </w:p>
    <w:p w14:paraId="1147430B" w14:textId="77777777" w:rsidR="0046132D" w:rsidRDefault="00FC31C6">
      <w:pPr>
        <w:pStyle w:val="3"/>
        <w:ind w:firstLine="640"/>
      </w:pPr>
      <w:r>
        <w:rPr>
          <w:rFonts w:hint="eastAsia"/>
        </w:rPr>
        <w:lastRenderedPageBreak/>
        <w:t>（二）工作目标</w:t>
      </w:r>
    </w:p>
    <w:p w14:paraId="75E3B351" w14:textId="77777777" w:rsidR="0046132D" w:rsidRDefault="00FC31C6">
      <w:pPr>
        <w:ind w:firstLine="640"/>
      </w:pPr>
      <w:r>
        <w:rPr>
          <w:rFonts w:hint="eastAsia"/>
        </w:rPr>
        <w:t>委托具备专业资质与丰富经验的第三方会计服务公司，按照“资金—项目—资产”的逻辑路径，对党的十八大以来，德宏州范围内使用衔接资金（扶贫资金）、涉农整合资金、沪滇协作资金、对口帮扶资金、社会帮扶资金等投入支持的项目资产开展全面梳理清查。通过严谨细致的工作，分类建立详实、准确、完善的</w:t>
      </w:r>
      <w:proofErr w:type="gramStart"/>
      <w:r>
        <w:rPr>
          <w:rFonts w:hint="eastAsia"/>
        </w:rPr>
        <w:t>资产台</w:t>
      </w:r>
      <w:proofErr w:type="gramEnd"/>
      <w:r>
        <w:rPr>
          <w:rFonts w:hint="eastAsia"/>
        </w:rPr>
        <w:t>账，为后续资产的科学管理、高效运营以及严格监督提供可靠的数据支撑，助力德宏州帮扶项目资产实现规范化、精细化管理，切实提升资产使用效益。</w:t>
      </w:r>
    </w:p>
    <w:p w14:paraId="3B631EB7" w14:textId="77777777" w:rsidR="0046132D" w:rsidRDefault="00FC31C6">
      <w:pPr>
        <w:pStyle w:val="2"/>
        <w:ind w:firstLine="640"/>
      </w:pPr>
      <w:r>
        <w:t>二、项目名称</w:t>
      </w:r>
      <w:r>
        <w:rPr>
          <w:rFonts w:hint="eastAsia"/>
        </w:rPr>
        <w:t>、</w:t>
      </w:r>
      <w:r>
        <w:t>资金来源</w:t>
      </w:r>
      <w:r>
        <w:rPr>
          <w:rFonts w:hint="eastAsia"/>
        </w:rPr>
        <w:t>及预算</w:t>
      </w:r>
    </w:p>
    <w:p w14:paraId="649E28B9" w14:textId="792A4378" w:rsidR="0046132D" w:rsidRDefault="00FC31C6">
      <w:pPr>
        <w:ind w:firstLine="640"/>
      </w:pPr>
      <w:r>
        <w:rPr>
          <w:rStyle w:val="30"/>
          <w:rFonts w:hint="eastAsia"/>
        </w:rPr>
        <w:t>项目名称：</w:t>
      </w:r>
      <w:r>
        <w:rPr>
          <w:rFonts w:hint="eastAsia"/>
        </w:rPr>
        <w:t>德宏州帮扶资产清理核查项目</w:t>
      </w:r>
      <w:r w:rsidR="0090662D">
        <w:rPr>
          <w:rFonts w:hint="eastAsia"/>
        </w:rPr>
        <w:t>。</w:t>
      </w:r>
    </w:p>
    <w:p w14:paraId="228D1DAC" w14:textId="4BC725DC" w:rsidR="0046132D" w:rsidRDefault="00FC31C6">
      <w:pPr>
        <w:ind w:firstLine="640"/>
      </w:pPr>
      <w:r>
        <w:rPr>
          <w:rStyle w:val="30"/>
          <w:rFonts w:hint="eastAsia"/>
        </w:rPr>
        <w:t>资金来源：</w:t>
      </w:r>
      <w:r>
        <w:rPr>
          <w:rFonts w:hint="eastAsia"/>
        </w:rPr>
        <w:t>德宏州</w:t>
      </w:r>
      <w:r>
        <w:rPr>
          <w:rFonts w:hint="eastAsia"/>
        </w:rPr>
        <w:t>2</w:t>
      </w:r>
      <w:r>
        <w:t>025</w:t>
      </w:r>
      <w:r>
        <w:t>年</w:t>
      </w:r>
      <w:r w:rsidR="00B87CE4">
        <w:rPr>
          <w:rFonts w:hint="eastAsia"/>
        </w:rPr>
        <w:t>州级</w:t>
      </w:r>
      <w:r>
        <w:t>财政衔接推进乡村振兴补助资金</w:t>
      </w:r>
      <w:r w:rsidR="0090662D">
        <w:rPr>
          <w:rFonts w:hint="eastAsia"/>
        </w:rPr>
        <w:t>。</w:t>
      </w:r>
    </w:p>
    <w:p w14:paraId="1AB80882" w14:textId="77777777" w:rsidR="0046132D" w:rsidRDefault="00FC31C6">
      <w:pPr>
        <w:ind w:firstLine="640"/>
      </w:pPr>
      <w:r>
        <w:rPr>
          <w:rStyle w:val="30"/>
          <w:rFonts w:hint="eastAsia"/>
        </w:rPr>
        <w:t>资金预算</w:t>
      </w:r>
      <w:r>
        <w:rPr>
          <w:rStyle w:val="30"/>
        </w:rPr>
        <w:t>：</w:t>
      </w:r>
      <w:r>
        <w:rPr>
          <w:rFonts w:hint="eastAsia"/>
        </w:rPr>
        <w:t>2</w:t>
      </w:r>
      <w:r>
        <w:t>0</w:t>
      </w:r>
      <w:r>
        <w:t>万元</w:t>
      </w:r>
      <w:r>
        <w:rPr>
          <w:rFonts w:hint="eastAsia"/>
        </w:rPr>
        <w:t>。</w:t>
      </w:r>
    </w:p>
    <w:p w14:paraId="212B1F79" w14:textId="77777777" w:rsidR="0046132D" w:rsidRDefault="00FC31C6">
      <w:pPr>
        <w:pStyle w:val="2"/>
        <w:ind w:firstLine="640"/>
      </w:pPr>
      <w:r>
        <w:rPr>
          <w:rFonts w:hint="eastAsia"/>
        </w:rPr>
        <w:t>三、工作内容与流程</w:t>
      </w:r>
    </w:p>
    <w:p w14:paraId="0E6319EF" w14:textId="77777777" w:rsidR="0046132D" w:rsidRDefault="00FC31C6">
      <w:pPr>
        <w:ind w:firstLine="640"/>
        <w:rPr>
          <w:rStyle w:val="30"/>
        </w:rPr>
      </w:pPr>
      <w:r>
        <w:rPr>
          <w:rStyle w:val="30"/>
          <w:rFonts w:hint="eastAsia"/>
        </w:rPr>
        <w:t>（一）前期准备</w:t>
      </w:r>
    </w:p>
    <w:p w14:paraId="0AE6A96A" w14:textId="5AAF935C" w:rsidR="0046132D" w:rsidRDefault="00FC31C6">
      <w:pPr>
        <w:ind w:firstLine="640"/>
      </w:pPr>
      <w:r>
        <w:rPr>
          <w:rFonts w:hint="eastAsia"/>
        </w:rPr>
        <w:t>通过查阅档案材料，收集</w:t>
      </w:r>
      <w:proofErr w:type="gramStart"/>
      <w:r>
        <w:rPr>
          <w:rFonts w:hint="eastAsia"/>
        </w:rPr>
        <w:t>整理党</w:t>
      </w:r>
      <w:proofErr w:type="gramEnd"/>
      <w:r>
        <w:rPr>
          <w:rFonts w:hint="eastAsia"/>
        </w:rPr>
        <w:t>的十八大以来资产管理、资金文件、项目资料、原有资产管理台账等资料。</w:t>
      </w:r>
      <w:r w:rsidR="00E54EFD" w:rsidRPr="00E54EFD">
        <w:t>与第三</w:t>
      </w:r>
      <w:proofErr w:type="gramStart"/>
      <w:r w:rsidR="00E54EFD" w:rsidRPr="00E54EFD">
        <w:t>方</w:t>
      </w:r>
      <w:r w:rsidR="00E54EFD">
        <w:rPr>
          <w:rFonts w:hint="eastAsia"/>
        </w:rPr>
        <w:t>服务</w:t>
      </w:r>
      <w:proofErr w:type="gramEnd"/>
      <w:r w:rsidR="00E54EFD" w:rsidRPr="00E54EFD">
        <w:t>机构签订保密协议</w:t>
      </w:r>
      <w:r w:rsidR="00E54EFD" w:rsidRPr="00E54EFD">
        <w:rPr>
          <w:rFonts w:hint="eastAsia"/>
        </w:rPr>
        <w:t>，约定权利义务，</w:t>
      </w:r>
      <w:r w:rsidR="00E54EFD" w:rsidRPr="00E54EFD">
        <w:t>确保信息安全。</w:t>
      </w:r>
      <w:r>
        <w:t>组织县、乡、村三级工作人员参加业务培训，详细讲解资产清查的范围、标准、流程及台</w:t>
      </w:r>
      <w:proofErr w:type="gramStart"/>
      <w:r>
        <w:t>账建立</w:t>
      </w:r>
      <w:proofErr w:type="gramEnd"/>
      <w:r>
        <w:t>方法，提高工作人员业务水平，确保清查工作规范、统一。</w:t>
      </w:r>
    </w:p>
    <w:p w14:paraId="4DFDF4D7" w14:textId="77777777" w:rsidR="0046132D" w:rsidRDefault="00FC31C6">
      <w:pPr>
        <w:ind w:firstLine="640"/>
        <w:rPr>
          <w:rStyle w:val="30"/>
        </w:rPr>
      </w:pPr>
      <w:r>
        <w:rPr>
          <w:rStyle w:val="30"/>
          <w:rFonts w:hint="eastAsia"/>
        </w:rPr>
        <w:lastRenderedPageBreak/>
        <w:t>（二）资金梳理</w:t>
      </w:r>
    </w:p>
    <w:p w14:paraId="22A6B1D3" w14:textId="77777777" w:rsidR="0046132D" w:rsidRDefault="00FC31C6">
      <w:pPr>
        <w:ind w:firstLine="640"/>
      </w:pPr>
      <w:r>
        <w:rPr>
          <w:rFonts w:hint="eastAsia"/>
        </w:rPr>
        <w:t>以财政资金文件为起点，逐笔梳理资金的流向，建立</w:t>
      </w:r>
      <w:proofErr w:type="gramStart"/>
      <w:r>
        <w:rPr>
          <w:rFonts w:hint="eastAsia"/>
        </w:rPr>
        <w:t>资金台</w:t>
      </w:r>
      <w:proofErr w:type="gramEnd"/>
      <w:r>
        <w:rPr>
          <w:rFonts w:hint="eastAsia"/>
        </w:rPr>
        <w:t>账。台</w:t>
      </w:r>
      <w:proofErr w:type="gramStart"/>
      <w:r>
        <w:rPr>
          <w:rFonts w:hint="eastAsia"/>
        </w:rPr>
        <w:t>账内容</w:t>
      </w:r>
      <w:proofErr w:type="gramEnd"/>
      <w:r>
        <w:rPr>
          <w:rFonts w:hint="eastAsia"/>
        </w:rPr>
        <w:t>包括资金来源、资金文件编号、下达时间、金额、拨付对象、对应项目名称等信息。对资金文件不完整或资金流向不清晰的情况，及时与相关单位沟通，通过查阅原始凭证等方式进行核实，确保资金梳理准确无误。</w:t>
      </w:r>
    </w:p>
    <w:p w14:paraId="7000BDB2" w14:textId="77777777" w:rsidR="0046132D" w:rsidRDefault="00FC31C6">
      <w:pPr>
        <w:ind w:firstLine="640"/>
        <w:rPr>
          <w:rStyle w:val="30"/>
        </w:rPr>
      </w:pPr>
      <w:r>
        <w:rPr>
          <w:rStyle w:val="30"/>
          <w:rFonts w:hint="eastAsia"/>
        </w:rPr>
        <w:t>（三）项目核实</w:t>
      </w:r>
    </w:p>
    <w:p w14:paraId="677A51E5" w14:textId="77777777" w:rsidR="0046132D" w:rsidRDefault="00FC31C6">
      <w:pPr>
        <w:ind w:firstLine="640"/>
      </w:pPr>
      <w:r>
        <w:rPr>
          <w:rFonts w:hint="eastAsia"/>
        </w:rPr>
        <w:t>根据资金项目对应清单，对照项目批复、实施方案、</w:t>
      </w:r>
      <w:r>
        <w:t>验收报告、结算</w:t>
      </w:r>
      <w:r>
        <w:rPr>
          <w:rFonts w:hint="eastAsia"/>
        </w:rPr>
        <w:t>资料等文件，确认项目建设内容、规模、实施地点、实施单位、实施时间等信息，确保每一笔资金精准对应到具体项目上。</w:t>
      </w:r>
      <w:r>
        <w:t>对</w:t>
      </w:r>
      <w:r>
        <w:rPr>
          <w:rFonts w:hint="eastAsia"/>
        </w:rPr>
        <w:t>与资金文件不匹配、</w:t>
      </w:r>
      <w:r>
        <w:t>建设内容存疑</w:t>
      </w:r>
      <w:r>
        <w:rPr>
          <w:rFonts w:hint="eastAsia"/>
        </w:rPr>
        <w:t>的项目，进行“资金－</w:t>
      </w:r>
      <w:r>
        <w:t>项目</w:t>
      </w:r>
      <w:r>
        <w:rPr>
          <w:rFonts w:hint="eastAsia"/>
        </w:rPr>
        <w:t>”双向校验，</w:t>
      </w:r>
      <w:r>
        <w:t>确保每笔资金都有对应的项目，每个项目的资金来源清晰可追溯。</w:t>
      </w:r>
    </w:p>
    <w:p w14:paraId="5AA49E53" w14:textId="77777777" w:rsidR="0046132D" w:rsidRDefault="00FC31C6">
      <w:pPr>
        <w:ind w:firstLine="640"/>
        <w:rPr>
          <w:rStyle w:val="30"/>
        </w:rPr>
      </w:pPr>
      <w:r>
        <w:rPr>
          <w:rStyle w:val="30"/>
          <w:rFonts w:hint="eastAsia"/>
        </w:rPr>
        <w:t>（四）资产清查</w:t>
      </w:r>
    </w:p>
    <w:p w14:paraId="785AB1B6" w14:textId="77777777" w:rsidR="0046132D" w:rsidRDefault="00FC31C6">
      <w:pPr>
        <w:ind w:firstLine="640"/>
      </w:pPr>
      <w:r>
        <w:t>对</w:t>
      </w:r>
      <w:r>
        <w:rPr>
          <w:rFonts w:hint="eastAsia"/>
        </w:rPr>
        <w:t>实际投入建设的项目，按照是否形成资产，形成资产类别进行分类清查登记（其中，按照</w:t>
      </w:r>
      <w:r>
        <w:t>资产权属</w:t>
      </w:r>
      <w:r>
        <w:rPr>
          <w:rFonts w:hint="eastAsia"/>
        </w:rPr>
        <w:t>分为国有资产、集体资产和到户资产三类，其中国有资产和集体资产按照</w:t>
      </w:r>
      <w:r>
        <w:t>功能</w:t>
      </w:r>
      <w:r>
        <w:rPr>
          <w:rFonts w:hint="eastAsia"/>
        </w:rPr>
        <w:t>性质分为公益性资产、经营性资产两类；根据资产功能状态及使用情况分为</w:t>
      </w:r>
      <w:r>
        <w:t>正常、</w:t>
      </w:r>
      <w:r>
        <w:rPr>
          <w:rFonts w:hint="eastAsia"/>
        </w:rPr>
        <w:t>损坏</w:t>
      </w:r>
      <w:r>
        <w:t>、</w:t>
      </w:r>
      <w:r>
        <w:rPr>
          <w:rFonts w:hint="eastAsia"/>
        </w:rPr>
        <w:t>损毁灭失三个等级，综合衡量</w:t>
      </w:r>
      <w:r>
        <w:t>收</w:t>
      </w:r>
      <w:r>
        <w:rPr>
          <w:rFonts w:hint="eastAsia"/>
        </w:rPr>
        <w:t>益</w:t>
      </w:r>
      <w:r>
        <w:t>分配、</w:t>
      </w:r>
      <w:r>
        <w:rPr>
          <w:rFonts w:hint="eastAsia"/>
        </w:rPr>
        <w:t>联农带</w:t>
      </w:r>
      <w:proofErr w:type="gramStart"/>
      <w:r>
        <w:rPr>
          <w:rFonts w:hint="eastAsia"/>
        </w:rPr>
        <w:t>农效果</w:t>
      </w:r>
      <w:proofErr w:type="gramEnd"/>
      <w:r>
        <w:rPr>
          <w:rFonts w:hint="eastAsia"/>
        </w:rPr>
        <w:t>等情况将经营性资产运营状况分为良好、低效、闲置三个等级）。对资产信息存在争议或不明确情况，按照现有</w:t>
      </w:r>
      <w:r>
        <w:t>国有资产和农村集体资产管理制度</w:t>
      </w:r>
      <w:r>
        <w:rPr>
          <w:rFonts w:hint="eastAsia"/>
        </w:rPr>
        <w:t>进行核实确定。</w:t>
      </w:r>
    </w:p>
    <w:p w14:paraId="4A6091F8" w14:textId="77777777" w:rsidR="0046132D" w:rsidRDefault="00FC31C6">
      <w:pPr>
        <w:ind w:firstLine="640"/>
        <w:rPr>
          <w:rStyle w:val="30"/>
        </w:rPr>
      </w:pPr>
      <w:r>
        <w:rPr>
          <w:rStyle w:val="30"/>
          <w:rFonts w:hint="eastAsia"/>
        </w:rPr>
        <w:lastRenderedPageBreak/>
        <w:t>（五）建立台账</w:t>
      </w:r>
    </w:p>
    <w:p w14:paraId="75CCC4DC" w14:textId="12766438" w:rsidR="0046132D" w:rsidRDefault="00FC31C6">
      <w:pPr>
        <w:ind w:firstLine="640"/>
      </w:pPr>
      <w:r>
        <w:rPr>
          <w:rFonts w:hint="eastAsia"/>
        </w:rPr>
        <w:t>按照统一标准和模板，建立完整的帮扶项目</w:t>
      </w:r>
      <w:proofErr w:type="gramStart"/>
      <w:r>
        <w:rPr>
          <w:rFonts w:hint="eastAsia"/>
        </w:rPr>
        <w:t>资产台</w:t>
      </w:r>
      <w:proofErr w:type="gramEnd"/>
      <w:r>
        <w:rPr>
          <w:rFonts w:hint="eastAsia"/>
        </w:rPr>
        <w:t>账，台</w:t>
      </w:r>
      <w:proofErr w:type="gramStart"/>
      <w:r>
        <w:rPr>
          <w:rFonts w:hint="eastAsia"/>
        </w:rPr>
        <w:t>账内容</w:t>
      </w:r>
      <w:proofErr w:type="gramEnd"/>
      <w:r>
        <w:rPr>
          <w:rFonts w:hint="eastAsia"/>
        </w:rPr>
        <w:t>应涵盖资产清查的关键信息，确保“资金－</w:t>
      </w:r>
      <w:r>
        <w:t>项目</w:t>
      </w:r>
      <w:r>
        <w:rPr>
          <w:rFonts w:hint="eastAsia"/>
        </w:rPr>
        <w:t>－</w:t>
      </w:r>
      <w:r>
        <w:t>资产</w:t>
      </w:r>
      <w:r>
        <w:rPr>
          <w:rFonts w:hint="eastAsia"/>
        </w:rPr>
        <w:t>”</w:t>
      </w:r>
      <w:r>
        <w:t>一一对应</w:t>
      </w:r>
      <w:r>
        <w:rPr>
          <w:rFonts w:hint="eastAsia"/>
        </w:rPr>
        <w:t>，台账清晰、规范、可追溯。</w:t>
      </w:r>
      <w:proofErr w:type="gramStart"/>
      <w:r w:rsidR="009E149E" w:rsidRPr="009E149E">
        <w:rPr>
          <w:rFonts w:hint="eastAsia"/>
        </w:rPr>
        <w:t>制定台</w:t>
      </w:r>
      <w:proofErr w:type="gramEnd"/>
      <w:r w:rsidR="009E149E" w:rsidRPr="009E149E">
        <w:rPr>
          <w:rFonts w:hint="eastAsia"/>
        </w:rPr>
        <w:t>账验收评分标准</w:t>
      </w:r>
      <w:r w:rsidR="00634F09">
        <w:rPr>
          <w:rFonts w:hint="eastAsia"/>
        </w:rPr>
        <w:t>，</w:t>
      </w:r>
      <w:r w:rsidR="00F61B42">
        <w:rPr>
          <w:rFonts w:hint="eastAsia"/>
        </w:rPr>
        <w:t>由领导小组验收合格后方可交付</w:t>
      </w:r>
      <w:r w:rsidR="009E149E" w:rsidRPr="009E149E">
        <w:rPr>
          <w:rFonts w:hint="eastAsia"/>
        </w:rPr>
        <w:t>。</w:t>
      </w:r>
      <w:r>
        <w:rPr>
          <w:rFonts w:hint="eastAsia"/>
        </w:rPr>
        <w:t>同时，</w:t>
      </w:r>
      <w:r w:rsidR="00F61B42">
        <w:rPr>
          <w:rFonts w:hint="eastAsia"/>
        </w:rPr>
        <w:t>协助</w:t>
      </w:r>
      <w:r>
        <w:rPr>
          <w:rFonts w:hint="eastAsia"/>
        </w:rPr>
        <w:t>将</w:t>
      </w:r>
      <w:proofErr w:type="gramStart"/>
      <w:r>
        <w:rPr>
          <w:rFonts w:hint="eastAsia"/>
        </w:rPr>
        <w:t>资产台账与</w:t>
      </w:r>
      <w:proofErr w:type="gramEnd"/>
      <w:r>
        <w:rPr>
          <w:rFonts w:hint="eastAsia"/>
        </w:rPr>
        <w:t>农村三资管理平台、全国防止返贫监测和衔接推进乡村振兴信息系统进行比对或录入。</w:t>
      </w:r>
    </w:p>
    <w:p w14:paraId="4BA93018" w14:textId="77777777" w:rsidR="0046132D" w:rsidRDefault="00FC31C6">
      <w:pPr>
        <w:pStyle w:val="2"/>
        <w:ind w:firstLine="640"/>
      </w:pPr>
      <w:r>
        <w:t>四、项目实施时间</w:t>
      </w:r>
    </w:p>
    <w:p w14:paraId="34A6F272" w14:textId="77777777" w:rsidR="0046132D" w:rsidRDefault="00FC31C6">
      <w:pPr>
        <w:ind w:firstLine="640"/>
      </w:pPr>
      <w:r>
        <w:rPr>
          <w:rFonts w:hint="eastAsia"/>
        </w:rPr>
        <w:t>2</w:t>
      </w:r>
      <w:r>
        <w:t>025</w:t>
      </w:r>
      <w:r>
        <w:t>年</w:t>
      </w:r>
      <w:r>
        <w:rPr>
          <w:rFonts w:hint="eastAsia"/>
        </w:rPr>
        <w:t>7</w:t>
      </w:r>
      <w:r>
        <w:t>月</w:t>
      </w:r>
      <w:r>
        <w:rPr>
          <w:rFonts w:hint="eastAsia"/>
        </w:rPr>
        <w:t>—</w:t>
      </w:r>
      <w:r>
        <w:t>12</w:t>
      </w:r>
      <w:r>
        <w:t>月</w:t>
      </w:r>
    </w:p>
    <w:p w14:paraId="03AFBE35" w14:textId="77777777" w:rsidR="0046132D" w:rsidRDefault="00FC31C6">
      <w:pPr>
        <w:pStyle w:val="2"/>
        <w:ind w:firstLine="640"/>
      </w:pPr>
      <w:r>
        <w:rPr>
          <w:rFonts w:hint="eastAsia"/>
        </w:rPr>
        <w:t>五、项目效益分析</w:t>
      </w:r>
    </w:p>
    <w:p w14:paraId="0820B2FA" w14:textId="77777777" w:rsidR="0046132D" w:rsidRDefault="00FC31C6">
      <w:pPr>
        <w:ind w:firstLine="640"/>
        <w:rPr>
          <w:rStyle w:val="30"/>
        </w:rPr>
      </w:pPr>
      <w:r>
        <w:rPr>
          <w:rStyle w:val="30"/>
          <w:rFonts w:hint="eastAsia"/>
        </w:rPr>
        <w:t>（一）经济效益</w:t>
      </w:r>
    </w:p>
    <w:p w14:paraId="697ECB61" w14:textId="77777777" w:rsidR="0046132D" w:rsidRDefault="00FC31C6">
      <w:pPr>
        <w:ind w:firstLine="640"/>
      </w:pPr>
      <w:r>
        <w:rPr>
          <w:rFonts w:hint="eastAsia"/>
        </w:rPr>
        <w:t>通过全面清查与规范管理，清晰掌握帮扶项目资产状况，及时发现并解决资产闲置、低效运营等问题，提高资产利用率，促进资产保值增值，为德宏州经济发展提供坚实的资产支撑。通过资产清理，为产业发展规划提供数据依据，助力合理配置资源，引导产业项目精准对接市场需求，推动帮扶产业提质增效，带动区域经济增长，增加农民收入。</w:t>
      </w:r>
    </w:p>
    <w:p w14:paraId="404D28AC" w14:textId="77777777" w:rsidR="0046132D" w:rsidRDefault="00FC31C6">
      <w:pPr>
        <w:ind w:firstLine="640"/>
        <w:rPr>
          <w:rStyle w:val="30"/>
        </w:rPr>
      </w:pPr>
      <w:r>
        <w:rPr>
          <w:rStyle w:val="30"/>
          <w:rFonts w:hint="eastAsia"/>
        </w:rPr>
        <w:t>（二）社会效益</w:t>
      </w:r>
    </w:p>
    <w:p w14:paraId="6B1E1F8E" w14:textId="77777777" w:rsidR="0046132D" w:rsidRDefault="00FC31C6">
      <w:pPr>
        <w:ind w:firstLine="640"/>
      </w:pPr>
      <w:r>
        <w:rPr>
          <w:rFonts w:hint="eastAsia"/>
        </w:rPr>
        <w:t>通过清理，加强帮扶项目资产后续管理，确保资产持续发挥效益，为脱贫群众提供稳定的就业机会与收入来源，助力乡村振兴。同时，强化县、乡、村三级工作人员的业务能力与责任意识，</w:t>
      </w:r>
      <w:r>
        <w:rPr>
          <w:rFonts w:hint="eastAsia"/>
        </w:rPr>
        <w:lastRenderedPageBreak/>
        <w:t>完善了资产管理制度与监督机制，提升了乡村治理的规范化、科学化水平，为乡村振兴战略实施营造良好的制度环境。</w:t>
      </w:r>
    </w:p>
    <w:p w14:paraId="7DAD78F4" w14:textId="77777777" w:rsidR="0046132D" w:rsidRDefault="00FC31C6">
      <w:pPr>
        <w:pStyle w:val="2"/>
        <w:ind w:firstLine="640"/>
      </w:pPr>
      <w:r>
        <w:t>六、</w:t>
      </w:r>
      <w:r>
        <w:rPr>
          <w:rFonts w:hint="eastAsia"/>
        </w:rPr>
        <w:t>项目实施</w:t>
      </w:r>
      <w:r>
        <w:t>保障</w:t>
      </w:r>
    </w:p>
    <w:p w14:paraId="030617EA" w14:textId="77777777" w:rsidR="0046132D" w:rsidRDefault="00FC31C6">
      <w:pPr>
        <w:ind w:firstLine="640"/>
        <w:rPr>
          <w:rStyle w:val="30"/>
        </w:rPr>
      </w:pPr>
      <w:r>
        <w:rPr>
          <w:rStyle w:val="30"/>
          <w:rFonts w:hint="eastAsia"/>
        </w:rPr>
        <w:t>（一）强化组织领导</w:t>
      </w:r>
    </w:p>
    <w:p w14:paraId="1BD01572" w14:textId="77777777" w:rsidR="0046132D" w:rsidRDefault="00FC31C6">
      <w:pPr>
        <w:ind w:firstLine="640"/>
      </w:pPr>
      <w:proofErr w:type="gramStart"/>
      <w:r>
        <w:t>州农业</w:t>
      </w:r>
      <w:proofErr w:type="gramEnd"/>
      <w:r>
        <w:t>农村局成立项目实施领导小组，组长由</w:t>
      </w:r>
      <w:proofErr w:type="gramStart"/>
      <w:r>
        <w:t>州农业</w:t>
      </w:r>
      <w:proofErr w:type="gramEnd"/>
      <w:r>
        <w:t>农村局分管资产管理的领导担任，帮扶与保障后扶科、</w:t>
      </w:r>
      <w:r>
        <w:rPr>
          <w:rFonts w:hint="eastAsia"/>
        </w:rPr>
        <w:t>区域协作与社会帮扶科、发展规划与计划财务科等业务科室为成员，邀请州财政局农业农村科参加，</w:t>
      </w:r>
      <w:r>
        <w:t>负责项目</w:t>
      </w:r>
      <w:r>
        <w:rPr>
          <w:rFonts w:hint="eastAsia"/>
        </w:rPr>
        <w:t>组织协调、</w:t>
      </w:r>
      <w:r>
        <w:t>具体实施、</w:t>
      </w:r>
      <w:r>
        <w:rPr>
          <w:rFonts w:hint="eastAsia"/>
        </w:rPr>
        <w:t>督导</w:t>
      </w:r>
      <w:r>
        <w:t>指导等。各县市视情成立工作专班，</w:t>
      </w:r>
      <w:r>
        <w:rPr>
          <w:rFonts w:hint="eastAsia"/>
        </w:rPr>
        <w:t>组织集中办公，</w:t>
      </w:r>
      <w:r>
        <w:t>负责本县市</w:t>
      </w:r>
      <w:r>
        <w:rPr>
          <w:rFonts w:hint="eastAsia"/>
        </w:rPr>
        <w:t>帮扶项目资产清理的具体实施。各项</w:t>
      </w:r>
      <w:proofErr w:type="gramStart"/>
      <w:r>
        <w:rPr>
          <w:rFonts w:hint="eastAsia"/>
        </w:rPr>
        <w:t>目实施</w:t>
      </w:r>
      <w:proofErr w:type="gramEnd"/>
      <w:r>
        <w:rPr>
          <w:rFonts w:hint="eastAsia"/>
        </w:rPr>
        <w:t>单位要指定专人负责，及</w:t>
      </w:r>
      <w:r>
        <w:t>时提供真实、准确、完整的项目资料，确保项目资产清理工作顺利进行。对工作推诿扯皮、敷衍塞责、</w:t>
      </w:r>
      <w:r>
        <w:t>“</w:t>
      </w:r>
      <w:r>
        <w:t>新官不理旧账</w:t>
      </w:r>
      <w:r>
        <w:t>”</w:t>
      </w:r>
      <w:r>
        <w:t>的单位和个人，严肃追究责任。</w:t>
      </w:r>
    </w:p>
    <w:p w14:paraId="18D37B0E" w14:textId="77777777" w:rsidR="0046132D" w:rsidRDefault="00FC31C6">
      <w:pPr>
        <w:ind w:firstLine="640"/>
        <w:rPr>
          <w:rStyle w:val="30"/>
        </w:rPr>
      </w:pPr>
      <w:r>
        <w:rPr>
          <w:rStyle w:val="30"/>
        </w:rPr>
        <w:t>（</w:t>
      </w:r>
      <w:r>
        <w:rPr>
          <w:rStyle w:val="30"/>
          <w:rFonts w:hint="eastAsia"/>
        </w:rPr>
        <w:t>二</w:t>
      </w:r>
      <w:r>
        <w:rPr>
          <w:rStyle w:val="30"/>
        </w:rPr>
        <w:t>）</w:t>
      </w:r>
      <w:r>
        <w:rPr>
          <w:rStyle w:val="30"/>
          <w:rFonts w:hint="eastAsia"/>
        </w:rPr>
        <w:t>强化沟通协调</w:t>
      </w:r>
    </w:p>
    <w:p w14:paraId="04247AE4" w14:textId="77777777" w:rsidR="0046132D" w:rsidRDefault="00FC31C6">
      <w:pPr>
        <w:ind w:firstLine="640"/>
      </w:pPr>
      <w:r>
        <w:rPr>
          <w:rFonts w:hint="eastAsia"/>
        </w:rPr>
        <w:t>农业农村、财政、各项</w:t>
      </w:r>
      <w:proofErr w:type="gramStart"/>
      <w:r>
        <w:rPr>
          <w:rFonts w:hint="eastAsia"/>
        </w:rPr>
        <w:t>目实施</w:t>
      </w:r>
      <w:proofErr w:type="gramEnd"/>
      <w:r>
        <w:rPr>
          <w:rFonts w:hint="eastAsia"/>
        </w:rPr>
        <w:t>单位、第三</w:t>
      </w:r>
      <w:proofErr w:type="gramStart"/>
      <w:r>
        <w:rPr>
          <w:rFonts w:hint="eastAsia"/>
        </w:rPr>
        <w:t>方服务</w:t>
      </w:r>
      <w:proofErr w:type="gramEnd"/>
      <w:r>
        <w:rPr>
          <w:rFonts w:hint="eastAsia"/>
        </w:rPr>
        <w:t>机构要加强沟通协调，确保清理清查质效。第三</w:t>
      </w:r>
      <w:proofErr w:type="gramStart"/>
      <w:r>
        <w:rPr>
          <w:rFonts w:hint="eastAsia"/>
        </w:rPr>
        <w:t>方服务</w:t>
      </w:r>
      <w:proofErr w:type="gramEnd"/>
      <w:r>
        <w:rPr>
          <w:rFonts w:hint="eastAsia"/>
        </w:rPr>
        <w:t>机构主要在各县市开展工作，视情下沉到项目实施单位、乡镇查看</w:t>
      </w:r>
      <w:proofErr w:type="gramStart"/>
      <w:r>
        <w:rPr>
          <w:rFonts w:hint="eastAsia"/>
        </w:rPr>
        <w:t>档案台</w:t>
      </w:r>
      <w:proofErr w:type="gramEnd"/>
      <w:r>
        <w:rPr>
          <w:rFonts w:hint="eastAsia"/>
        </w:rPr>
        <w:t>账资料。各县市、各项</w:t>
      </w:r>
      <w:proofErr w:type="gramStart"/>
      <w:r>
        <w:rPr>
          <w:rFonts w:hint="eastAsia"/>
        </w:rPr>
        <w:t>目实施</w:t>
      </w:r>
      <w:proofErr w:type="gramEnd"/>
      <w:r>
        <w:rPr>
          <w:rFonts w:hint="eastAsia"/>
        </w:rPr>
        <w:t>单位要积极配合第三</w:t>
      </w:r>
      <w:proofErr w:type="gramStart"/>
      <w:r>
        <w:rPr>
          <w:rFonts w:hint="eastAsia"/>
        </w:rPr>
        <w:t>方服务</w:t>
      </w:r>
      <w:proofErr w:type="gramEnd"/>
      <w:r>
        <w:rPr>
          <w:rFonts w:hint="eastAsia"/>
        </w:rPr>
        <w:t>机构开展工作，按照时间节点和要求提供有关资金项目材料。清理工作中，定期不定期召开会议，加强政策答疑解读，通报工作进展情况，协调解决工作中遇到的问题。</w:t>
      </w:r>
    </w:p>
    <w:p w14:paraId="068B3627" w14:textId="77777777" w:rsidR="0046132D" w:rsidRDefault="00FC31C6">
      <w:pPr>
        <w:ind w:firstLine="640"/>
        <w:rPr>
          <w:rStyle w:val="30"/>
        </w:rPr>
      </w:pPr>
      <w:r>
        <w:rPr>
          <w:rStyle w:val="30"/>
          <w:rFonts w:hint="eastAsia"/>
        </w:rPr>
        <w:t>（三）强化监督监管</w:t>
      </w:r>
    </w:p>
    <w:p w14:paraId="25A927EC" w14:textId="6245654B" w:rsidR="0046132D" w:rsidRDefault="00FC31C6">
      <w:pPr>
        <w:ind w:firstLine="640"/>
      </w:pPr>
      <w:r>
        <w:rPr>
          <w:rFonts w:hint="eastAsia"/>
        </w:rPr>
        <w:lastRenderedPageBreak/>
        <w:t>加强风险防控，准确把握政策尺度标准，对政策缺失或政策不明确的及时沟通请示，防止随意“搭便车”“销旧账”，有效防范社会风险、舆情风险和廉政风险。加强资金管理，严格按照</w:t>
      </w:r>
      <w:r>
        <w:t>《德宏州财政衔接推进乡村振兴补助资金管理办法》</w:t>
      </w:r>
      <w:r>
        <w:rPr>
          <w:rFonts w:hint="eastAsia"/>
        </w:rPr>
        <w:t>要求进行资金管理，专款专用。加强保密管理，</w:t>
      </w:r>
      <w:r w:rsidR="003A413A">
        <w:rPr>
          <w:rFonts w:hint="eastAsia"/>
        </w:rPr>
        <w:t>按要求签订保密协议书，确保信息安全</w:t>
      </w:r>
      <w:r>
        <w:rPr>
          <w:rFonts w:hint="eastAsia"/>
        </w:rPr>
        <w:t>。</w:t>
      </w:r>
    </w:p>
    <w:p w14:paraId="656D5396" w14:textId="77777777" w:rsidR="0046132D" w:rsidRDefault="0046132D">
      <w:pPr>
        <w:ind w:firstLine="640"/>
        <w:rPr>
          <w:color w:val="000000"/>
        </w:rPr>
      </w:pPr>
    </w:p>
    <w:p w14:paraId="2E2C8CF1" w14:textId="77777777" w:rsidR="0046132D" w:rsidRDefault="0046132D">
      <w:pPr>
        <w:ind w:firstLine="640"/>
        <w:rPr>
          <w:color w:val="000000"/>
        </w:rPr>
      </w:pPr>
    </w:p>
    <w:p w14:paraId="7E27BF28" w14:textId="77777777" w:rsidR="0046132D" w:rsidRDefault="00FC31C6" w:rsidP="00C75061">
      <w:pPr>
        <w:ind w:firstLineChars="1506" w:firstLine="4819"/>
        <w:jc w:val="center"/>
        <w:rPr>
          <w:color w:val="000000"/>
        </w:rPr>
      </w:pPr>
      <w:r>
        <w:rPr>
          <w:rFonts w:hint="eastAsia"/>
          <w:color w:val="000000"/>
        </w:rPr>
        <w:t>德宏州农业农村局</w:t>
      </w:r>
    </w:p>
    <w:p w14:paraId="55DD57EB" w14:textId="72FA6B51" w:rsidR="0046132D" w:rsidRDefault="00FC31C6" w:rsidP="00C75061">
      <w:pPr>
        <w:ind w:firstLineChars="1506" w:firstLine="4819"/>
        <w:jc w:val="center"/>
        <w:rPr>
          <w:color w:val="000000"/>
        </w:rPr>
      </w:pPr>
      <w:r>
        <w:rPr>
          <w:rFonts w:hint="eastAsia"/>
          <w:color w:val="000000"/>
        </w:rPr>
        <w:t>2</w:t>
      </w:r>
      <w:r>
        <w:rPr>
          <w:color w:val="000000"/>
        </w:rPr>
        <w:t>025</w:t>
      </w:r>
      <w:r>
        <w:rPr>
          <w:rFonts w:hint="eastAsia"/>
          <w:color w:val="000000"/>
        </w:rPr>
        <w:t>年</w:t>
      </w:r>
      <w:r w:rsidR="00C75061">
        <w:rPr>
          <w:color w:val="000000"/>
        </w:rPr>
        <w:t>6</w:t>
      </w:r>
      <w:r>
        <w:rPr>
          <w:rFonts w:hint="eastAsia"/>
          <w:color w:val="000000"/>
        </w:rPr>
        <w:t>月</w:t>
      </w:r>
    </w:p>
    <w:sectPr w:rsidR="0046132D">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0D359" w14:textId="77777777" w:rsidR="00C60306" w:rsidRDefault="00C60306">
      <w:pPr>
        <w:spacing w:line="240" w:lineRule="auto"/>
        <w:ind w:firstLine="640"/>
      </w:pPr>
      <w:r>
        <w:separator/>
      </w:r>
    </w:p>
  </w:endnote>
  <w:endnote w:type="continuationSeparator" w:id="0">
    <w:p w14:paraId="62119324" w14:textId="77777777" w:rsidR="00C60306" w:rsidRDefault="00C6030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A00002BF" w:usb1="38CF7CFA" w:usb2="00082016" w:usb3="00000000" w:csb0="00040001" w:csb1="00000000"/>
  </w:font>
  <w:font w:name="方正黑体_GBK">
    <w:panose1 w:val="03000509000000000000"/>
    <w:charset w:val="86"/>
    <w:family w:val="script"/>
    <w:pitch w:val="fixed"/>
    <w:sig w:usb0="A00002BF" w:usb1="38CF7CFA" w:usb2="00082016" w:usb3="00000000" w:csb0="00040001" w:csb1="00000000"/>
  </w:font>
  <w:font w:name="方正楷体_GBK">
    <w:panose1 w:val="03000509000000000000"/>
    <w:charset w:val="86"/>
    <w:family w:val="script"/>
    <w:pitch w:val="fixed"/>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1150" w14:textId="77777777" w:rsidR="0046132D" w:rsidRDefault="00FC31C6">
    <w:pPr>
      <w:pStyle w:val="a5"/>
      <w:ind w:firstLineChars="0" w:firstLine="0"/>
      <w:rPr>
        <w:rStyle w:val="ac"/>
        <w:rFonts w:ascii="宋体" w:hAnsi="宋体"/>
        <w:sz w:val="28"/>
        <w:szCs w:val="28"/>
      </w:rPr>
    </w:pP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Style w:val="ac"/>
        <w:rFonts w:ascii="宋体" w:hAnsi="宋体" w:hint="eastAsia"/>
        <w:sz w:val="28"/>
        <w:szCs w:val="28"/>
      </w:rPr>
      <w:t xml:space="preserve"> —</w:t>
    </w:r>
  </w:p>
  <w:p w14:paraId="4A60F19E" w14:textId="77777777" w:rsidR="0046132D" w:rsidRDefault="0046132D">
    <w:pPr>
      <w:pStyle w:val="a5"/>
      <w:ind w:firstLine="560"/>
      <w:jc w:val="right"/>
      <w:rPr>
        <w:rFonts w:ascii="宋体" w:eastAsia="宋体" w:hAnsi="宋体"/>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3AED" w14:textId="77777777" w:rsidR="0046132D" w:rsidRDefault="00FC31C6">
    <w:pPr>
      <w:pStyle w:val="a5"/>
      <w:ind w:firstLine="560"/>
      <w:jc w:val="right"/>
      <w:rPr>
        <w:rStyle w:val="ac"/>
        <w:rFonts w:ascii="宋体" w:hAnsi="宋体"/>
        <w:sz w:val="28"/>
        <w:szCs w:val="28"/>
      </w:rPr>
    </w:pP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Style w:val="ac"/>
        <w:rFonts w:ascii="宋体" w:hAnsi="宋体" w:hint="eastAsia"/>
        <w:sz w:val="28"/>
        <w:szCs w:val="28"/>
      </w:rPr>
      <w:t xml:space="preserve"> </w:t>
    </w:r>
    <w:r>
      <w:rPr>
        <w:rStyle w:val="ac"/>
        <w:rFonts w:ascii="宋体" w:hAnsi="宋体" w:hint="eastAsia"/>
        <w:sz w:val="28"/>
        <w:szCs w:val="28"/>
      </w:rPr>
      <w:t>—</w:t>
    </w:r>
  </w:p>
  <w:p w14:paraId="7BC755A2" w14:textId="77777777" w:rsidR="0046132D" w:rsidRDefault="0046132D">
    <w:pPr>
      <w:pStyle w:val="a5"/>
      <w:ind w:firstLine="560"/>
      <w:jc w:val="right"/>
      <w:rPr>
        <w:rFonts w:ascii="宋体" w:eastAsia="宋体" w:hAnsi="宋体"/>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6102" w14:textId="77777777" w:rsidR="0046132D" w:rsidRDefault="0046132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C30D6" w14:textId="77777777" w:rsidR="00C60306" w:rsidRDefault="00C60306">
      <w:pPr>
        <w:spacing w:line="240" w:lineRule="auto"/>
        <w:ind w:firstLine="640"/>
      </w:pPr>
      <w:r>
        <w:separator/>
      </w:r>
    </w:p>
  </w:footnote>
  <w:footnote w:type="continuationSeparator" w:id="0">
    <w:p w14:paraId="7D602EB8" w14:textId="77777777" w:rsidR="00C60306" w:rsidRDefault="00C60306">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0B32" w14:textId="77777777" w:rsidR="0046132D" w:rsidRDefault="0046132D">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AD4" w14:textId="77777777" w:rsidR="0046132D" w:rsidRDefault="0046132D">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70C3" w14:textId="77777777" w:rsidR="0046132D" w:rsidRDefault="0046132D">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22D2E"/>
    <w:multiLevelType w:val="multilevel"/>
    <w:tmpl w:val="CD3A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A24" w:allStyles="0" w:customStyles="0" w:latentStyles="1" w:stylesInUse="0" w:headingStyles="1" w:numberingStyles="0" w:tableStyles="0" w:directFormattingOnRuns="0" w:directFormattingOnParagraphs="1" w:directFormattingOnNumbering="0" w:directFormattingOnTables="1" w:clearFormatting="1" w:top3HeadingStyles="1" w:visibleStyles="0" w:alternateStyleNames="0"/>
  <w:doNotTrackMoves/>
  <w:documentProtection w:edit="readOnly" w:enforcement="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FkNDdjZjAzNDhmZDU2ODU0OTRjZjJmZWQzYzNkN2IifQ=="/>
    <w:docVar w:name="DocumentID" w:val="{FE120B54-0B0C-4887-BAC6-F4A72B711DFC}"/>
    <w:docVar w:name="DocumentName" w:val="便签通知"/>
  </w:docVars>
  <w:rsids>
    <w:rsidRoot w:val="00ED6E15"/>
    <w:rsid w:val="00005862"/>
    <w:rsid w:val="0000753E"/>
    <w:rsid w:val="00007BAE"/>
    <w:rsid w:val="00014E5F"/>
    <w:rsid w:val="00023323"/>
    <w:rsid w:val="00025A7F"/>
    <w:rsid w:val="0003634B"/>
    <w:rsid w:val="00047355"/>
    <w:rsid w:val="00061041"/>
    <w:rsid w:val="00071B19"/>
    <w:rsid w:val="00071B7A"/>
    <w:rsid w:val="000727EA"/>
    <w:rsid w:val="000A687E"/>
    <w:rsid w:val="000B00BE"/>
    <w:rsid w:val="000D6ACE"/>
    <w:rsid w:val="000E42B5"/>
    <w:rsid w:val="000F0DDF"/>
    <w:rsid w:val="000F1B5B"/>
    <w:rsid w:val="000F4D16"/>
    <w:rsid w:val="00116CBA"/>
    <w:rsid w:val="00124563"/>
    <w:rsid w:val="001250F3"/>
    <w:rsid w:val="00140C18"/>
    <w:rsid w:val="001437A5"/>
    <w:rsid w:val="00145999"/>
    <w:rsid w:val="00166062"/>
    <w:rsid w:val="0018099E"/>
    <w:rsid w:val="00180E28"/>
    <w:rsid w:val="00181920"/>
    <w:rsid w:val="001861DF"/>
    <w:rsid w:val="00196C0E"/>
    <w:rsid w:val="001A1B47"/>
    <w:rsid w:val="001C1C06"/>
    <w:rsid w:val="001D7B23"/>
    <w:rsid w:val="001F17B3"/>
    <w:rsid w:val="001F60C5"/>
    <w:rsid w:val="00202F52"/>
    <w:rsid w:val="002057B6"/>
    <w:rsid w:val="00207348"/>
    <w:rsid w:val="0022051B"/>
    <w:rsid w:val="0022209F"/>
    <w:rsid w:val="0023766C"/>
    <w:rsid w:val="00254E52"/>
    <w:rsid w:val="00264E70"/>
    <w:rsid w:val="00284712"/>
    <w:rsid w:val="002854F8"/>
    <w:rsid w:val="002859F4"/>
    <w:rsid w:val="00294E99"/>
    <w:rsid w:val="002C64EC"/>
    <w:rsid w:val="002D4E5E"/>
    <w:rsid w:val="002D703A"/>
    <w:rsid w:val="002F4C53"/>
    <w:rsid w:val="002F53F6"/>
    <w:rsid w:val="002F65F7"/>
    <w:rsid w:val="00301C49"/>
    <w:rsid w:val="00333E39"/>
    <w:rsid w:val="00334086"/>
    <w:rsid w:val="003448B8"/>
    <w:rsid w:val="00346C18"/>
    <w:rsid w:val="00357141"/>
    <w:rsid w:val="00361D53"/>
    <w:rsid w:val="003621C1"/>
    <w:rsid w:val="00372868"/>
    <w:rsid w:val="00381367"/>
    <w:rsid w:val="00386487"/>
    <w:rsid w:val="00387121"/>
    <w:rsid w:val="00397A4E"/>
    <w:rsid w:val="003A0CAA"/>
    <w:rsid w:val="003A413A"/>
    <w:rsid w:val="003A6FA1"/>
    <w:rsid w:val="003B6B53"/>
    <w:rsid w:val="003B7B71"/>
    <w:rsid w:val="003C16B9"/>
    <w:rsid w:val="003D7D6B"/>
    <w:rsid w:val="003F097D"/>
    <w:rsid w:val="003F750B"/>
    <w:rsid w:val="003F7E5B"/>
    <w:rsid w:val="004038F1"/>
    <w:rsid w:val="004070AC"/>
    <w:rsid w:val="0041167D"/>
    <w:rsid w:val="00411776"/>
    <w:rsid w:val="00420155"/>
    <w:rsid w:val="004255ED"/>
    <w:rsid w:val="004259BC"/>
    <w:rsid w:val="00440BC7"/>
    <w:rsid w:val="00440E63"/>
    <w:rsid w:val="0046132D"/>
    <w:rsid w:val="004618E9"/>
    <w:rsid w:val="004716CA"/>
    <w:rsid w:val="004717DC"/>
    <w:rsid w:val="004840D8"/>
    <w:rsid w:val="00493C2F"/>
    <w:rsid w:val="00494B41"/>
    <w:rsid w:val="0049569A"/>
    <w:rsid w:val="00497C5B"/>
    <w:rsid w:val="004A48E4"/>
    <w:rsid w:val="004B08A8"/>
    <w:rsid w:val="004B218B"/>
    <w:rsid w:val="004B4476"/>
    <w:rsid w:val="004B4A92"/>
    <w:rsid w:val="004D7945"/>
    <w:rsid w:val="004F2139"/>
    <w:rsid w:val="00505CFE"/>
    <w:rsid w:val="0051798D"/>
    <w:rsid w:val="00530BFA"/>
    <w:rsid w:val="00533FB1"/>
    <w:rsid w:val="00544878"/>
    <w:rsid w:val="00553100"/>
    <w:rsid w:val="00563405"/>
    <w:rsid w:val="005648CA"/>
    <w:rsid w:val="00566659"/>
    <w:rsid w:val="00567106"/>
    <w:rsid w:val="00581E3E"/>
    <w:rsid w:val="00591C53"/>
    <w:rsid w:val="005A0827"/>
    <w:rsid w:val="005A1F8B"/>
    <w:rsid w:val="005A7724"/>
    <w:rsid w:val="005A7BF6"/>
    <w:rsid w:val="005C391D"/>
    <w:rsid w:val="005F0948"/>
    <w:rsid w:val="005F4F9C"/>
    <w:rsid w:val="005F7EED"/>
    <w:rsid w:val="00613A97"/>
    <w:rsid w:val="006213B2"/>
    <w:rsid w:val="006266ED"/>
    <w:rsid w:val="00632356"/>
    <w:rsid w:val="00634F09"/>
    <w:rsid w:val="0063677A"/>
    <w:rsid w:val="006556AB"/>
    <w:rsid w:val="00660FAE"/>
    <w:rsid w:val="00675BD0"/>
    <w:rsid w:val="006904C4"/>
    <w:rsid w:val="00690C9F"/>
    <w:rsid w:val="006A229A"/>
    <w:rsid w:val="006A2ADA"/>
    <w:rsid w:val="006A61EB"/>
    <w:rsid w:val="006C5839"/>
    <w:rsid w:val="006E72F5"/>
    <w:rsid w:val="00704DE1"/>
    <w:rsid w:val="0070674F"/>
    <w:rsid w:val="007100DD"/>
    <w:rsid w:val="0073029E"/>
    <w:rsid w:val="0073286E"/>
    <w:rsid w:val="00745DFC"/>
    <w:rsid w:val="0075246C"/>
    <w:rsid w:val="00752499"/>
    <w:rsid w:val="00765F31"/>
    <w:rsid w:val="00793140"/>
    <w:rsid w:val="00793471"/>
    <w:rsid w:val="00797599"/>
    <w:rsid w:val="007A4B0F"/>
    <w:rsid w:val="007A4D0D"/>
    <w:rsid w:val="007B1706"/>
    <w:rsid w:val="007B3AE5"/>
    <w:rsid w:val="007C53B4"/>
    <w:rsid w:val="007C5C58"/>
    <w:rsid w:val="007C5D75"/>
    <w:rsid w:val="007D33C3"/>
    <w:rsid w:val="007E648F"/>
    <w:rsid w:val="00803C5A"/>
    <w:rsid w:val="00835A22"/>
    <w:rsid w:val="00843B91"/>
    <w:rsid w:val="00850291"/>
    <w:rsid w:val="00850DA7"/>
    <w:rsid w:val="0085439E"/>
    <w:rsid w:val="0085636C"/>
    <w:rsid w:val="008708E1"/>
    <w:rsid w:val="008720C6"/>
    <w:rsid w:val="0088152F"/>
    <w:rsid w:val="00882349"/>
    <w:rsid w:val="00884BFA"/>
    <w:rsid w:val="00897624"/>
    <w:rsid w:val="008A1848"/>
    <w:rsid w:val="008A2553"/>
    <w:rsid w:val="008B79D1"/>
    <w:rsid w:val="008F3EAA"/>
    <w:rsid w:val="00905A12"/>
    <w:rsid w:val="0090662D"/>
    <w:rsid w:val="00917A45"/>
    <w:rsid w:val="0094338F"/>
    <w:rsid w:val="009517BE"/>
    <w:rsid w:val="00965EC6"/>
    <w:rsid w:val="009672C7"/>
    <w:rsid w:val="009736DE"/>
    <w:rsid w:val="00980DB6"/>
    <w:rsid w:val="009814E4"/>
    <w:rsid w:val="00981985"/>
    <w:rsid w:val="00981A84"/>
    <w:rsid w:val="00982164"/>
    <w:rsid w:val="00991D11"/>
    <w:rsid w:val="009933EF"/>
    <w:rsid w:val="009958DD"/>
    <w:rsid w:val="00996801"/>
    <w:rsid w:val="009B272F"/>
    <w:rsid w:val="009B3930"/>
    <w:rsid w:val="009E149E"/>
    <w:rsid w:val="009E504F"/>
    <w:rsid w:val="009E6C40"/>
    <w:rsid w:val="00A05ACF"/>
    <w:rsid w:val="00A148C5"/>
    <w:rsid w:val="00A24D7F"/>
    <w:rsid w:val="00A3006E"/>
    <w:rsid w:val="00A3283D"/>
    <w:rsid w:val="00A34B1F"/>
    <w:rsid w:val="00A45C73"/>
    <w:rsid w:val="00A54902"/>
    <w:rsid w:val="00A55001"/>
    <w:rsid w:val="00A607EB"/>
    <w:rsid w:val="00A67CBA"/>
    <w:rsid w:val="00AE1592"/>
    <w:rsid w:val="00AE6DA7"/>
    <w:rsid w:val="00B11FE7"/>
    <w:rsid w:val="00B14806"/>
    <w:rsid w:val="00B278ED"/>
    <w:rsid w:val="00B27C9A"/>
    <w:rsid w:val="00B404A8"/>
    <w:rsid w:val="00B60149"/>
    <w:rsid w:val="00B74EEA"/>
    <w:rsid w:val="00B814BC"/>
    <w:rsid w:val="00B845ED"/>
    <w:rsid w:val="00B87CE4"/>
    <w:rsid w:val="00B918CA"/>
    <w:rsid w:val="00B97840"/>
    <w:rsid w:val="00B97E58"/>
    <w:rsid w:val="00BA0E94"/>
    <w:rsid w:val="00BA572C"/>
    <w:rsid w:val="00BB0848"/>
    <w:rsid w:val="00BB7B70"/>
    <w:rsid w:val="00BC1149"/>
    <w:rsid w:val="00BC4BBC"/>
    <w:rsid w:val="00BF6E25"/>
    <w:rsid w:val="00BF71A6"/>
    <w:rsid w:val="00BF7ACE"/>
    <w:rsid w:val="00C04B18"/>
    <w:rsid w:val="00C17724"/>
    <w:rsid w:val="00C21521"/>
    <w:rsid w:val="00C23E79"/>
    <w:rsid w:val="00C30AEE"/>
    <w:rsid w:val="00C34EAA"/>
    <w:rsid w:val="00C35E0C"/>
    <w:rsid w:val="00C414A3"/>
    <w:rsid w:val="00C41978"/>
    <w:rsid w:val="00C531AC"/>
    <w:rsid w:val="00C57948"/>
    <w:rsid w:val="00C60306"/>
    <w:rsid w:val="00C606AC"/>
    <w:rsid w:val="00C61052"/>
    <w:rsid w:val="00C655AE"/>
    <w:rsid w:val="00C70BC6"/>
    <w:rsid w:val="00C716F4"/>
    <w:rsid w:val="00C75061"/>
    <w:rsid w:val="00C93206"/>
    <w:rsid w:val="00C93ED5"/>
    <w:rsid w:val="00CA2AC9"/>
    <w:rsid w:val="00CA6783"/>
    <w:rsid w:val="00CB75C1"/>
    <w:rsid w:val="00CD6A5E"/>
    <w:rsid w:val="00D05DD8"/>
    <w:rsid w:val="00D15660"/>
    <w:rsid w:val="00D20D72"/>
    <w:rsid w:val="00D21179"/>
    <w:rsid w:val="00D353BB"/>
    <w:rsid w:val="00D37251"/>
    <w:rsid w:val="00D55D31"/>
    <w:rsid w:val="00D64AA9"/>
    <w:rsid w:val="00D66CEE"/>
    <w:rsid w:val="00D70AD1"/>
    <w:rsid w:val="00D80D3F"/>
    <w:rsid w:val="00D8759F"/>
    <w:rsid w:val="00D90A74"/>
    <w:rsid w:val="00DA2C8C"/>
    <w:rsid w:val="00DA4C37"/>
    <w:rsid w:val="00DA7D68"/>
    <w:rsid w:val="00DB1731"/>
    <w:rsid w:val="00DB6AA8"/>
    <w:rsid w:val="00DC38E8"/>
    <w:rsid w:val="00DC4419"/>
    <w:rsid w:val="00DC78C7"/>
    <w:rsid w:val="00DC7A76"/>
    <w:rsid w:val="00DD12EC"/>
    <w:rsid w:val="00DD1C72"/>
    <w:rsid w:val="00DD58BD"/>
    <w:rsid w:val="00DF47E8"/>
    <w:rsid w:val="00E02E8D"/>
    <w:rsid w:val="00E02E95"/>
    <w:rsid w:val="00E06C27"/>
    <w:rsid w:val="00E12D48"/>
    <w:rsid w:val="00E23756"/>
    <w:rsid w:val="00E35512"/>
    <w:rsid w:val="00E36CFA"/>
    <w:rsid w:val="00E50724"/>
    <w:rsid w:val="00E535DA"/>
    <w:rsid w:val="00E54EFD"/>
    <w:rsid w:val="00E65EC0"/>
    <w:rsid w:val="00E67929"/>
    <w:rsid w:val="00E70F96"/>
    <w:rsid w:val="00E81169"/>
    <w:rsid w:val="00E95BEB"/>
    <w:rsid w:val="00EA632D"/>
    <w:rsid w:val="00EC0471"/>
    <w:rsid w:val="00EC3ADC"/>
    <w:rsid w:val="00ED6E15"/>
    <w:rsid w:val="00ED7797"/>
    <w:rsid w:val="00F0737D"/>
    <w:rsid w:val="00F25339"/>
    <w:rsid w:val="00F301A7"/>
    <w:rsid w:val="00F33391"/>
    <w:rsid w:val="00F40FE0"/>
    <w:rsid w:val="00F4371B"/>
    <w:rsid w:val="00F55214"/>
    <w:rsid w:val="00F61B42"/>
    <w:rsid w:val="00F77B0D"/>
    <w:rsid w:val="00F86536"/>
    <w:rsid w:val="00F977AA"/>
    <w:rsid w:val="00FA0722"/>
    <w:rsid w:val="00FA5A76"/>
    <w:rsid w:val="00FA6F16"/>
    <w:rsid w:val="00FB20E9"/>
    <w:rsid w:val="00FC31C6"/>
    <w:rsid w:val="00FC347E"/>
    <w:rsid w:val="00FC64E2"/>
    <w:rsid w:val="00FC6E91"/>
    <w:rsid w:val="00FE5066"/>
    <w:rsid w:val="00FF01AA"/>
    <w:rsid w:val="00FF4761"/>
    <w:rsid w:val="011026E9"/>
    <w:rsid w:val="033A4D0B"/>
    <w:rsid w:val="043120A7"/>
    <w:rsid w:val="04890E99"/>
    <w:rsid w:val="05BA5C37"/>
    <w:rsid w:val="06571146"/>
    <w:rsid w:val="06E82146"/>
    <w:rsid w:val="07BA0F35"/>
    <w:rsid w:val="089259BF"/>
    <w:rsid w:val="092D5D74"/>
    <w:rsid w:val="0AC41DE4"/>
    <w:rsid w:val="0BC66E0D"/>
    <w:rsid w:val="0CAE611F"/>
    <w:rsid w:val="0D806D8B"/>
    <w:rsid w:val="0DBF5A08"/>
    <w:rsid w:val="0ECE26CF"/>
    <w:rsid w:val="103720EB"/>
    <w:rsid w:val="11EE2305"/>
    <w:rsid w:val="147679DA"/>
    <w:rsid w:val="15122FF9"/>
    <w:rsid w:val="155F45CB"/>
    <w:rsid w:val="15673417"/>
    <w:rsid w:val="161357FB"/>
    <w:rsid w:val="16191C90"/>
    <w:rsid w:val="16440894"/>
    <w:rsid w:val="170A1688"/>
    <w:rsid w:val="183066A6"/>
    <w:rsid w:val="1C09740B"/>
    <w:rsid w:val="1D3A7FB3"/>
    <w:rsid w:val="1D9B4285"/>
    <w:rsid w:val="1DBD34EE"/>
    <w:rsid w:val="1ED5070A"/>
    <w:rsid w:val="20AF30F5"/>
    <w:rsid w:val="20E565A1"/>
    <w:rsid w:val="212A60A7"/>
    <w:rsid w:val="219E5E2D"/>
    <w:rsid w:val="21AB08EF"/>
    <w:rsid w:val="21E94BC1"/>
    <w:rsid w:val="23273B0F"/>
    <w:rsid w:val="234F4FBB"/>
    <w:rsid w:val="24631FF3"/>
    <w:rsid w:val="266562B0"/>
    <w:rsid w:val="26FE55D9"/>
    <w:rsid w:val="27191BC0"/>
    <w:rsid w:val="27BB5566"/>
    <w:rsid w:val="28674C51"/>
    <w:rsid w:val="2BE63A10"/>
    <w:rsid w:val="2BF5074B"/>
    <w:rsid w:val="2BF610F9"/>
    <w:rsid w:val="2C4B219E"/>
    <w:rsid w:val="2D331474"/>
    <w:rsid w:val="2DBF6CE5"/>
    <w:rsid w:val="2E355EF7"/>
    <w:rsid w:val="31A5298F"/>
    <w:rsid w:val="31D97487"/>
    <w:rsid w:val="32486FA3"/>
    <w:rsid w:val="32CE0E17"/>
    <w:rsid w:val="34284406"/>
    <w:rsid w:val="36E86621"/>
    <w:rsid w:val="37250C31"/>
    <w:rsid w:val="3D264CFC"/>
    <w:rsid w:val="3E0A0242"/>
    <w:rsid w:val="3EC910AD"/>
    <w:rsid w:val="3F0B6A9C"/>
    <w:rsid w:val="42605BD6"/>
    <w:rsid w:val="42AC5D82"/>
    <w:rsid w:val="431D2C3B"/>
    <w:rsid w:val="4619478F"/>
    <w:rsid w:val="46CA75C8"/>
    <w:rsid w:val="4780661E"/>
    <w:rsid w:val="47C1304A"/>
    <w:rsid w:val="4AEA2BA8"/>
    <w:rsid w:val="4C030FD5"/>
    <w:rsid w:val="4D743149"/>
    <w:rsid w:val="4E821651"/>
    <w:rsid w:val="50B75458"/>
    <w:rsid w:val="522E2F08"/>
    <w:rsid w:val="531D6801"/>
    <w:rsid w:val="535051B0"/>
    <w:rsid w:val="536C20AF"/>
    <w:rsid w:val="567F4EB2"/>
    <w:rsid w:val="56D6691E"/>
    <w:rsid w:val="571C6AF0"/>
    <w:rsid w:val="579107D6"/>
    <w:rsid w:val="57F256AB"/>
    <w:rsid w:val="58A7597D"/>
    <w:rsid w:val="59A1424C"/>
    <w:rsid w:val="59C85671"/>
    <w:rsid w:val="5A9F0072"/>
    <w:rsid w:val="5C143147"/>
    <w:rsid w:val="5C5137CF"/>
    <w:rsid w:val="5D89752F"/>
    <w:rsid w:val="5EF419DC"/>
    <w:rsid w:val="5FFE7049"/>
    <w:rsid w:val="605526E1"/>
    <w:rsid w:val="60E07CDD"/>
    <w:rsid w:val="611431C2"/>
    <w:rsid w:val="61FE3EE6"/>
    <w:rsid w:val="62BB0856"/>
    <w:rsid w:val="62FB3444"/>
    <w:rsid w:val="63F928BA"/>
    <w:rsid w:val="63FB7F7F"/>
    <w:rsid w:val="64171DE5"/>
    <w:rsid w:val="64972604"/>
    <w:rsid w:val="67AA7A2E"/>
    <w:rsid w:val="699B31C9"/>
    <w:rsid w:val="6BE7451D"/>
    <w:rsid w:val="6BF0176A"/>
    <w:rsid w:val="6E310F03"/>
    <w:rsid w:val="6EA52D5C"/>
    <w:rsid w:val="70122D29"/>
    <w:rsid w:val="705D5304"/>
    <w:rsid w:val="716D0256"/>
    <w:rsid w:val="72C9384B"/>
    <w:rsid w:val="735F7F9C"/>
    <w:rsid w:val="76E14207"/>
    <w:rsid w:val="7736243E"/>
    <w:rsid w:val="796C77C4"/>
    <w:rsid w:val="798351C5"/>
    <w:rsid w:val="7B0F7B79"/>
    <w:rsid w:val="7B41167E"/>
    <w:rsid w:val="7B9B6BD0"/>
    <w:rsid w:val="7D83249F"/>
    <w:rsid w:val="7DF72422"/>
    <w:rsid w:val="7E661BB2"/>
    <w:rsid w:val="7EA72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057A1"/>
  <w15:docId w15:val="{744C2E6A-477F-4712-8131-1D07DEE5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5" w:uiPriority="39" w:unhideWhenUsed="1"/>
    <w:lsdException w:name="header" w:qFormat="1"/>
    <w:lsdException w:name="caption" w:semiHidden="1" w:unhideWhenUsed="1" w:qFormat="1"/>
    <w:lsdException w:name="Title" w:uiPriority="10" w:qFormat="1"/>
    <w:lsdException w:name="Default Paragraph Font" w:semiHidden="1" w:uiPriority="1" w:unhideWhenUsed="1"/>
    <w:lsdException w:name="Body Text Indent" w:qFormat="1"/>
    <w:lsdException w:name="Strong" w:uiPriority="22"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579" w:lineRule="exact"/>
      <w:ind w:firstLineChars="200" w:firstLine="200"/>
    </w:pPr>
    <w:rPr>
      <w:rFonts w:ascii="Times New Roman" w:eastAsia="方正仿宋_GBK" w:hAnsi="Times New Roman"/>
      <w:kern w:val="2"/>
      <w:sz w:val="32"/>
      <w:szCs w:val="32"/>
    </w:rPr>
  </w:style>
  <w:style w:type="paragraph" w:styleId="1">
    <w:name w:val="heading 1"/>
    <w:basedOn w:val="a"/>
    <w:next w:val="a"/>
    <w:link w:val="10"/>
    <w:uiPriority w:val="9"/>
    <w:qFormat/>
    <w:pPr>
      <w:keepNext/>
      <w:keepLines/>
      <w:spacing w:line="760" w:lineRule="exact"/>
      <w:ind w:firstLineChars="0" w:firstLine="0"/>
      <w:jc w:val="center"/>
      <w:outlineLvl w:val="0"/>
    </w:pPr>
    <w:rPr>
      <w:rFonts w:eastAsia="方正小标宋_GBK"/>
      <w:bCs/>
      <w:kern w:val="44"/>
      <w:sz w:val="44"/>
      <w:szCs w:val="44"/>
    </w:rPr>
  </w:style>
  <w:style w:type="paragraph" w:styleId="2">
    <w:name w:val="heading 2"/>
    <w:basedOn w:val="a"/>
    <w:next w:val="a"/>
    <w:link w:val="20"/>
    <w:uiPriority w:val="9"/>
    <w:unhideWhenUsed/>
    <w:qFormat/>
    <w:pPr>
      <w:keepNext/>
      <w:keepLines/>
      <w:outlineLvl w:val="1"/>
    </w:pPr>
    <w:rPr>
      <w:rFonts w:eastAsia="方正黑体_GBK"/>
      <w:bCs/>
    </w:rPr>
  </w:style>
  <w:style w:type="paragraph" w:styleId="3">
    <w:name w:val="heading 3"/>
    <w:basedOn w:val="a"/>
    <w:next w:val="a"/>
    <w:link w:val="30"/>
    <w:uiPriority w:val="9"/>
    <w:unhideWhenUsed/>
    <w:qFormat/>
    <w:pPr>
      <w:keepNext/>
      <w:keepLines/>
      <w:outlineLvl w:val="2"/>
    </w:pPr>
    <w:rPr>
      <w:rFonts w:eastAsia="方正楷体_GBK"/>
      <w:bCs/>
    </w:rPr>
  </w:style>
  <w:style w:type="paragraph" w:styleId="4">
    <w:name w:val="heading 4"/>
    <w:basedOn w:val="a"/>
    <w:next w:val="a"/>
    <w:link w:val="40"/>
    <w:unhideWhenUsed/>
    <w:qFormat/>
    <w:pPr>
      <w:keepNext/>
      <w:keepLines/>
      <w:spacing w:before="280" w:after="290" w:line="376" w:lineRule="atLeast"/>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after="120"/>
      <w:ind w:leftChars="200" w:left="420"/>
    </w:pPr>
  </w:style>
  <w:style w:type="paragraph" w:styleId="a5">
    <w:name w:val="footer"/>
    <w:basedOn w:val="a"/>
    <w:link w:val="a6"/>
    <w:pPr>
      <w:tabs>
        <w:tab w:val="center" w:pos="4153"/>
        <w:tab w:val="right" w:pos="8306"/>
      </w:tabs>
      <w:snapToGrid w:val="0"/>
      <w:spacing w:line="240" w:lineRule="atLeast"/>
    </w:pPr>
    <w:rPr>
      <w:sz w:val="18"/>
      <w:szCs w:val="18"/>
    </w:rPr>
  </w:style>
  <w:style w:type="paragraph" w:styleId="a7">
    <w:name w:val="header"/>
    <w:basedOn w:val="a"/>
    <w:link w:val="a8"/>
    <w:qFormat/>
    <w:pPr>
      <w:tabs>
        <w:tab w:val="center" w:pos="4153"/>
        <w:tab w:val="right" w:pos="8306"/>
      </w:tabs>
      <w:snapToGrid w:val="0"/>
      <w:spacing w:line="240" w:lineRule="atLeast"/>
      <w:jc w:val="center"/>
    </w:pPr>
    <w:rPr>
      <w:sz w:val="18"/>
      <w:szCs w:val="18"/>
    </w:rPr>
  </w:style>
  <w:style w:type="paragraph" w:styleId="TOC1">
    <w:name w:val="toc 1"/>
    <w:basedOn w:val="a"/>
    <w:next w:val="a"/>
    <w:autoRedefine/>
    <w:uiPriority w:val="1"/>
    <w:qFormat/>
  </w:style>
  <w:style w:type="paragraph" w:styleId="a9">
    <w:name w:val="Title"/>
    <w:basedOn w:val="a"/>
    <w:next w:val="a"/>
    <w:link w:val="aa"/>
    <w:autoRedefine/>
    <w:uiPriority w:val="10"/>
    <w:qFormat/>
    <w:rPr>
      <w:b/>
    </w:rPr>
  </w:style>
  <w:style w:type="paragraph" w:styleId="21">
    <w:name w:val="Body Text First Indent 2"/>
    <w:basedOn w:val="a3"/>
    <w:link w:val="22"/>
    <w:pPr>
      <w:ind w:firstLine="420"/>
    </w:pPr>
  </w:style>
  <w:style w:type="character" w:styleId="ab">
    <w:name w:val="Strong"/>
    <w:basedOn w:val="a0"/>
    <w:uiPriority w:val="22"/>
    <w:qFormat/>
    <w:rPr>
      <w:b/>
      <w:bCs/>
    </w:rPr>
  </w:style>
  <w:style w:type="character" w:styleId="ac">
    <w:name w:val="page number"/>
    <w:rPr>
      <w:rFonts w:ascii="Times New Roman" w:eastAsia="宋体" w:hAnsi="Times New Roman" w:cs="Times New Roman"/>
    </w:rPr>
  </w:style>
  <w:style w:type="character" w:customStyle="1" w:styleId="10">
    <w:name w:val="标题 1 字符"/>
    <w:link w:val="1"/>
    <w:uiPriority w:val="9"/>
    <w:rPr>
      <w:rFonts w:ascii="Times New Roman" w:eastAsia="方正小标宋_GBK" w:hAnsi="Times New Roman"/>
      <w:bCs/>
      <w:kern w:val="44"/>
      <w:sz w:val="44"/>
      <w:szCs w:val="44"/>
    </w:rPr>
  </w:style>
  <w:style w:type="character" w:customStyle="1" w:styleId="20">
    <w:name w:val="标题 2 字符"/>
    <w:link w:val="2"/>
    <w:uiPriority w:val="9"/>
    <w:qFormat/>
    <w:rPr>
      <w:rFonts w:ascii="Times New Roman" w:eastAsia="方正黑体_GBK" w:hAnsi="Times New Roman"/>
      <w:bCs/>
      <w:kern w:val="2"/>
      <w:sz w:val="32"/>
      <w:szCs w:val="32"/>
    </w:rPr>
  </w:style>
  <w:style w:type="character" w:customStyle="1" w:styleId="30">
    <w:name w:val="标题 3 字符"/>
    <w:link w:val="3"/>
    <w:uiPriority w:val="9"/>
    <w:qFormat/>
    <w:rPr>
      <w:rFonts w:ascii="Times New Roman" w:eastAsia="方正楷体_GBK" w:hAnsi="Times New Roman"/>
      <w:bCs/>
      <w:kern w:val="2"/>
      <w:sz w:val="32"/>
      <w:szCs w:val="32"/>
    </w:rPr>
  </w:style>
  <w:style w:type="character" w:customStyle="1" w:styleId="40">
    <w:name w:val="标题 4 字符"/>
    <w:link w:val="4"/>
    <w:qFormat/>
    <w:rPr>
      <w:rFonts w:ascii="等线 Light" w:eastAsia="等线 Light" w:hAnsi="等线 Light" w:cs="Times New Roman"/>
      <w:b/>
      <w:bCs/>
      <w:kern w:val="2"/>
      <w:sz w:val="28"/>
      <w:szCs w:val="28"/>
    </w:rPr>
  </w:style>
  <w:style w:type="character" w:customStyle="1" w:styleId="a8">
    <w:name w:val="页眉 字符"/>
    <w:link w:val="a7"/>
    <w:qFormat/>
    <w:rPr>
      <w:rFonts w:ascii="Times New Roman" w:eastAsia="方正仿宋_GBK" w:hAnsi="Times New Roman"/>
      <w:kern w:val="2"/>
      <w:sz w:val="18"/>
      <w:szCs w:val="18"/>
    </w:rPr>
  </w:style>
  <w:style w:type="character" w:customStyle="1" w:styleId="a6">
    <w:name w:val="页脚 字符"/>
    <w:link w:val="a5"/>
    <w:uiPriority w:val="99"/>
    <w:qFormat/>
    <w:rPr>
      <w:rFonts w:ascii="Times New Roman" w:eastAsia="方正仿宋_GBK" w:hAnsi="Times New Roman"/>
      <w:kern w:val="2"/>
      <w:sz w:val="18"/>
      <w:szCs w:val="18"/>
    </w:rPr>
  </w:style>
  <w:style w:type="character" w:customStyle="1" w:styleId="a4">
    <w:name w:val="正文文本缩进 字符"/>
    <w:link w:val="a3"/>
    <w:qFormat/>
    <w:rPr>
      <w:rFonts w:ascii="Times New Roman" w:eastAsia="方正仿宋_GBK" w:hAnsi="Times New Roman"/>
      <w:kern w:val="2"/>
      <w:sz w:val="32"/>
      <w:szCs w:val="32"/>
    </w:rPr>
  </w:style>
  <w:style w:type="character" w:customStyle="1" w:styleId="22">
    <w:name w:val="正文文本首行缩进 2 字符"/>
    <w:link w:val="21"/>
    <w:qFormat/>
    <w:rPr>
      <w:rFonts w:ascii="Times New Roman" w:eastAsia="方正仿宋_GBK" w:hAnsi="Times New Roman"/>
      <w:kern w:val="2"/>
      <w:sz w:val="32"/>
      <w:szCs w:val="32"/>
    </w:rPr>
  </w:style>
  <w:style w:type="character" w:customStyle="1" w:styleId="aa">
    <w:name w:val="标题 字符"/>
    <w:link w:val="a9"/>
    <w:uiPriority w:val="10"/>
    <w:qFormat/>
    <w:rPr>
      <w:rFonts w:ascii="Times New Roman" w:eastAsia="方正仿宋_GBK" w:hAnsi="Times New Roman"/>
      <w:b/>
      <w:kern w:val="2"/>
      <w:sz w:val="32"/>
      <w:szCs w:val="32"/>
    </w:rPr>
  </w:style>
  <w:style w:type="character" w:customStyle="1" w:styleId="lb">
    <w:name w:val="lb"/>
    <w:basedOn w:val="a0"/>
  </w:style>
  <w:style w:type="paragraph" w:customStyle="1" w:styleId="ds-markdown-paragraph">
    <w:name w:val="ds-markdown-paragraph"/>
    <w:basedOn w:val="a"/>
    <w:pPr>
      <w:spacing w:before="100" w:beforeAutospacing="1" w:after="100" w:afterAutospacing="1" w:line="240" w:lineRule="auto"/>
      <w:ind w:firstLineChars="0" w:firstLine="0"/>
    </w:pPr>
    <w:rPr>
      <w:rFonts w:ascii="宋体" w:eastAsia="宋体" w:hAnsi="宋体" w:cs="宋体"/>
      <w:kern w:val="0"/>
      <w:sz w:val="24"/>
      <w:szCs w:val="24"/>
    </w:rPr>
  </w:style>
  <w:style w:type="paragraph" w:customStyle="1" w:styleId="11">
    <w:name w:val="普通(网站)1"/>
    <w:basedOn w:val="a"/>
    <w:qFormat/>
    <w:pPr>
      <w:widowControl w:val="0"/>
      <w:spacing w:before="100" w:beforeAutospacing="1" w:after="100" w:afterAutospacing="1" w:line="240" w:lineRule="auto"/>
      <w:ind w:firstLineChars="0" w:firstLine="0"/>
    </w:pPr>
    <w:rPr>
      <w:rFonts w:ascii="Calibri" w:eastAsia="宋体" w:hAnsi="Calibri"/>
      <w:kern w:val="0"/>
      <w:sz w:val="24"/>
      <w:szCs w:val="24"/>
    </w:rPr>
  </w:style>
  <w:style w:type="paragraph" w:customStyle="1" w:styleId="23">
    <w:name w:val="2"/>
    <w:pPr>
      <w:spacing w:before="120" w:after="120" w:line="288" w:lineRule="auto"/>
    </w:pPr>
    <w:rPr>
      <w:rFonts w:ascii="Arial" w:eastAsia="等线" w:hAnsi="Arial" w:cs="Arial"/>
      <w:sz w:val="22"/>
      <w:szCs w:val="22"/>
    </w:rPr>
  </w:style>
  <w:style w:type="paragraph" w:customStyle="1" w:styleId="12">
    <w:name w:val="图表目录1"/>
    <w:basedOn w:val="a"/>
    <w:next w:val="a"/>
    <w:autoRedefine/>
    <w:qFormat/>
    <w:pPr>
      <w:widowControl w:val="0"/>
      <w:adjustRightInd w:val="0"/>
      <w:snapToGrid w:val="0"/>
      <w:spacing w:line="360" w:lineRule="auto"/>
      <w:ind w:leftChars="200" w:left="200" w:hangingChars="200" w:hanging="200"/>
    </w:pPr>
    <w:rPr>
      <w:rFonts w:ascii="Calibri" w:eastAsia="仿宋_GB2312" w:hAnsi="Calibri" w:cs="黑体"/>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296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德宏州农业局</dc:title>
  <dc:creator>Administrator</dc:creator>
  <cp:lastModifiedBy>Administrator</cp:lastModifiedBy>
  <cp:revision>107</cp:revision>
  <dcterms:created xsi:type="dcterms:W3CDTF">2025-07-03T04:02:00Z</dcterms:created>
  <dcterms:modified xsi:type="dcterms:W3CDTF">2025-07-04T00:41:00Z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3F7840D600144EE180E84A3735D353BE_12</vt:lpwstr>
  </property>
</Properties>
</file>