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bookmarkStart w:id="2" w:name="_GoBack"/>
      <w:r>
        <w:rPr>
          <w:rFonts w:hint="eastAsia" w:ascii="黑体" w:hAnsi="黑体" w:eastAsia="黑体"/>
          <w:sz w:val="36"/>
          <w:szCs w:val="36"/>
          <w:lang w:eastAsia="zh-CN"/>
        </w:rPr>
        <w:t>德宏州农业广播电视学校</w:t>
      </w:r>
      <w:r>
        <w:rPr>
          <w:rFonts w:hint="eastAsia" w:ascii="黑体" w:hAnsi="黑体" w:eastAsia="黑体"/>
          <w:sz w:val="36"/>
          <w:szCs w:val="36"/>
          <w:lang w:val="en-US" w:eastAsia="zh-CN"/>
        </w:rPr>
        <w:t>2018</w:t>
      </w:r>
      <w:r>
        <w:rPr>
          <w:rFonts w:hint="eastAsia" w:ascii="黑体" w:hAnsi="黑体" w:eastAsia="黑体"/>
          <w:sz w:val="36"/>
          <w:szCs w:val="36"/>
        </w:rPr>
        <w:t>年度部门决算</w:t>
      </w:r>
    </w:p>
    <w:bookmarkEnd w:id="2"/>
    <w:p>
      <w:pPr>
        <w:jc w:val="left"/>
        <w:rPr>
          <w:rFonts w:hint="eastAsia" w:ascii="黑体" w:hAnsi="黑体" w:eastAsia="黑体"/>
          <w:sz w:val="30"/>
          <w:szCs w:val="30"/>
        </w:rPr>
      </w:pPr>
      <w:r>
        <w:rPr>
          <w:rFonts w:hint="eastAsia" w:ascii="黑体" w:hAnsi="黑体" w:eastAsia="黑体"/>
          <w:sz w:val="30"/>
          <w:szCs w:val="30"/>
        </w:rPr>
        <w:t>第一部分  XX概况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第二部分  XX年度部门决算表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pPr>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第三部门  XX年度部门决算情况说明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pPr>
        <w:jc w:val="left"/>
        <w:rPr>
          <w:rFonts w:hint="eastAsia" w:ascii="楷体" w:hAnsi="楷体" w:eastAsia="楷体"/>
          <w:sz w:val="30"/>
          <w:szCs w:val="30"/>
          <w:lang w:val="en-US" w:eastAsia="zh-CN"/>
        </w:rPr>
      </w:pPr>
      <w:r>
        <w:rPr>
          <w:rFonts w:hint="eastAsia" w:ascii="楷体" w:hAnsi="楷体" w:eastAsia="楷体"/>
          <w:sz w:val="30"/>
          <w:szCs w:val="30"/>
          <w:lang w:eastAsia="zh-CN"/>
        </w:rPr>
        <w:t>四、</w:t>
      </w:r>
      <w:r>
        <w:rPr>
          <w:rFonts w:hint="eastAsia" w:ascii="楷体" w:hAnsi="楷体" w:eastAsia="楷体"/>
          <w:sz w:val="30"/>
          <w:szCs w:val="30"/>
          <w:lang w:val="en-US" w:eastAsia="zh-CN"/>
        </w:rPr>
        <w:t>部门绩效自评情况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lang w:eastAsia="zh-CN"/>
        </w:rPr>
        <w:t>项目支出概况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（二）</w:t>
      </w:r>
      <w:r>
        <w:rPr>
          <w:rFonts w:hint="eastAsia" w:ascii="楷体" w:hAnsi="楷体" w:eastAsia="楷体"/>
          <w:sz w:val="30"/>
          <w:szCs w:val="30"/>
          <w:lang w:eastAsia="zh-CN"/>
        </w:rPr>
        <w:t>项目支出绩效自评</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（三）</w:t>
      </w:r>
      <w:r>
        <w:rPr>
          <w:rFonts w:hint="eastAsia" w:ascii="楷体" w:hAnsi="楷体" w:eastAsia="楷体"/>
          <w:sz w:val="30"/>
          <w:szCs w:val="30"/>
          <w:lang w:eastAsia="zh-CN"/>
        </w:rPr>
        <w:t>项目绩效目标管理</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（四）</w:t>
      </w:r>
      <w:r>
        <w:rPr>
          <w:rFonts w:hint="eastAsia" w:ascii="楷体" w:hAnsi="楷体" w:eastAsia="楷体"/>
          <w:sz w:val="30"/>
          <w:szCs w:val="30"/>
          <w:lang w:eastAsia="zh-CN"/>
        </w:rPr>
        <w:t>2018部门整体支出绩效自评报告</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（五）</w:t>
      </w:r>
      <w:r>
        <w:rPr>
          <w:rFonts w:hint="eastAsia" w:ascii="楷体" w:hAnsi="楷体" w:eastAsia="楷体"/>
          <w:sz w:val="30"/>
          <w:szCs w:val="30"/>
          <w:lang w:eastAsia="zh-CN"/>
        </w:rPr>
        <w:t>部门整体支出绩效自评表</w:t>
      </w:r>
    </w:p>
    <w:p>
      <w:pPr>
        <w:jc w:val="left"/>
        <w:rPr>
          <w:rFonts w:hint="eastAsia" w:ascii="楷体" w:hAnsi="楷体" w:eastAsia="楷体"/>
          <w:sz w:val="30"/>
          <w:szCs w:val="30"/>
          <w:lang w:eastAsia="zh-CN"/>
        </w:rPr>
      </w:pPr>
      <w:r>
        <w:rPr>
          <w:rFonts w:hint="eastAsia" w:ascii="楷体" w:hAnsi="楷体" w:eastAsia="楷体"/>
          <w:sz w:val="30"/>
          <w:szCs w:val="30"/>
          <w:lang w:eastAsia="zh-CN"/>
        </w:rPr>
        <w:t>五、</w:t>
      </w:r>
      <w:r>
        <w:rPr>
          <w:rFonts w:hint="eastAsia" w:ascii="楷体" w:hAnsi="楷体" w:eastAsia="楷体"/>
          <w:sz w:val="30"/>
          <w:szCs w:val="30"/>
          <w:lang w:val="en-US" w:eastAsia="zh-CN"/>
        </w:rPr>
        <w:t>其他重要事项情况说明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单位</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pPr>
        <w:spacing w:line="600" w:lineRule="exact"/>
        <w:ind w:firstLine="600" w:firstLineChars="200"/>
        <w:rPr>
          <w:rFonts w:hint="eastAsia" w:ascii="仿宋_GB2312" w:hAnsi="仿宋" w:eastAsia="仿宋_GB2312"/>
          <w:sz w:val="32"/>
          <w:szCs w:val="32"/>
          <w:lang w:val="en-US"/>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、负责全州新型农民科技教育培训工作；</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、承担全州基层农技人员短期培训、学历教育培训工作；</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、负责全州农业信息平台、办公自动化平台的管理和网络运行和服务工作；</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、负责“德宏农业信息网”、“数字乡村网”两网的信息采集、录入、编辑、审核和发布工作；</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、负责“三农通”、“12316”三农服务热线的畅通保障工作；</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、承担州局机关、直属事业单位办公计算机网络技术服务工作；</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rPr>
        <w:t>、负责州局视频会议室的运行和管理</w:t>
      </w:r>
      <w:r>
        <w:rPr>
          <w:rFonts w:hint="eastAsia" w:ascii="仿宋_GB2312" w:hAnsi="仿宋_GB2312" w:eastAsia="仿宋_GB2312" w:cs="仿宋_GB2312"/>
          <w:sz w:val="30"/>
          <w:szCs w:val="30"/>
          <w:lang w:val="en-US" w:eastAsia="zh-CN"/>
        </w:rPr>
        <w:t>。</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w:t>
      </w:r>
      <w:r>
        <w:rPr>
          <w:rFonts w:hint="eastAsia" w:ascii="楷体" w:hAnsi="楷体" w:eastAsia="楷体"/>
          <w:bCs/>
          <w:szCs w:val="30"/>
          <w:lang w:val="en-US" w:eastAsia="zh-CN"/>
        </w:rPr>
        <w:t>2018</w:t>
      </w:r>
      <w:r>
        <w:rPr>
          <w:rFonts w:hint="eastAsia" w:ascii="楷体" w:hAnsi="楷体" w:eastAsia="楷体"/>
          <w:bCs/>
          <w:szCs w:val="30"/>
        </w:rPr>
        <w:t>年度重点工作任务介绍</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一、党风廉政建设和反腐败工作方面</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（一）抓培训，促增收</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结合农广校工作实际，坚持与精准扶贫、产业发展紧密结合起来，把学习教育和</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"http://zw.5ykj.com/" \t "_blank"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指导</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帮助群众融入到单位的工作中，找准切入点，不断增强业务技能，创新服务方式。结合项目，发挥好党组织战斗堡垒作用。以“两学一做”</w:t>
      </w:r>
      <w:r>
        <w:rPr>
          <w:rFonts w:hint="eastAsia" w:ascii="仿宋_GB2312" w:hAnsi="仿宋_GB2312" w:eastAsia="仿宋_GB2312" w:cs="仿宋_GB2312"/>
          <w:sz w:val="30"/>
          <w:szCs w:val="30"/>
          <w:lang w:eastAsia="zh-CN"/>
        </w:rPr>
        <w:t>学习教育</w:t>
      </w:r>
      <w:r>
        <w:rPr>
          <w:rFonts w:hint="eastAsia" w:ascii="仿宋_GB2312" w:hAnsi="仿宋_GB2312" w:eastAsia="仿宋_GB2312" w:cs="仿宋_GB2312"/>
          <w:sz w:val="30"/>
          <w:szCs w:val="30"/>
        </w:rPr>
        <w:t>开展为契机，结合项目实施：</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（1）在芒市大湾村委会锅盖石村民小组、五岔路白岩村民小组开展稻田综合种养稳粮增收技术培训3期， 128人，（其中建档立卡户18人）。</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水稻、玉米、马铃薯、油菜绿色高质高效创建。在芒市遮放镇遮告村小组、五岔路乡、风平镇法帕村委会、勐戛镇芒牛坝村委会、勐戛村委会、盈江县太平镇大寨村委会、旧城镇拉勐村委会、陇城子镇城子村委会永幸村民小组、章风镇弄贯村委会光相村民小组开展绿色高质高效创建技术培训10期，845人（其中建档立卡户196人）。</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开展农民手机应用技能培训--让手机成为农民的“新农具”，让信息化造福农民。根据省州文件精神，加快信息技术在农业生产中的广泛应用，让手机真正成为农民发展生产、便利生活、增收致富的好帮手。在各县市农业局的配合下组织开展了3期农民手机应用技能培训，共培训220余人。</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（二）信息中心工作稳步开展</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持续强化网站管理，信息发布取得新突破。目前全州共有6个农业门户网站，2817个数字乡村网页；移动互联“三农通”短信平台一个，建立了５６个“三农通”信息联络站；开通了９６１２８、１２３１６两条便民公益服务热线。截止12月5日公开政府信息4396条，政务微信536条。</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益农信息社挂牌情况。今年总共完成上报备案、挂牌行政村数量共100个，两年总共挂牌209个。目前按照有场所、有人员、有设备、有宽带、有网页、有持续动作能力“六有”标准建设示范社5个，分别是：芒市芒市镇松树寨村、瑞丽市勐卯镇芒今村、陇川县城子镇巴达村、盈江县平原镇拉勐村、梁河县芒东镇芒东村，建设简易社95个。 </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云农12316平台建设情况。云农12316平台作为信息进村入户的重要工具，截止目前，共开展信息员培训5批次，培训人员225人，开展“云农12316”手机APP终端培训16批次，共培训人数3230人。参加了全省农业农村信息化推进会。</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5、科学管理视频会议室。视频会议系统的正常运作，全年组织收听视频会议6次。完善了《视频会议室管理规章制度》。</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6、完成省农业厅安排的《云南农业》杂志征订任务。</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积极参与学雷锋志愿服务、党员进社区志愿服务、送温暖走访慰问活动和精神文明创建工作，切实贯彻落实好党员干部直接联系群众制度，深入勐焕街道团结社区与社区领导交谈，了解今年社区要开展的一些相关情况，在职党员到社区报到5人，开展学雷锋志愿服务和党员进社区志愿服务活动2次，投入了共建资金1000元。</w:t>
      </w:r>
    </w:p>
    <w:p>
      <w:pPr>
        <w:spacing w:line="60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8、积极推进脱贫攻坚工作。按照“挂包帮、转走访”扶贫攻坚精准帮扶工作实施方案的要求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签订脱贫攻坚帮扶承诺书1份，走访慰问5次，赠送电饭锅、烧水壶、茶具、食用油、洗涤用品、化肥等价值1800元的慰问品，全校干部职工为挂钩村寨捐款1400元。</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纳入</w:t>
      </w:r>
      <w:r>
        <w:rPr>
          <w:rFonts w:hint="eastAsia" w:ascii="仿宋_GB2312" w:eastAsia="仿宋_GB2312"/>
          <w:sz w:val="30"/>
          <w:szCs w:val="30"/>
          <w:lang w:val="en-US" w:eastAsia="zh-CN"/>
        </w:rPr>
        <w:t>州农业广播电视学校2018</w:t>
      </w:r>
      <w:r>
        <w:rPr>
          <w:rFonts w:hint="eastAsia" w:ascii="仿宋_GB2312" w:eastAsia="仿宋_GB2312"/>
          <w:sz w:val="30"/>
          <w:szCs w:val="30"/>
        </w:rPr>
        <w:t>年度部门决算编报的单位共</w:t>
      </w:r>
      <w:r>
        <w:rPr>
          <w:rFonts w:hint="eastAsia" w:ascii="仿宋_GB2312" w:eastAsia="仿宋_GB2312"/>
          <w:sz w:val="30"/>
          <w:szCs w:val="30"/>
          <w:lang w:val="en-US" w:eastAsia="zh-CN"/>
        </w:rPr>
        <w:t>1</w:t>
      </w:r>
      <w:r>
        <w:rPr>
          <w:rFonts w:hint="eastAsia" w:ascii="仿宋_GB2312" w:eastAsia="仿宋_GB2312"/>
          <w:sz w:val="30"/>
          <w:szCs w:val="30"/>
        </w:rPr>
        <w:t>个。</w:t>
      </w:r>
    </w:p>
    <w:p>
      <w:pPr>
        <w:ind w:firstLine="600" w:firstLineChars="2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val="en-US" w:eastAsia="zh-CN"/>
        </w:rPr>
        <w:t>州农业广播电视学校2018</w:t>
      </w:r>
      <w:r>
        <w:rPr>
          <w:rFonts w:hint="eastAsia" w:ascii="仿宋_GB2312" w:eastAsia="仿宋_GB2312"/>
          <w:sz w:val="30"/>
          <w:szCs w:val="30"/>
        </w:rPr>
        <w:t>年末实有人员编制</w:t>
      </w:r>
      <w:r>
        <w:rPr>
          <w:rFonts w:hint="eastAsia" w:ascii="仿宋_GB2312" w:eastAsia="仿宋_GB2312"/>
          <w:sz w:val="30"/>
          <w:szCs w:val="30"/>
          <w:lang w:val="en-US" w:eastAsia="zh-CN"/>
        </w:rPr>
        <w:t>7</w:t>
      </w:r>
      <w:r>
        <w:rPr>
          <w:rFonts w:hint="eastAsia" w:ascii="仿宋_GB2312" w:hAnsi="宋体" w:eastAsia="仿宋_GB2312" w:cs="Arial"/>
          <w:kern w:val="0"/>
          <w:sz w:val="30"/>
          <w:szCs w:val="30"/>
        </w:rPr>
        <w:t>人。其中：</w:t>
      </w:r>
      <w:r>
        <w:rPr>
          <w:rFonts w:hint="eastAsia" w:ascii="仿宋_GB2312" w:hAnsi="宋体" w:eastAsia="仿宋_GB2312" w:cs="Arial"/>
          <w:kern w:val="0"/>
          <w:sz w:val="30"/>
          <w:szCs w:val="30"/>
          <w:lang w:eastAsia="zh-CN"/>
        </w:rPr>
        <w:t>无</w:t>
      </w:r>
      <w:r>
        <w:rPr>
          <w:rFonts w:hint="eastAsia" w:ascii="仿宋_GB2312" w:hAnsi="宋体" w:eastAsia="仿宋_GB2312" w:cs="Arial"/>
          <w:kern w:val="0"/>
          <w:sz w:val="30"/>
          <w:szCs w:val="30"/>
        </w:rPr>
        <w:t>行政编制，事业编制</w:t>
      </w:r>
      <w:r>
        <w:rPr>
          <w:rFonts w:hint="eastAsia" w:ascii="仿宋_GB2312" w:eastAsia="仿宋_GB2312"/>
          <w:sz w:val="30"/>
          <w:szCs w:val="30"/>
          <w:lang w:val="en-US" w:eastAsia="zh-CN"/>
        </w:rPr>
        <w:t>7</w:t>
      </w:r>
      <w:r>
        <w:rPr>
          <w:rFonts w:hint="eastAsia" w:ascii="仿宋_GB2312" w:hAnsi="宋体" w:eastAsia="仿宋_GB2312" w:cs="Arial"/>
          <w:kern w:val="0"/>
          <w:sz w:val="30"/>
          <w:szCs w:val="30"/>
        </w:rPr>
        <w:t>人；在职在编实有事业人员</w:t>
      </w:r>
      <w:r>
        <w:rPr>
          <w:rFonts w:hint="eastAsia" w:ascii="仿宋_GB2312" w:eastAsia="仿宋_GB2312"/>
          <w:sz w:val="30"/>
          <w:szCs w:val="30"/>
          <w:lang w:val="en-US" w:eastAsia="zh-CN"/>
        </w:rPr>
        <w:t>7</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hAnsi="宋体" w:eastAsia="仿宋_GB2312" w:cs="Arial"/>
          <w:kern w:val="0"/>
          <w:sz w:val="30"/>
          <w:szCs w:val="30"/>
          <w:lang w:val="en-US" w:eastAsia="zh-CN"/>
        </w:rPr>
        <w:t>2</w:t>
      </w:r>
      <w:r>
        <w:rPr>
          <w:rFonts w:hint="eastAsia" w:ascii="仿宋_GB2312" w:hAnsi="宋体" w:eastAsia="仿宋_GB2312" w:cs="Arial"/>
          <w:kern w:val="0"/>
          <w:sz w:val="30"/>
          <w:szCs w:val="30"/>
        </w:rPr>
        <w:t>人。其中：离休</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人，退休</w:t>
      </w:r>
      <w:r>
        <w:rPr>
          <w:rFonts w:hint="eastAsia" w:ascii="仿宋_GB2312" w:eastAsia="仿宋_GB2312"/>
          <w:sz w:val="30"/>
          <w:szCs w:val="30"/>
          <w:lang w:val="en-US" w:eastAsia="zh-CN"/>
        </w:rPr>
        <w:t>2</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辆，在编实有车辆</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辆。</w:t>
      </w:r>
    </w:p>
    <w:p>
      <w:pPr>
        <w:spacing w:line="600" w:lineRule="exact"/>
        <w:ind w:firstLine="600" w:firstLineChars="200"/>
        <w:rPr>
          <w:rFonts w:hint="eastAsia" w:ascii="仿宋_GB2312" w:hAnsi="Arial" w:eastAsia="仿宋_GB2312" w:cs="Arial"/>
          <w:kern w:val="0"/>
          <w:sz w:val="30"/>
          <w:szCs w:val="30"/>
        </w:rPr>
      </w:pPr>
      <w:r>
        <w:rPr>
          <w:rFonts w:hint="eastAsia" w:ascii="仿宋_GB2312" w:hAnsi="宋体" w:eastAsia="仿宋_GB2312" w:cs="Arial"/>
          <w:kern w:val="0"/>
          <w:sz w:val="30"/>
          <w:szCs w:val="30"/>
        </w:rPr>
        <w:t>（各部门可结合实际制作基本情况分布图表等）</w:t>
      </w: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2018</w:t>
      </w:r>
      <w:r>
        <w:rPr>
          <w:rFonts w:hint="eastAsia" w:ascii="黑体" w:hAnsi="黑体" w:eastAsia="黑体"/>
          <w:sz w:val="32"/>
          <w:szCs w:val="32"/>
        </w:rPr>
        <w:t>年度部门决算表</w:t>
      </w:r>
    </w:p>
    <w:p>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 xml:space="preserve">第三部门  </w:t>
      </w:r>
      <w:r>
        <w:rPr>
          <w:rFonts w:hint="eastAsia" w:ascii="黑体" w:hAnsi="黑体" w:eastAsia="黑体"/>
          <w:sz w:val="32"/>
          <w:szCs w:val="32"/>
          <w:lang w:val="en-US" w:eastAsia="zh-CN"/>
        </w:rPr>
        <w:t>2018</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州农业广播电视学校2018</w:t>
      </w:r>
      <w:r>
        <w:rPr>
          <w:rFonts w:hint="eastAsia" w:ascii="仿宋_GB2312" w:eastAsia="仿宋_GB2312"/>
          <w:sz w:val="30"/>
          <w:szCs w:val="30"/>
        </w:rPr>
        <w:t>年度收入合计</w:t>
      </w:r>
      <w:r>
        <w:rPr>
          <w:rFonts w:hint="eastAsia" w:ascii="仿宋_GB2312" w:eastAsia="仿宋_GB2312"/>
          <w:sz w:val="30"/>
          <w:szCs w:val="30"/>
          <w:lang w:val="en-US" w:eastAsia="zh-CN"/>
        </w:rPr>
        <w:t>93.06</w:t>
      </w:r>
      <w:r>
        <w:rPr>
          <w:rFonts w:hint="eastAsia" w:ascii="仿宋_GB2312" w:eastAsia="仿宋_GB2312"/>
          <w:sz w:val="30"/>
          <w:szCs w:val="30"/>
        </w:rPr>
        <w:t>万元。其中：财政拨款收入</w:t>
      </w:r>
      <w:r>
        <w:rPr>
          <w:rFonts w:hint="eastAsia" w:ascii="仿宋_GB2312" w:eastAsia="仿宋_GB2312"/>
          <w:sz w:val="30"/>
          <w:szCs w:val="30"/>
          <w:lang w:val="en-US" w:eastAsia="zh-CN"/>
        </w:rPr>
        <w:t>93.06</w:t>
      </w:r>
      <w:r>
        <w:rPr>
          <w:rFonts w:hint="eastAsia" w:ascii="仿宋_GB2312" w:eastAsia="仿宋_GB2312"/>
          <w:sz w:val="30"/>
          <w:szCs w:val="30"/>
        </w:rPr>
        <w:t>万元，占总收入的</w:t>
      </w:r>
      <w:r>
        <w:rPr>
          <w:rFonts w:hint="eastAsia" w:ascii="仿宋_GB2312" w:eastAsia="仿宋_GB2312"/>
          <w:sz w:val="30"/>
          <w:szCs w:val="30"/>
          <w:lang w:val="en-US" w:eastAsia="zh-CN"/>
        </w:rPr>
        <w:t>100</w:t>
      </w:r>
      <w:r>
        <w:rPr>
          <w:rFonts w:hint="eastAsia" w:ascii="仿宋_GB2312" w:eastAsia="仿宋_GB2312"/>
          <w:sz w:val="30"/>
          <w:szCs w:val="30"/>
        </w:rPr>
        <w:t>%；上级补助收入</w:t>
      </w:r>
      <w:r>
        <w:rPr>
          <w:rFonts w:hint="eastAsia" w:ascii="仿宋_GB2312" w:eastAsia="仿宋_GB2312"/>
          <w:sz w:val="30"/>
          <w:szCs w:val="30"/>
          <w:lang w:val="en-US" w:eastAsia="zh-CN"/>
        </w:rPr>
        <w:t>0</w:t>
      </w:r>
      <w:r>
        <w:rPr>
          <w:rFonts w:hint="eastAsia" w:ascii="仿宋_GB2312" w:eastAsia="仿宋_GB2312"/>
          <w:sz w:val="30"/>
          <w:szCs w:val="30"/>
        </w:rPr>
        <w:t>万元；事业收入</w:t>
      </w:r>
      <w:r>
        <w:rPr>
          <w:rFonts w:hint="eastAsia" w:ascii="仿宋_GB2312" w:eastAsia="仿宋_GB2312"/>
          <w:sz w:val="30"/>
          <w:szCs w:val="30"/>
          <w:lang w:val="en-US" w:eastAsia="zh-CN"/>
        </w:rPr>
        <w:t>0</w:t>
      </w:r>
      <w:r>
        <w:rPr>
          <w:rFonts w:hint="eastAsia" w:ascii="仿宋_GB2312" w:eastAsia="仿宋_GB2312"/>
          <w:sz w:val="30"/>
          <w:szCs w:val="30"/>
        </w:rPr>
        <w:t>万元；经营收入</w:t>
      </w:r>
      <w:r>
        <w:rPr>
          <w:rFonts w:hint="eastAsia" w:ascii="仿宋_GB2312" w:eastAsia="仿宋_GB2312"/>
          <w:sz w:val="30"/>
          <w:szCs w:val="30"/>
          <w:lang w:val="en-US" w:eastAsia="zh-CN"/>
        </w:rPr>
        <w:t>0</w:t>
      </w:r>
      <w:r>
        <w:rPr>
          <w:rFonts w:hint="eastAsia" w:ascii="仿宋_GB2312" w:eastAsia="仿宋_GB2312"/>
          <w:sz w:val="30"/>
          <w:szCs w:val="30"/>
        </w:rPr>
        <w:t>万元；附属单位缴款收入</w:t>
      </w:r>
      <w:r>
        <w:rPr>
          <w:rFonts w:hint="eastAsia" w:ascii="仿宋_GB2312" w:eastAsia="仿宋_GB2312"/>
          <w:sz w:val="30"/>
          <w:szCs w:val="30"/>
          <w:lang w:val="en-US" w:eastAsia="zh-CN"/>
        </w:rPr>
        <w:t>0</w:t>
      </w:r>
      <w:r>
        <w:rPr>
          <w:rFonts w:hint="eastAsia" w:ascii="仿宋_GB2312" w:eastAsia="仿宋_GB2312"/>
          <w:sz w:val="30"/>
          <w:szCs w:val="30"/>
        </w:rPr>
        <w:t>万元；其他收入</w:t>
      </w:r>
      <w:r>
        <w:rPr>
          <w:rFonts w:hint="eastAsia" w:ascii="仿宋_GB2312" w:eastAsia="仿宋_GB2312"/>
          <w:sz w:val="30"/>
          <w:szCs w:val="30"/>
          <w:lang w:val="en-US" w:eastAsia="zh-CN"/>
        </w:rPr>
        <w:t>0</w:t>
      </w:r>
      <w:r>
        <w:rPr>
          <w:rFonts w:hint="eastAsia" w:ascii="仿宋_GB2312" w:eastAsia="仿宋_GB2312"/>
          <w:sz w:val="30"/>
          <w:szCs w:val="30"/>
        </w:rPr>
        <w:t>万元。与上年对比</w:t>
      </w:r>
      <w:r>
        <w:rPr>
          <w:rFonts w:hint="eastAsia" w:ascii="仿宋_GB2312" w:eastAsia="仿宋_GB2312"/>
          <w:sz w:val="30"/>
          <w:szCs w:val="30"/>
          <w:lang w:eastAsia="zh-CN"/>
        </w:rPr>
        <w:t>减少</w:t>
      </w:r>
      <w:r>
        <w:rPr>
          <w:rFonts w:hint="eastAsia" w:ascii="仿宋_GB2312" w:eastAsia="仿宋_GB2312"/>
          <w:sz w:val="30"/>
          <w:szCs w:val="30"/>
          <w:lang w:val="en-US" w:eastAsia="zh-CN"/>
        </w:rPr>
        <w:t>68.85万元</w:t>
      </w:r>
      <w:r>
        <w:rPr>
          <w:rFonts w:hint="eastAsia" w:ascii="仿宋_GB2312" w:eastAsia="仿宋_GB2312"/>
          <w:sz w:val="30"/>
          <w:szCs w:val="30"/>
        </w:rPr>
        <w:t>,主要原因</w:t>
      </w:r>
      <w:r>
        <w:rPr>
          <w:rFonts w:hint="eastAsia" w:ascii="仿宋_GB2312" w:eastAsia="仿宋_GB2312"/>
          <w:sz w:val="30"/>
          <w:szCs w:val="30"/>
          <w:lang w:eastAsia="zh-CN"/>
        </w:rPr>
        <w:t>是上年度财政拨入</w:t>
      </w:r>
      <w:r>
        <w:rPr>
          <w:rFonts w:hint="eastAsia" w:ascii="仿宋_GB2312" w:eastAsia="仿宋_GB2312"/>
          <w:sz w:val="30"/>
          <w:szCs w:val="30"/>
          <w:lang w:val="en-US" w:eastAsia="zh-CN"/>
        </w:rPr>
        <w:t>2016年度培训费，</w:t>
      </w:r>
      <w:r>
        <w:rPr>
          <w:rFonts w:hint="eastAsia" w:ascii="仿宋_GB2312" w:hAnsi="宋体" w:eastAsia="仿宋_GB2312" w:cs="Arial"/>
          <w:kern w:val="0"/>
          <w:sz w:val="30"/>
          <w:szCs w:val="30"/>
          <w:lang w:val="en-US" w:eastAsia="zh-CN"/>
        </w:rPr>
        <w:t>增加了</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w:t>
      </w:r>
      <w:r>
        <w:rPr>
          <w:rFonts w:hint="eastAsia" w:ascii="仿宋_GB2312" w:eastAsia="仿宋_GB2312"/>
          <w:sz w:val="30"/>
          <w:szCs w:val="30"/>
          <w:lang w:eastAsia="zh-CN"/>
        </w:rPr>
        <w:t>收入数</w:t>
      </w:r>
      <w:r>
        <w:rPr>
          <w:rFonts w:hint="eastAsia" w:ascii="仿宋_GB2312" w:eastAsia="仿宋_GB2312"/>
          <w:sz w:val="30"/>
          <w:szCs w:val="30"/>
        </w:rPr>
        <w:t>。</w:t>
      </w:r>
    </w:p>
    <w:tbl>
      <w:tblPr>
        <w:tblStyle w:val="5"/>
        <w:tblpPr w:leftFromText="180" w:rightFromText="180" w:vertAnchor="text" w:horzAnchor="page" w:tblpX="2790" w:tblpY="329"/>
        <w:tblOverlap w:val="never"/>
        <w:tblW w:w="6745" w:type="dxa"/>
        <w:tblInd w:w="0" w:type="dxa"/>
        <w:tblLayout w:type="fixed"/>
        <w:tblCellMar>
          <w:top w:w="0" w:type="dxa"/>
          <w:left w:w="108" w:type="dxa"/>
          <w:bottom w:w="0" w:type="dxa"/>
          <w:right w:w="108" w:type="dxa"/>
        </w:tblCellMar>
      </w:tblPr>
      <w:tblGrid>
        <w:gridCol w:w="1300"/>
        <w:gridCol w:w="930"/>
        <w:gridCol w:w="990"/>
        <w:gridCol w:w="1095"/>
        <w:gridCol w:w="1035"/>
        <w:gridCol w:w="1395"/>
      </w:tblGrid>
      <w:tr>
        <w:tblPrEx>
          <w:tblCellMar>
            <w:top w:w="0" w:type="dxa"/>
            <w:left w:w="108" w:type="dxa"/>
            <w:bottom w:w="0" w:type="dxa"/>
            <w:right w:w="108" w:type="dxa"/>
          </w:tblCellMar>
        </w:tblPrEx>
        <w:trPr>
          <w:trHeight w:val="840"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项目</w:t>
            </w:r>
          </w:p>
        </w:tc>
        <w:tc>
          <w:tcPr>
            <w:tcW w:w="930"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当年决算数</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上年决算数</w:t>
            </w:r>
          </w:p>
        </w:tc>
        <w:tc>
          <w:tcPr>
            <w:tcW w:w="1095"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较上年增减数</w:t>
            </w:r>
          </w:p>
        </w:tc>
        <w:tc>
          <w:tcPr>
            <w:tcW w:w="1035"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较上年增减</w:t>
            </w:r>
            <w:r>
              <w:rPr>
                <w:color w:val="000000"/>
                <w:kern w:val="0"/>
                <w:sz w:val="18"/>
                <w:szCs w:val="18"/>
              </w:rPr>
              <w:t>%</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对比变动原因</w:t>
            </w:r>
          </w:p>
        </w:tc>
      </w:tr>
      <w:tr>
        <w:tblPrEx>
          <w:tblCellMar>
            <w:top w:w="0" w:type="dxa"/>
            <w:left w:w="108" w:type="dxa"/>
            <w:bottom w:w="0" w:type="dxa"/>
            <w:right w:w="108" w:type="dxa"/>
          </w:tblCellMar>
        </w:tblPrEx>
        <w:trPr>
          <w:trHeight w:val="300" w:hRule="atLeast"/>
        </w:trPr>
        <w:tc>
          <w:tcPr>
            <w:tcW w:w="1300" w:type="dxa"/>
            <w:tcBorders>
              <w:top w:val="nil"/>
              <w:left w:val="single" w:color="auto" w:sz="4" w:space="0"/>
              <w:bottom w:val="single" w:color="auto" w:sz="4" w:space="0"/>
              <w:right w:val="single" w:color="auto" w:sz="4" w:space="0"/>
            </w:tcBorders>
            <w:vAlign w:val="center"/>
          </w:tcPr>
          <w:p>
            <w:pPr>
              <w:widowControl/>
              <w:jc w:val="center"/>
              <w:rPr>
                <w:color w:val="000000"/>
                <w:kern w:val="0"/>
                <w:sz w:val="18"/>
                <w:szCs w:val="18"/>
              </w:rPr>
            </w:pPr>
            <w:r>
              <w:rPr>
                <w:rFonts w:hint="eastAsia" w:ascii="楷体_GB2312" w:eastAsia="楷体_GB2312"/>
                <w:color w:val="000000"/>
                <w:kern w:val="0"/>
                <w:sz w:val="18"/>
                <w:szCs w:val="18"/>
              </w:rPr>
              <w:t>栏次</w:t>
            </w:r>
          </w:p>
        </w:tc>
        <w:tc>
          <w:tcPr>
            <w:tcW w:w="930"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1</w:t>
            </w:r>
          </w:p>
        </w:tc>
        <w:tc>
          <w:tcPr>
            <w:tcW w:w="990"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2</w:t>
            </w:r>
          </w:p>
        </w:tc>
        <w:tc>
          <w:tcPr>
            <w:tcW w:w="1095"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rFonts w:hint="eastAsia"/>
                <w:color w:val="000000"/>
                <w:kern w:val="0"/>
                <w:sz w:val="18"/>
                <w:szCs w:val="18"/>
                <w:lang w:val="en-US" w:eastAsia="zh-CN"/>
              </w:rPr>
              <w:t>3</w:t>
            </w:r>
            <w:r>
              <w:rPr>
                <w:color w:val="000000"/>
                <w:kern w:val="0"/>
                <w:sz w:val="18"/>
                <w:szCs w:val="18"/>
              </w:rPr>
              <w:t>=</w:t>
            </w:r>
            <w:r>
              <w:rPr>
                <w:rFonts w:hint="eastAsia"/>
                <w:color w:val="000000"/>
                <w:kern w:val="0"/>
                <w:sz w:val="18"/>
                <w:szCs w:val="18"/>
                <w:lang w:val="en-US" w:eastAsia="zh-CN"/>
              </w:rPr>
              <w:t>1</w:t>
            </w:r>
            <w:r>
              <w:rPr>
                <w:rFonts w:hint="eastAsia" w:ascii="楷体_GB2312" w:eastAsia="楷体_GB2312"/>
                <w:color w:val="000000"/>
                <w:kern w:val="0"/>
                <w:sz w:val="18"/>
                <w:szCs w:val="18"/>
              </w:rPr>
              <w:t>－</w:t>
            </w:r>
            <w:r>
              <w:rPr>
                <w:rFonts w:hint="eastAsia" w:ascii="楷体_GB2312" w:eastAsia="楷体_GB2312"/>
                <w:color w:val="000000"/>
                <w:kern w:val="0"/>
                <w:sz w:val="18"/>
                <w:szCs w:val="18"/>
                <w:lang w:val="en-US" w:eastAsia="zh-CN"/>
              </w:rPr>
              <w:t>2</w:t>
            </w:r>
          </w:p>
        </w:tc>
        <w:tc>
          <w:tcPr>
            <w:tcW w:w="103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rFonts w:hint="eastAsia"/>
                <w:color w:val="000000"/>
                <w:kern w:val="0"/>
                <w:sz w:val="16"/>
                <w:szCs w:val="16"/>
                <w:lang w:val="en-US" w:eastAsia="zh-CN"/>
              </w:rPr>
              <w:t>4</w:t>
            </w:r>
            <w:r>
              <w:rPr>
                <w:color w:val="000000"/>
                <w:kern w:val="0"/>
                <w:sz w:val="16"/>
                <w:szCs w:val="16"/>
              </w:rPr>
              <w:t>=</w:t>
            </w:r>
            <w:r>
              <w:rPr>
                <w:rFonts w:hint="eastAsia"/>
                <w:color w:val="000000"/>
                <w:kern w:val="0"/>
                <w:sz w:val="16"/>
                <w:szCs w:val="16"/>
                <w:lang w:val="en-US" w:eastAsia="zh-CN"/>
              </w:rPr>
              <w:t>3</w:t>
            </w:r>
            <w:r>
              <w:rPr>
                <w:color w:val="000000"/>
                <w:kern w:val="0"/>
                <w:sz w:val="16"/>
                <w:szCs w:val="16"/>
              </w:rPr>
              <w:t>/</w:t>
            </w:r>
            <w:r>
              <w:rPr>
                <w:rFonts w:hint="eastAsia"/>
                <w:color w:val="000000"/>
                <w:kern w:val="0"/>
                <w:sz w:val="16"/>
                <w:szCs w:val="16"/>
                <w:lang w:val="en-US" w:eastAsia="zh-CN"/>
              </w:rPr>
              <w:t>2</w:t>
            </w:r>
            <w:r>
              <w:rPr>
                <w:color w:val="000000"/>
                <w:kern w:val="0"/>
                <w:sz w:val="16"/>
                <w:szCs w:val="16"/>
              </w:rPr>
              <w:t>×100%</w:t>
            </w:r>
          </w:p>
        </w:tc>
        <w:tc>
          <w:tcPr>
            <w:tcW w:w="1395"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5</w:t>
            </w:r>
          </w:p>
        </w:tc>
      </w:tr>
      <w:tr>
        <w:tblPrEx>
          <w:tblCellMar>
            <w:top w:w="0" w:type="dxa"/>
            <w:left w:w="108" w:type="dxa"/>
            <w:bottom w:w="0" w:type="dxa"/>
            <w:right w:w="108" w:type="dxa"/>
          </w:tblCellMar>
        </w:tblPrEx>
        <w:trPr>
          <w:trHeight w:val="827" w:hRule="atLeast"/>
        </w:trPr>
        <w:tc>
          <w:tcPr>
            <w:tcW w:w="1300" w:type="dxa"/>
            <w:tcBorders>
              <w:top w:val="nil"/>
              <w:left w:val="single" w:color="auto" w:sz="4" w:space="0"/>
              <w:bottom w:val="single" w:color="auto" w:sz="4" w:space="0"/>
              <w:right w:val="single" w:color="auto" w:sz="4" w:space="0"/>
            </w:tcBorders>
            <w:vAlign w:val="center"/>
          </w:tcPr>
          <w:p>
            <w:pPr>
              <w:widowControl/>
              <w:jc w:val="both"/>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年度收入决算数（万元）</w:t>
            </w:r>
          </w:p>
        </w:tc>
        <w:tc>
          <w:tcPr>
            <w:tcW w:w="930" w:type="dxa"/>
            <w:tcBorders>
              <w:top w:val="nil"/>
              <w:left w:val="nil"/>
              <w:bottom w:val="single" w:color="auto" w:sz="4" w:space="0"/>
              <w:right w:val="single" w:color="auto" w:sz="4" w:space="0"/>
            </w:tcBorders>
            <w:vAlign w:val="center"/>
          </w:tcPr>
          <w:p>
            <w:pPr>
              <w:widowControl/>
              <w:jc w:val="both"/>
              <w:rPr>
                <w:rFonts w:hint="eastAsia" w:eastAsia="宋体"/>
                <w:b/>
                <w:bCs/>
                <w:color w:val="000000"/>
                <w:kern w:val="0"/>
                <w:sz w:val="20"/>
                <w:szCs w:val="20"/>
                <w:lang w:val="en-US" w:eastAsia="zh-CN"/>
              </w:rPr>
            </w:pPr>
            <w:r>
              <w:rPr>
                <w:rFonts w:hint="eastAsia"/>
                <w:b/>
                <w:bCs/>
                <w:color w:val="000000"/>
                <w:kern w:val="0"/>
                <w:sz w:val="20"/>
                <w:szCs w:val="20"/>
                <w:lang w:val="en-US" w:eastAsia="zh-CN"/>
              </w:rPr>
              <w:t>93.06</w:t>
            </w:r>
          </w:p>
        </w:tc>
        <w:tc>
          <w:tcPr>
            <w:tcW w:w="990"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b/>
                <w:bCs/>
                <w:color w:val="000000"/>
                <w:kern w:val="0"/>
                <w:sz w:val="20"/>
                <w:szCs w:val="20"/>
                <w:lang w:val="en-US" w:eastAsia="zh-CN"/>
              </w:rPr>
              <w:t>161.91</w:t>
            </w:r>
          </w:p>
        </w:tc>
        <w:tc>
          <w:tcPr>
            <w:tcW w:w="1095"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b/>
                <w:bCs/>
                <w:color w:val="000000"/>
                <w:kern w:val="0"/>
                <w:sz w:val="20"/>
                <w:szCs w:val="20"/>
                <w:lang w:val="en-US" w:eastAsia="zh-CN"/>
              </w:rPr>
              <w:t>-68.85</w:t>
            </w:r>
          </w:p>
        </w:tc>
        <w:tc>
          <w:tcPr>
            <w:tcW w:w="1035"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b/>
                <w:bCs/>
                <w:color w:val="000000"/>
                <w:kern w:val="0"/>
                <w:sz w:val="20"/>
                <w:szCs w:val="20"/>
                <w:lang w:val="en-US" w:eastAsia="zh-CN"/>
              </w:rPr>
              <w:t>-42</w:t>
            </w:r>
          </w:p>
        </w:tc>
        <w:tc>
          <w:tcPr>
            <w:tcW w:w="1395" w:type="dxa"/>
            <w:tcBorders>
              <w:top w:val="nil"/>
              <w:left w:val="nil"/>
              <w:bottom w:val="single" w:color="auto" w:sz="4" w:space="0"/>
              <w:right w:val="single" w:color="auto" w:sz="4" w:space="0"/>
            </w:tcBorders>
            <w:vAlign w:val="center"/>
          </w:tcPr>
          <w:p>
            <w:pPr>
              <w:widowControl/>
              <w:jc w:val="center"/>
              <w:rPr>
                <w:rFonts w:hint="eastAsia" w:eastAsia="宋体"/>
                <w:b/>
                <w:bCs/>
                <w:color w:val="000000"/>
                <w:kern w:val="0"/>
                <w:sz w:val="18"/>
                <w:szCs w:val="18"/>
                <w:lang w:eastAsia="zh-CN"/>
              </w:rPr>
            </w:pPr>
            <w:r>
              <w:rPr>
                <w:rFonts w:hint="eastAsia"/>
                <w:b/>
                <w:bCs/>
                <w:color w:val="000000"/>
                <w:kern w:val="0"/>
                <w:sz w:val="18"/>
                <w:szCs w:val="18"/>
                <w:lang w:eastAsia="zh-CN"/>
              </w:rPr>
              <w:t>因去年财政返还</w:t>
            </w:r>
            <w:r>
              <w:rPr>
                <w:rFonts w:hint="eastAsia"/>
                <w:b/>
                <w:bCs/>
                <w:color w:val="000000"/>
                <w:kern w:val="0"/>
                <w:sz w:val="18"/>
                <w:szCs w:val="18"/>
                <w:lang w:val="en-US" w:eastAsia="zh-CN"/>
              </w:rPr>
              <w:t>2016年培训费86.9万元</w:t>
            </w:r>
          </w:p>
        </w:tc>
      </w:tr>
    </w:tbl>
    <w:p>
      <w:pPr>
        <w:widowControl/>
        <w:snapToGrid w:val="0"/>
        <w:spacing w:before="100" w:after="100" w:line="600" w:lineRule="exact"/>
        <w:ind w:firstLine="538"/>
        <w:jc w:val="left"/>
        <w:rPr>
          <w:rFonts w:hint="eastAsia" w:ascii="仿宋_GB2312" w:eastAsia="仿宋_GB2312"/>
          <w:sz w:val="30"/>
          <w:szCs w:val="30"/>
        </w:rPr>
      </w:pPr>
    </w:p>
    <w:p>
      <w:pPr>
        <w:ind w:firstLine="600" w:firstLineChars="200"/>
        <w:jc w:val="left"/>
        <w:rPr>
          <w:rFonts w:hint="eastAsia" w:ascii="黑体" w:hAnsi="黑体" w:eastAsia="黑体"/>
          <w:sz w:val="30"/>
          <w:szCs w:val="30"/>
        </w:rPr>
      </w:pPr>
    </w:p>
    <w:p>
      <w:pPr>
        <w:ind w:firstLine="600" w:firstLineChars="200"/>
        <w:jc w:val="left"/>
        <w:rPr>
          <w:rFonts w:hint="eastAsia" w:ascii="黑体" w:hAnsi="黑体" w:eastAsia="黑体"/>
          <w:sz w:val="30"/>
          <w:szCs w:val="30"/>
        </w:rPr>
      </w:pPr>
    </w:p>
    <w:p>
      <w:pPr>
        <w:ind w:firstLine="600" w:firstLineChars="200"/>
        <w:jc w:val="left"/>
        <w:rPr>
          <w:rFonts w:hint="eastAsia" w:ascii="黑体" w:hAnsi="黑体" w:eastAsia="黑体"/>
          <w:sz w:val="30"/>
          <w:szCs w:val="30"/>
        </w:rPr>
      </w:pPr>
    </w:p>
    <w:p>
      <w:pPr>
        <w:ind w:firstLine="600" w:firstLineChars="200"/>
        <w:jc w:val="left"/>
        <w:rPr>
          <w:rFonts w:hint="eastAsia" w:ascii="黑体" w:hAnsi="黑体" w:eastAsia="黑体"/>
          <w:sz w:val="30"/>
          <w:szCs w:val="30"/>
        </w:rPr>
      </w:pPr>
    </w:p>
    <w:p>
      <w:pPr>
        <w:ind w:firstLine="600" w:firstLineChars="200"/>
        <w:jc w:val="left"/>
        <w:rPr>
          <w:rFonts w:hint="eastAsia" w:ascii="黑体" w:hAnsi="黑体" w:eastAsia="黑体"/>
          <w:sz w:val="30"/>
          <w:szCs w:val="30"/>
        </w:rPr>
      </w:pP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lang w:val="en-US" w:eastAsia="zh-CN"/>
        </w:rPr>
        <w:t>州农业广播电视学校2018</w:t>
      </w:r>
      <w:r>
        <w:rPr>
          <w:rFonts w:hint="eastAsia" w:ascii="仿宋_GB2312" w:eastAsia="仿宋_GB2312"/>
          <w:sz w:val="30"/>
          <w:szCs w:val="30"/>
        </w:rPr>
        <w:t>年度支出合计</w:t>
      </w:r>
      <w:r>
        <w:rPr>
          <w:rFonts w:hint="eastAsia" w:ascii="仿宋_GB2312" w:eastAsia="仿宋_GB2312"/>
          <w:sz w:val="30"/>
          <w:szCs w:val="30"/>
          <w:lang w:val="en-US" w:eastAsia="zh-CN"/>
        </w:rPr>
        <w:t>89.04</w:t>
      </w:r>
      <w:r>
        <w:rPr>
          <w:rFonts w:hint="eastAsia" w:ascii="仿宋_GB2312" w:eastAsia="仿宋_GB2312"/>
          <w:sz w:val="30"/>
          <w:szCs w:val="30"/>
        </w:rPr>
        <w:t>万元。其中：</w:t>
      </w:r>
      <w:r>
        <w:rPr>
          <w:rFonts w:hint="eastAsia" w:ascii="仿宋_GB2312" w:hAnsi="宋体" w:eastAsia="仿宋_GB2312" w:cs="Arial"/>
          <w:kern w:val="0"/>
          <w:sz w:val="30"/>
          <w:szCs w:val="30"/>
        </w:rPr>
        <w:t>基本支出</w:t>
      </w:r>
      <w:r>
        <w:rPr>
          <w:rFonts w:hint="eastAsia" w:ascii="仿宋_GB2312" w:eastAsia="仿宋_GB2312"/>
          <w:sz w:val="30"/>
          <w:szCs w:val="30"/>
          <w:lang w:val="en-US" w:eastAsia="zh-CN"/>
        </w:rPr>
        <w:t>82.99</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94</w:t>
      </w:r>
      <w:r>
        <w:rPr>
          <w:rFonts w:hint="eastAsia" w:ascii="仿宋_GB2312" w:hAnsi="宋体" w:eastAsia="仿宋_GB2312" w:cs="Arial"/>
          <w:kern w:val="0"/>
          <w:sz w:val="30"/>
          <w:szCs w:val="30"/>
        </w:rPr>
        <w:t>％；项目支出</w:t>
      </w:r>
      <w:r>
        <w:rPr>
          <w:rFonts w:hint="eastAsia" w:ascii="仿宋_GB2312" w:eastAsia="仿宋_GB2312"/>
          <w:sz w:val="30"/>
          <w:szCs w:val="30"/>
          <w:lang w:val="en-US" w:eastAsia="zh-CN"/>
        </w:rPr>
        <w:t>6.05</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6</w:t>
      </w:r>
      <w:r>
        <w:rPr>
          <w:rFonts w:hint="eastAsia" w:ascii="仿宋_GB2312" w:hAnsi="宋体" w:eastAsia="仿宋_GB2312" w:cs="Arial"/>
          <w:kern w:val="0"/>
          <w:sz w:val="30"/>
          <w:szCs w:val="30"/>
        </w:rPr>
        <w:t>％；</w:t>
      </w:r>
      <w:r>
        <w:rPr>
          <w:rFonts w:hint="eastAsia" w:ascii="仿宋_GB2312" w:hAnsi="宋体" w:eastAsia="仿宋_GB2312" w:cs="Arial"/>
          <w:kern w:val="0"/>
          <w:sz w:val="30"/>
          <w:szCs w:val="30"/>
          <w:lang w:eastAsia="zh-CN"/>
        </w:rPr>
        <w:t>无</w:t>
      </w:r>
      <w:r>
        <w:rPr>
          <w:rFonts w:hint="eastAsia" w:ascii="仿宋_GB2312" w:hAnsi="宋体" w:eastAsia="仿宋_GB2312" w:cs="Arial"/>
          <w:kern w:val="0"/>
          <w:sz w:val="30"/>
          <w:szCs w:val="30"/>
        </w:rPr>
        <w:t>上缴上级支出、经营支出、对附属单位补助支出。</w:t>
      </w:r>
      <w:r>
        <w:rPr>
          <w:rFonts w:hint="eastAsia" w:ascii="仿宋_GB2312" w:eastAsia="仿宋_GB2312"/>
          <w:sz w:val="30"/>
          <w:szCs w:val="30"/>
        </w:rPr>
        <w:t>与上年对比</w:t>
      </w:r>
      <w:r>
        <w:rPr>
          <w:rFonts w:hint="eastAsia" w:ascii="仿宋_GB2312" w:eastAsia="仿宋_GB2312"/>
          <w:sz w:val="30"/>
          <w:szCs w:val="30"/>
          <w:lang w:eastAsia="zh-CN"/>
        </w:rPr>
        <w:t>减少</w:t>
      </w:r>
      <w:r>
        <w:rPr>
          <w:rFonts w:hint="eastAsia" w:ascii="仿宋_GB2312" w:eastAsia="仿宋_GB2312"/>
          <w:sz w:val="30"/>
          <w:szCs w:val="30"/>
          <w:lang w:val="en-US" w:eastAsia="zh-CN"/>
        </w:rPr>
        <w:t>72.87万元</w:t>
      </w:r>
      <w:r>
        <w:rPr>
          <w:rFonts w:hint="eastAsia" w:ascii="仿宋_GB2312" w:eastAsia="仿宋_GB2312"/>
          <w:sz w:val="30"/>
          <w:szCs w:val="30"/>
        </w:rPr>
        <w:t>,主要原因</w:t>
      </w:r>
      <w:r>
        <w:rPr>
          <w:rFonts w:hint="eastAsia" w:ascii="仿宋_GB2312" w:eastAsia="仿宋_GB2312"/>
          <w:sz w:val="30"/>
          <w:szCs w:val="30"/>
          <w:lang w:eastAsia="zh-CN"/>
        </w:rPr>
        <w:t>是上年度财政拨入</w:t>
      </w:r>
      <w:r>
        <w:rPr>
          <w:rFonts w:hint="eastAsia" w:ascii="仿宋_GB2312" w:eastAsia="仿宋_GB2312"/>
          <w:sz w:val="30"/>
          <w:szCs w:val="30"/>
          <w:lang w:val="en-US" w:eastAsia="zh-CN"/>
        </w:rPr>
        <w:t>2016年度培训费，</w:t>
      </w:r>
      <w:r>
        <w:rPr>
          <w:rFonts w:hint="eastAsia" w:ascii="仿宋_GB2312" w:hAnsi="宋体" w:eastAsia="仿宋_GB2312" w:cs="Arial"/>
          <w:kern w:val="0"/>
          <w:sz w:val="30"/>
          <w:szCs w:val="30"/>
          <w:lang w:val="en-US" w:eastAsia="zh-CN"/>
        </w:rPr>
        <w:t>增加了</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年度一般公共预算财政拨款支出</w:t>
      </w:r>
      <w:r>
        <w:rPr>
          <w:rFonts w:hint="eastAsia" w:ascii="仿宋_GB2312" w:eastAsia="仿宋_GB2312"/>
          <w:sz w:val="30"/>
          <w:szCs w:val="30"/>
          <w:lang w:eastAsia="zh-CN"/>
        </w:rPr>
        <w:t>数</w:t>
      </w:r>
      <w:r>
        <w:rPr>
          <w:rFonts w:hint="eastAsia" w:ascii="仿宋_GB2312" w:eastAsia="仿宋_GB2312"/>
          <w:sz w:val="30"/>
          <w:szCs w:val="30"/>
        </w:rPr>
        <w:t>。</w:t>
      </w:r>
    </w:p>
    <w:tbl>
      <w:tblPr>
        <w:tblStyle w:val="5"/>
        <w:tblpPr w:leftFromText="180" w:rightFromText="180" w:vertAnchor="text" w:horzAnchor="page" w:tblpX="2790" w:tblpY="329"/>
        <w:tblOverlap w:val="never"/>
        <w:tblW w:w="6745" w:type="dxa"/>
        <w:tblInd w:w="0" w:type="dxa"/>
        <w:tblLayout w:type="fixed"/>
        <w:tblCellMar>
          <w:top w:w="0" w:type="dxa"/>
          <w:left w:w="108" w:type="dxa"/>
          <w:bottom w:w="0" w:type="dxa"/>
          <w:right w:w="108" w:type="dxa"/>
        </w:tblCellMar>
      </w:tblPr>
      <w:tblGrid>
        <w:gridCol w:w="1300"/>
        <w:gridCol w:w="930"/>
        <w:gridCol w:w="990"/>
        <w:gridCol w:w="1095"/>
        <w:gridCol w:w="1035"/>
        <w:gridCol w:w="1395"/>
      </w:tblGrid>
      <w:tr>
        <w:tblPrEx>
          <w:tblCellMar>
            <w:top w:w="0" w:type="dxa"/>
            <w:left w:w="108" w:type="dxa"/>
            <w:bottom w:w="0" w:type="dxa"/>
            <w:right w:w="108" w:type="dxa"/>
          </w:tblCellMar>
        </w:tblPrEx>
        <w:trPr>
          <w:trHeight w:val="840"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项目</w:t>
            </w:r>
          </w:p>
        </w:tc>
        <w:tc>
          <w:tcPr>
            <w:tcW w:w="930"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当年决算数</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上年决算数</w:t>
            </w:r>
          </w:p>
        </w:tc>
        <w:tc>
          <w:tcPr>
            <w:tcW w:w="1095"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较上年增减数</w:t>
            </w:r>
          </w:p>
        </w:tc>
        <w:tc>
          <w:tcPr>
            <w:tcW w:w="1035" w:type="dxa"/>
            <w:tcBorders>
              <w:top w:val="single" w:color="auto" w:sz="4" w:space="0"/>
              <w:left w:val="nil"/>
              <w:bottom w:val="single" w:color="auto" w:sz="4" w:space="0"/>
              <w:right w:val="single" w:color="auto" w:sz="4" w:space="0"/>
            </w:tcBorders>
            <w:vAlign w:val="center"/>
          </w:tcPr>
          <w:p>
            <w:pPr>
              <w:widowControl/>
              <w:jc w:val="center"/>
              <w:rPr>
                <w:color w:val="000000"/>
                <w:kern w:val="0"/>
                <w:sz w:val="18"/>
                <w:szCs w:val="18"/>
              </w:rPr>
            </w:pPr>
            <w:r>
              <w:rPr>
                <w:rFonts w:hint="eastAsia" w:ascii="黑体" w:eastAsia="黑体"/>
                <w:color w:val="000000"/>
                <w:kern w:val="0"/>
                <w:sz w:val="18"/>
                <w:szCs w:val="18"/>
              </w:rPr>
              <w:t>较上年增减</w:t>
            </w:r>
            <w:r>
              <w:rPr>
                <w:color w:val="000000"/>
                <w:kern w:val="0"/>
                <w:sz w:val="18"/>
                <w:szCs w:val="18"/>
              </w:rPr>
              <w:t>%</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对比变动原因</w:t>
            </w:r>
          </w:p>
        </w:tc>
      </w:tr>
      <w:tr>
        <w:tblPrEx>
          <w:tblCellMar>
            <w:top w:w="0" w:type="dxa"/>
            <w:left w:w="108" w:type="dxa"/>
            <w:bottom w:w="0" w:type="dxa"/>
            <w:right w:w="108" w:type="dxa"/>
          </w:tblCellMar>
        </w:tblPrEx>
        <w:trPr>
          <w:trHeight w:val="300" w:hRule="atLeast"/>
        </w:trPr>
        <w:tc>
          <w:tcPr>
            <w:tcW w:w="1300" w:type="dxa"/>
            <w:tcBorders>
              <w:top w:val="nil"/>
              <w:left w:val="single" w:color="auto" w:sz="4" w:space="0"/>
              <w:bottom w:val="single" w:color="auto" w:sz="4" w:space="0"/>
              <w:right w:val="single" w:color="auto" w:sz="4" w:space="0"/>
            </w:tcBorders>
            <w:vAlign w:val="center"/>
          </w:tcPr>
          <w:p>
            <w:pPr>
              <w:widowControl/>
              <w:jc w:val="center"/>
              <w:rPr>
                <w:color w:val="000000"/>
                <w:kern w:val="0"/>
                <w:sz w:val="18"/>
                <w:szCs w:val="18"/>
              </w:rPr>
            </w:pPr>
            <w:r>
              <w:rPr>
                <w:rFonts w:hint="eastAsia" w:ascii="楷体_GB2312" w:eastAsia="楷体_GB2312"/>
                <w:color w:val="000000"/>
                <w:kern w:val="0"/>
                <w:sz w:val="18"/>
                <w:szCs w:val="18"/>
              </w:rPr>
              <w:t>栏次</w:t>
            </w:r>
          </w:p>
        </w:tc>
        <w:tc>
          <w:tcPr>
            <w:tcW w:w="930"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1</w:t>
            </w:r>
          </w:p>
        </w:tc>
        <w:tc>
          <w:tcPr>
            <w:tcW w:w="990"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2</w:t>
            </w:r>
          </w:p>
        </w:tc>
        <w:tc>
          <w:tcPr>
            <w:tcW w:w="1095"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rFonts w:hint="eastAsia"/>
                <w:color w:val="000000"/>
                <w:kern w:val="0"/>
                <w:sz w:val="18"/>
                <w:szCs w:val="18"/>
                <w:lang w:val="en-US" w:eastAsia="zh-CN"/>
              </w:rPr>
              <w:t>3</w:t>
            </w:r>
            <w:r>
              <w:rPr>
                <w:color w:val="000000"/>
                <w:kern w:val="0"/>
                <w:sz w:val="18"/>
                <w:szCs w:val="18"/>
              </w:rPr>
              <w:t>=</w:t>
            </w:r>
            <w:r>
              <w:rPr>
                <w:rFonts w:hint="eastAsia"/>
                <w:color w:val="000000"/>
                <w:kern w:val="0"/>
                <w:sz w:val="18"/>
                <w:szCs w:val="18"/>
                <w:lang w:val="en-US" w:eastAsia="zh-CN"/>
              </w:rPr>
              <w:t>1</w:t>
            </w:r>
            <w:r>
              <w:rPr>
                <w:rFonts w:hint="eastAsia" w:ascii="楷体_GB2312" w:eastAsia="楷体_GB2312"/>
                <w:color w:val="000000"/>
                <w:kern w:val="0"/>
                <w:sz w:val="18"/>
                <w:szCs w:val="18"/>
              </w:rPr>
              <w:t>－</w:t>
            </w:r>
            <w:r>
              <w:rPr>
                <w:rFonts w:hint="eastAsia" w:ascii="楷体_GB2312" w:eastAsia="楷体_GB2312"/>
                <w:color w:val="000000"/>
                <w:kern w:val="0"/>
                <w:sz w:val="18"/>
                <w:szCs w:val="18"/>
                <w:lang w:val="en-US" w:eastAsia="zh-CN"/>
              </w:rPr>
              <w:t>2</w:t>
            </w:r>
          </w:p>
        </w:tc>
        <w:tc>
          <w:tcPr>
            <w:tcW w:w="1035" w:type="dxa"/>
            <w:tcBorders>
              <w:top w:val="nil"/>
              <w:left w:val="nil"/>
              <w:bottom w:val="single" w:color="auto" w:sz="4" w:space="0"/>
              <w:right w:val="single" w:color="auto" w:sz="4" w:space="0"/>
            </w:tcBorders>
            <w:vAlign w:val="center"/>
          </w:tcPr>
          <w:p>
            <w:pPr>
              <w:widowControl/>
              <w:jc w:val="center"/>
              <w:rPr>
                <w:color w:val="000000"/>
                <w:kern w:val="0"/>
                <w:sz w:val="16"/>
                <w:szCs w:val="16"/>
              </w:rPr>
            </w:pPr>
            <w:r>
              <w:rPr>
                <w:rFonts w:hint="eastAsia"/>
                <w:color w:val="000000"/>
                <w:kern w:val="0"/>
                <w:sz w:val="16"/>
                <w:szCs w:val="16"/>
                <w:lang w:val="en-US" w:eastAsia="zh-CN"/>
              </w:rPr>
              <w:t>4</w:t>
            </w:r>
            <w:r>
              <w:rPr>
                <w:color w:val="000000"/>
                <w:kern w:val="0"/>
                <w:sz w:val="16"/>
                <w:szCs w:val="16"/>
              </w:rPr>
              <w:t>=</w:t>
            </w:r>
            <w:r>
              <w:rPr>
                <w:rFonts w:hint="eastAsia"/>
                <w:color w:val="000000"/>
                <w:kern w:val="0"/>
                <w:sz w:val="16"/>
                <w:szCs w:val="16"/>
                <w:lang w:val="en-US" w:eastAsia="zh-CN"/>
              </w:rPr>
              <w:t>3</w:t>
            </w:r>
            <w:r>
              <w:rPr>
                <w:color w:val="000000"/>
                <w:kern w:val="0"/>
                <w:sz w:val="16"/>
                <w:szCs w:val="16"/>
              </w:rPr>
              <w:t>/</w:t>
            </w:r>
            <w:r>
              <w:rPr>
                <w:rFonts w:hint="eastAsia"/>
                <w:color w:val="000000"/>
                <w:kern w:val="0"/>
                <w:sz w:val="16"/>
                <w:szCs w:val="16"/>
                <w:lang w:val="en-US" w:eastAsia="zh-CN"/>
              </w:rPr>
              <w:t>2</w:t>
            </w:r>
            <w:r>
              <w:rPr>
                <w:color w:val="000000"/>
                <w:kern w:val="0"/>
                <w:sz w:val="16"/>
                <w:szCs w:val="16"/>
              </w:rPr>
              <w:t>×100%</w:t>
            </w:r>
          </w:p>
        </w:tc>
        <w:tc>
          <w:tcPr>
            <w:tcW w:w="1395" w:type="dxa"/>
            <w:tcBorders>
              <w:top w:val="nil"/>
              <w:left w:val="nil"/>
              <w:bottom w:val="single" w:color="auto" w:sz="4" w:space="0"/>
              <w:right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5</w:t>
            </w:r>
          </w:p>
        </w:tc>
      </w:tr>
      <w:tr>
        <w:tblPrEx>
          <w:tblCellMar>
            <w:top w:w="0" w:type="dxa"/>
            <w:left w:w="108" w:type="dxa"/>
            <w:bottom w:w="0" w:type="dxa"/>
            <w:right w:w="108" w:type="dxa"/>
          </w:tblCellMar>
        </w:tblPrEx>
        <w:trPr>
          <w:trHeight w:val="827" w:hRule="atLeast"/>
        </w:trPr>
        <w:tc>
          <w:tcPr>
            <w:tcW w:w="1300" w:type="dxa"/>
            <w:tcBorders>
              <w:top w:val="nil"/>
              <w:left w:val="single" w:color="auto" w:sz="4" w:space="0"/>
              <w:bottom w:val="single" w:color="auto" w:sz="4" w:space="0"/>
              <w:right w:val="single" w:color="auto" w:sz="4" w:space="0"/>
            </w:tcBorders>
            <w:vAlign w:val="center"/>
          </w:tcPr>
          <w:p>
            <w:pPr>
              <w:widowControl/>
              <w:jc w:val="both"/>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年度支出决算数（万元）</w:t>
            </w:r>
          </w:p>
        </w:tc>
        <w:tc>
          <w:tcPr>
            <w:tcW w:w="930" w:type="dxa"/>
            <w:tcBorders>
              <w:top w:val="nil"/>
              <w:left w:val="nil"/>
              <w:bottom w:val="single" w:color="auto" w:sz="4" w:space="0"/>
              <w:right w:val="single" w:color="auto" w:sz="4" w:space="0"/>
            </w:tcBorders>
            <w:vAlign w:val="center"/>
          </w:tcPr>
          <w:p>
            <w:pPr>
              <w:widowControl/>
              <w:jc w:val="both"/>
              <w:rPr>
                <w:rFonts w:hint="eastAsia" w:eastAsia="宋体"/>
                <w:b/>
                <w:bCs/>
                <w:color w:val="000000"/>
                <w:kern w:val="0"/>
                <w:sz w:val="20"/>
                <w:szCs w:val="20"/>
                <w:lang w:val="en-US" w:eastAsia="zh-CN"/>
              </w:rPr>
            </w:pPr>
            <w:r>
              <w:rPr>
                <w:rFonts w:hint="eastAsia"/>
                <w:b/>
                <w:bCs/>
                <w:color w:val="000000"/>
                <w:kern w:val="0"/>
                <w:sz w:val="20"/>
                <w:szCs w:val="20"/>
                <w:lang w:val="en-US" w:eastAsia="zh-CN"/>
              </w:rPr>
              <w:t>89.04</w:t>
            </w:r>
          </w:p>
        </w:tc>
        <w:tc>
          <w:tcPr>
            <w:tcW w:w="990"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b/>
                <w:bCs/>
                <w:color w:val="000000"/>
                <w:kern w:val="0"/>
                <w:sz w:val="20"/>
                <w:szCs w:val="20"/>
                <w:lang w:val="en-US" w:eastAsia="zh-CN"/>
              </w:rPr>
              <w:t>161.91</w:t>
            </w:r>
          </w:p>
        </w:tc>
        <w:tc>
          <w:tcPr>
            <w:tcW w:w="1095"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b/>
                <w:bCs/>
                <w:color w:val="000000"/>
                <w:kern w:val="0"/>
                <w:sz w:val="20"/>
                <w:szCs w:val="20"/>
                <w:lang w:val="en-US" w:eastAsia="zh-CN"/>
              </w:rPr>
              <w:t>-72.87</w:t>
            </w:r>
          </w:p>
        </w:tc>
        <w:tc>
          <w:tcPr>
            <w:tcW w:w="1035" w:type="dxa"/>
            <w:tcBorders>
              <w:top w:val="nil"/>
              <w:left w:val="nil"/>
              <w:bottom w:val="single" w:color="auto" w:sz="4" w:space="0"/>
              <w:right w:val="single" w:color="auto" w:sz="4" w:space="0"/>
            </w:tcBorders>
            <w:vAlign w:val="center"/>
          </w:tcPr>
          <w:p>
            <w:pPr>
              <w:widowControl/>
              <w:jc w:val="center"/>
              <w:rPr>
                <w:b/>
                <w:bCs/>
                <w:color w:val="000000"/>
                <w:kern w:val="0"/>
                <w:sz w:val="20"/>
                <w:szCs w:val="20"/>
              </w:rPr>
            </w:pPr>
            <w:r>
              <w:rPr>
                <w:rFonts w:hint="eastAsia"/>
                <w:b/>
                <w:bCs/>
                <w:color w:val="000000"/>
                <w:kern w:val="0"/>
                <w:sz w:val="20"/>
                <w:szCs w:val="20"/>
                <w:lang w:val="en-US" w:eastAsia="zh-CN"/>
              </w:rPr>
              <w:t>-45</w:t>
            </w:r>
          </w:p>
        </w:tc>
        <w:tc>
          <w:tcPr>
            <w:tcW w:w="1395" w:type="dxa"/>
            <w:tcBorders>
              <w:top w:val="nil"/>
              <w:left w:val="nil"/>
              <w:bottom w:val="single" w:color="auto" w:sz="4" w:space="0"/>
              <w:right w:val="single" w:color="auto" w:sz="4" w:space="0"/>
            </w:tcBorders>
            <w:vAlign w:val="center"/>
          </w:tcPr>
          <w:p>
            <w:pPr>
              <w:widowControl/>
              <w:jc w:val="center"/>
              <w:rPr>
                <w:rFonts w:hint="eastAsia" w:eastAsia="宋体"/>
                <w:b/>
                <w:bCs/>
                <w:color w:val="000000"/>
                <w:kern w:val="0"/>
                <w:sz w:val="18"/>
                <w:szCs w:val="18"/>
                <w:lang w:eastAsia="zh-CN"/>
              </w:rPr>
            </w:pPr>
            <w:r>
              <w:rPr>
                <w:rFonts w:hint="eastAsia"/>
                <w:b/>
                <w:bCs/>
                <w:color w:val="000000"/>
                <w:kern w:val="0"/>
                <w:sz w:val="18"/>
                <w:szCs w:val="18"/>
                <w:lang w:eastAsia="zh-CN"/>
              </w:rPr>
              <w:t>因去年财政返还</w:t>
            </w:r>
            <w:r>
              <w:rPr>
                <w:rFonts w:hint="eastAsia"/>
                <w:b/>
                <w:bCs/>
                <w:color w:val="000000"/>
                <w:kern w:val="0"/>
                <w:sz w:val="18"/>
                <w:szCs w:val="18"/>
                <w:lang w:val="en-US" w:eastAsia="zh-CN"/>
              </w:rPr>
              <w:t>2016年培训费86.9万元</w:t>
            </w:r>
          </w:p>
        </w:tc>
      </w:tr>
    </w:tbl>
    <w:p>
      <w:pPr>
        <w:spacing w:line="600" w:lineRule="exact"/>
        <w:ind w:firstLine="600" w:firstLineChars="200"/>
        <w:rPr>
          <w:rFonts w:hint="eastAsia" w:ascii="仿宋_GB2312" w:eastAsia="仿宋_GB2312"/>
          <w:sz w:val="30"/>
          <w:szCs w:val="30"/>
        </w:rPr>
      </w:pPr>
    </w:p>
    <w:p>
      <w:pPr>
        <w:spacing w:line="600" w:lineRule="exact"/>
        <w:ind w:firstLine="600" w:firstLineChars="200"/>
        <w:rPr>
          <w:rFonts w:hint="eastAsia" w:ascii="仿宋_GB2312" w:hAnsi="宋体" w:eastAsia="仿宋_GB2312" w:cs="Arial"/>
          <w:kern w:val="0"/>
          <w:sz w:val="30"/>
          <w:szCs w:val="30"/>
        </w:rPr>
      </w:pP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2018</w:t>
      </w:r>
      <w:r>
        <w:rPr>
          <w:rFonts w:hint="eastAsia" w:ascii="仿宋_GB2312" w:eastAsia="仿宋_GB2312"/>
          <w:sz w:val="30"/>
          <w:szCs w:val="30"/>
        </w:rPr>
        <w:t>年度用于保障机构正常运转的日常支出</w:t>
      </w:r>
      <w:r>
        <w:rPr>
          <w:rFonts w:hint="eastAsia" w:ascii="仿宋_GB2312" w:eastAsia="仿宋_GB2312"/>
          <w:sz w:val="30"/>
          <w:szCs w:val="30"/>
          <w:lang w:val="en-US" w:eastAsia="zh-CN"/>
        </w:rPr>
        <w:t>82.99</w:t>
      </w:r>
      <w:r>
        <w:rPr>
          <w:rFonts w:hint="eastAsia" w:ascii="仿宋_GB2312" w:eastAsia="仿宋_GB2312"/>
          <w:sz w:val="30"/>
          <w:szCs w:val="30"/>
        </w:rPr>
        <w:t>万元。与上年</w:t>
      </w:r>
      <w:r>
        <w:rPr>
          <w:rFonts w:hint="eastAsia" w:ascii="仿宋_GB2312" w:eastAsia="仿宋_GB2312"/>
          <w:sz w:val="30"/>
          <w:szCs w:val="30"/>
          <w:lang w:val="en-US" w:eastAsia="zh-CN"/>
        </w:rPr>
        <w:t>156.41万元</w:t>
      </w:r>
      <w:r>
        <w:rPr>
          <w:rFonts w:hint="eastAsia" w:ascii="仿宋_GB2312" w:eastAsia="仿宋_GB2312"/>
          <w:sz w:val="30"/>
          <w:szCs w:val="30"/>
        </w:rPr>
        <w:t>对比</w:t>
      </w:r>
      <w:r>
        <w:rPr>
          <w:rFonts w:hint="eastAsia" w:ascii="仿宋_GB2312" w:eastAsia="仿宋_GB2312"/>
          <w:sz w:val="30"/>
          <w:szCs w:val="30"/>
          <w:lang w:eastAsia="zh-CN"/>
        </w:rPr>
        <w:t>减少</w:t>
      </w:r>
      <w:r>
        <w:rPr>
          <w:rFonts w:hint="eastAsia" w:ascii="仿宋_GB2312" w:eastAsia="仿宋_GB2312"/>
          <w:sz w:val="30"/>
          <w:szCs w:val="30"/>
          <w:lang w:val="en-US" w:eastAsia="zh-CN"/>
        </w:rPr>
        <w:t>73.42万元</w:t>
      </w:r>
      <w:r>
        <w:rPr>
          <w:rFonts w:hint="eastAsia" w:ascii="仿宋_GB2312" w:eastAsia="仿宋_GB2312"/>
          <w:sz w:val="30"/>
          <w:szCs w:val="30"/>
        </w:rPr>
        <w:t>,主要原因</w:t>
      </w:r>
      <w:r>
        <w:rPr>
          <w:rFonts w:hint="eastAsia" w:ascii="仿宋_GB2312" w:eastAsia="仿宋_GB2312"/>
          <w:sz w:val="30"/>
          <w:szCs w:val="30"/>
          <w:lang w:eastAsia="zh-CN"/>
        </w:rPr>
        <w:t>是上年财政拨入</w:t>
      </w:r>
      <w:r>
        <w:rPr>
          <w:rFonts w:hint="eastAsia" w:ascii="仿宋_GB2312" w:eastAsia="仿宋_GB2312"/>
          <w:sz w:val="30"/>
          <w:szCs w:val="30"/>
          <w:lang w:val="en-US" w:eastAsia="zh-CN"/>
        </w:rPr>
        <w:t>2016年度培训费</w:t>
      </w:r>
      <w:r>
        <w:rPr>
          <w:rFonts w:hint="eastAsia" w:ascii="仿宋_GB2312" w:eastAsia="仿宋_GB2312"/>
          <w:sz w:val="30"/>
          <w:szCs w:val="30"/>
        </w:rPr>
        <w:t>。包括基本工资、津贴补贴等人员经费支出</w:t>
      </w:r>
      <w:r>
        <w:rPr>
          <w:rFonts w:hint="eastAsia" w:ascii="仿宋_GB2312" w:eastAsia="仿宋_GB2312"/>
          <w:sz w:val="30"/>
          <w:szCs w:val="30"/>
          <w:lang w:val="en-US" w:eastAsia="zh-CN"/>
        </w:rPr>
        <w:t>79.37万元</w:t>
      </w:r>
      <w:r>
        <w:rPr>
          <w:rFonts w:hint="eastAsia" w:ascii="仿宋_GB2312" w:eastAsia="仿宋_GB2312"/>
          <w:sz w:val="30"/>
          <w:szCs w:val="30"/>
        </w:rPr>
        <w:t>占基本支出的</w:t>
      </w:r>
      <w:r>
        <w:rPr>
          <w:rFonts w:hint="eastAsia" w:ascii="仿宋_GB2312" w:eastAsia="仿宋_GB2312"/>
          <w:sz w:val="30"/>
          <w:szCs w:val="30"/>
          <w:lang w:val="en-US" w:eastAsia="zh-CN"/>
        </w:rPr>
        <w:t>96</w:t>
      </w:r>
      <w:r>
        <w:rPr>
          <w:rFonts w:hint="eastAsia" w:ascii="仿宋_GB2312" w:eastAsia="仿宋_GB2312"/>
          <w:sz w:val="30"/>
          <w:szCs w:val="30"/>
        </w:rPr>
        <w:t>％；办公费、印刷费、水电费、办公设备购置等日常公用经费</w:t>
      </w:r>
      <w:r>
        <w:rPr>
          <w:rFonts w:hint="eastAsia" w:ascii="仿宋_GB2312" w:eastAsia="仿宋_GB2312"/>
          <w:sz w:val="30"/>
          <w:szCs w:val="30"/>
          <w:lang w:val="en-US" w:eastAsia="zh-CN"/>
        </w:rPr>
        <w:t>3.62</w:t>
      </w:r>
      <w:r>
        <w:rPr>
          <w:rFonts w:hint="eastAsia" w:ascii="仿宋_GB2312" w:eastAsia="仿宋_GB2312"/>
          <w:sz w:val="30"/>
          <w:szCs w:val="30"/>
        </w:rPr>
        <w:t>占基本支出的</w:t>
      </w:r>
      <w:r>
        <w:rPr>
          <w:rFonts w:hint="eastAsia" w:ascii="仿宋_GB2312" w:eastAsia="仿宋_GB2312"/>
          <w:sz w:val="30"/>
          <w:szCs w:val="30"/>
          <w:lang w:val="en-US" w:eastAsia="zh-CN"/>
        </w:rPr>
        <w:t>4</w:t>
      </w:r>
      <w:r>
        <w:rPr>
          <w:rFonts w:hint="eastAsia" w:ascii="仿宋_GB2312" w:eastAsia="仿宋_GB2312"/>
          <w:sz w:val="30"/>
          <w:szCs w:val="30"/>
        </w:rPr>
        <w:t>％。</w:t>
      </w:r>
    </w:p>
    <w:p>
      <w:pPr>
        <w:jc w:val="center"/>
        <w:rPr>
          <w:rFonts w:hint="eastAsia" w:ascii="仿宋_GB2312" w:hAnsi="仿宋" w:eastAsia="仿宋_GB2312"/>
          <w:sz w:val="24"/>
        </w:rPr>
      </w:pPr>
      <w:r>
        <w:rPr>
          <w:rFonts w:hint="eastAsia" w:ascii="仿宋_GB2312" w:hAnsi="仿宋" w:eastAsia="仿宋_GB2312"/>
          <w:sz w:val="24"/>
        </w:rPr>
        <w:t>各项支出占总支出的比重(</w:t>
      </w:r>
      <w:r>
        <w:rPr>
          <w:rFonts w:hint="eastAsia" w:ascii="仿宋_GB2312" w:hAnsi="仿宋" w:eastAsia="仿宋_GB2312"/>
          <w:sz w:val="24"/>
          <w:lang w:eastAsia="zh-CN"/>
        </w:rPr>
        <w:t>如下</w:t>
      </w:r>
      <w:r>
        <w:rPr>
          <w:rFonts w:hint="eastAsia" w:ascii="仿宋_GB2312" w:hAnsi="仿宋" w:eastAsia="仿宋_GB2312"/>
          <w:sz w:val="24"/>
        </w:rPr>
        <w:t>图示)</w:t>
      </w:r>
    </w:p>
    <w:p>
      <w:pPr>
        <w:jc w:val="center"/>
        <w:rPr>
          <w:rFonts w:hint="eastAsia" w:ascii="仿宋_GB2312" w:hAnsi="仿宋" w:eastAsia="仿宋_GB2312"/>
          <w:sz w:val="24"/>
        </w:rPr>
      </w:pPr>
    </w:p>
    <w:p>
      <w:pPr>
        <w:jc w:val="left"/>
        <w:rPr>
          <w:rFonts w:hint="eastAsia"/>
        </w:rPr>
      </w:pPr>
    </w:p>
    <w:p>
      <w:pPr>
        <w:snapToGrid w:val="0"/>
        <w:spacing w:line="360" w:lineRule="auto"/>
        <w:ind w:firstLine="420" w:firstLineChars="200"/>
        <w:outlineLvl w:val="0"/>
        <w:rPr>
          <w:rFonts w:hint="eastAsia" w:ascii="仿宋_GB2312" w:eastAsia="仿宋_GB2312"/>
          <w:sz w:val="30"/>
          <w:szCs w:val="30"/>
        </w:rPr>
      </w:pPr>
      <w:bookmarkStart w:id="0" w:name="_1545546488"/>
      <w:bookmarkEnd w:id="0"/>
      <w:bookmarkStart w:id="1" w:name="_1545546469"/>
      <w:bookmarkEnd w:id="1"/>
      <w:r>
        <w:object>
          <v:shape id="_x0000_i1025" o:spt="75" type="#_x0000_t75" style="height:200.55pt;width:409.9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（二）项目支出情况</w:t>
      </w:r>
    </w:p>
    <w:p>
      <w:pPr>
        <w:ind w:firstLine="588" w:firstLineChars="196"/>
        <w:rPr>
          <w:rFonts w:hint="eastAsia" w:ascii="仿宋_GB2312" w:eastAsia="仿宋_GB2312"/>
          <w:sz w:val="30"/>
          <w:szCs w:val="30"/>
          <w:lang w:val="en-US" w:eastAsia="zh-CN"/>
        </w:rPr>
      </w:pPr>
      <w:r>
        <w:rPr>
          <w:rFonts w:hint="eastAsia" w:ascii="仿宋_GB2312" w:eastAsia="仿宋_GB2312"/>
          <w:sz w:val="30"/>
          <w:szCs w:val="30"/>
          <w:lang w:val="en-US" w:eastAsia="zh-CN"/>
        </w:rPr>
        <w:t>2018</w:t>
      </w:r>
      <w:r>
        <w:rPr>
          <w:rFonts w:hint="eastAsia" w:ascii="仿宋_GB2312" w:eastAsia="仿宋_GB2312"/>
          <w:sz w:val="30"/>
          <w:szCs w:val="30"/>
        </w:rPr>
        <w:t>年度用于保障为促进我州农业生产发展，大力推进高原特色农业现代化建设</w:t>
      </w:r>
      <w:r>
        <w:rPr>
          <w:rFonts w:hint="eastAsia" w:ascii="仿宋_GB2312" w:eastAsia="仿宋_GB2312"/>
          <w:sz w:val="30"/>
          <w:szCs w:val="30"/>
          <w:lang w:eastAsia="zh-CN"/>
        </w:rPr>
        <w:t>，确保</w:t>
      </w:r>
      <w:r>
        <w:rPr>
          <w:rFonts w:hint="eastAsia" w:ascii="仿宋_GB2312" w:eastAsia="仿宋_GB2312"/>
          <w:sz w:val="30"/>
          <w:szCs w:val="30"/>
        </w:rPr>
        <w:t>绿色高质高效创建及稻田综合种养稳粮增收技术培训项目</w:t>
      </w:r>
      <w:r>
        <w:rPr>
          <w:rFonts w:hint="eastAsia" w:ascii="仿宋_GB2312" w:eastAsia="仿宋_GB2312"/>
          <w:sz w:val="30"/>
          <w:szCs w:val="30"/>
          <w:lang w:eastAsia="zh-CN"/>
        </w:rPr>
        <w:t>顺利实施，项目</w:t>
      </w:r>
      <w:r>
        <w:rPr>
          <w:rFonts w:hint="eastAsia" w:ascii="仿宋_GB2312" w:eastAsia="仿宋_GB2312"/>
          <w:sz w:val="30"/>
          <w:szCs w:val="30"/>
        </w:rPr>
        <w:t>经费支出</w:t>
      </w:r>
      <w:r>
        <w:rPr>
          <w:rFonts w:hint="eastAsia" w:ascii="仿宋_GB2312" w:eastAsia="仿宋_GB2312"/>
          <w:sz w:val="30"/>
          <w:szCs w:val="30"/>
          <w:lang w:val="en-US" w:eastAsia="zh-CN"/>
        </w:rPr>
        <w:t>6.05</w:t>
      </w:r>
      <w:r>
        <w:rPr>
          <w:rFonts w:hint="eastAsia" w:ascii="仿宋_GB2312" w:eastAsia="仿宋_GB2312"/>
          <w:sz w:val="30"/>
          <w:szCs w:val="30"/>
        </w:rPr>
        <w:t>万元。上年</w:t>
      </w:r>
      <w:r>
        <w:rPr>
          <w:rFonts w:hint="eastAsia" w:ascii="仿宋_GB2312" w:eastAsia="仿宋_GB2312"/>
          <w:sz w:val="30"/>
          <w:szCs w:val="30"/>
          <w:lang w:eastAsia="zh-CN"/>
        </w:rPr>
        <w:t>无项目</w:t>
      </w:r>
      <w:r>
        <w:rPr>
          <w:rFonts w:hint="eastAsia" w:ascii="仿宋_GB2312" w:eastAsia="仿宋_GB2312"/>
          <w:sz w:val="30"/>
          <w:szCs w:val="30"/>
        </w:rPr>
        <w:t>经费支出</w:t>
      </w:r>
      <w:r>
        <w:rPr>
          <w:rFonts w:hint="eastAsia" w:ascii="仿宋_GB2312" w:eastAsia="仿宋_GB2312"/>
          <w:sz w:val="30"/>
          <w:szCs w:val="30"/>
          <w:lang w:eastAsia="zh-CN"/>
        </w:rPr>
        <w:t>。</w:t>
      </w:r>
      <w:r>
        <w:rPr>
          <w:rFonts w:hint="eastAsia" w:ascii="仿宋_GB2312" w:eastAsia="仿宋_GB2312"/>
          <w:sz w:val="30"/>
          <w:szCs w:val="30"/>
        </w:rPr>
        <w:t>具体项目开支</w:t>
      </w:r>
      <w:r>
        <w:rPr>
          <w:rFonts w:hint="eastAsia" w:ascii="仿宋_GB2312" w:eastAsia="仿宋_GB2312"/>
          <w:sz w:val="30"/>
          <w:szCs w:val="30"/>
          <w:lang w:eastAsia="zh-CN"/>
        </w:rPr>
        <w:t>明细有：培训费</w:t>
      </w:r>
      <w:r>
        <w:rPr>
          <w:rFonts w:hint="eastAsia" w:ascii="仿宋_GB2312" w:eastAsia="仿宋_GB2312"/>
          <w:sz w:val="30"/>
          <w:szCs w:val="30"/>
          <w:lang w:val="en-US" w:eastAsia="zh-CN"/>
        </w:rPr>
        <w:t>5.58万元，差旅费0.3万元，其他交通费0.08万元，资本性支出0.09万元。</w:t>
      </w:r>
    </w:p>
    <w:p>
      <w:pPr>
        <w:ind w:firstLine="588" w:firstLineChars="196"/>
        <w:rPr>
          <w:rFonts w:hint="eastAsia" w:ascii="仿宋_GB2312" w:eastAsia="仿宋_GB2312"/>
          <w:sz w:val="30"/>
          <w:szCs w:val="30"/>
        </w:rPr>
      </w:pPr>
      <w:r>
        <w:rPr>
          <w:rFonts w:hint="eastAsia" w:ascii="仿宋_GB2312" w:eastAsia="仿宋_GB2312"/>
          <w:sz w:val="30"/>
          <w:szCs w:val="30"/>
        </w:rPr>
        <w:t>项目实施</w:t>
      </w:r>
      <w:r>
        <w:rPr>
          <w:rFonts w:hint="eastAsia" w:ascii="仿宋_GB2312" w:eastAsia="仿宋_GB2312"/>
          <w:sz w:val="30"/>
          <w:szCs w:val="30"/>
          <w:lang w:eastAsia="zh-CN"/>
        </w:rPr>
        <w:t>情况主要有</w:t>
      </w:r>
      <w:r>
        <w:rPr>
          <w:rFonts w:hint="eastAsia" w:ascii="仿宋_GB2312" w:eastAsia="仿宋_GB2312"/>
          <w:sz w:val="30"/>
          <w:szCs w:val="30"/>
          <w:lang w:val="en-US" w:eastAsia="zh-CN"/>
        </w:rPr>
        <w:t>2个方面</w:t>
      </w:r>
      <w:r>
        <w:rPr>
          <w:rFonts w:hint="eastAsia" w:ascii="仿宋_GB2312" w:eastAsia="仿宋_GB2312"/>
          <w:sz w:val="30"/>
          <w:szCs w:val="30"/>
        </w:rPr>
        <w:t>：</w:t>
      </w:r>
      <w:r>
        <w:rPr>
          <w:rFonts w:hint="eastAsia" w:ascii="仿宋_GB2312" w:eastAsia="仿宋_GB2312"/>
          <w:sz w:val="30"/>
          <w:szCs w:val="30"/>
          <w:lang w:val="en-US" w:eastAsia="zh-CN"/>
        </w:rPr>
        <w:t>1、</w:t>
      </w:r>
      <w:r>
        <w:rPr>
          <w:rFonts w:hint="eastAsia" w:ascii="仿宋_GB2312" w:eastAsia="仿宋_GB2312"/>
          <w:sz w:val="30"/>
          <w:szCs w:val="30"/>
        </w:rPr>
        <w:t>在芒市大湾村委会锅盖石村民小组、五岔路白岩村民小组开展稻田综合种养稳粮增收技术培训3期， 128人，（其中建档立卡户18人）</w:t>
      </w: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rPr>
        <w:t>水稻、玉米、马铃薯、油菜绿色高质高效创建。在芒市遮放镇遮告村小组、五岔路乡、风平镇法帕村委会、勐戛镇芒牛坝村委会、勐戛村委会、盈江县太平镇大寨村委会、旧城镇拉勐村委会、陇城子镇城子村委会永幸村民小组、章风镇弄贯村委会光相村民小组开展绿色高质高效创建技术培训10期，845人（其中建档立卡户196人）。</w:t>
      </w:r>
    </w:p>
    <w:p>
      <w:pPr>
        <w:ind w:firstLine="640" w:firstLineChars="200"/>
        <w:rPr>
          <w:rFonts w:hint="eastAsia" w:ascii="方正仿宋_GBK" w:eastAsia="方正仿宋_GBK"/>
          <w:sz w:val="32"/>
          <w:szCs w:val="32"/>
        </w:rPr>
      </w:pPr>
    </w:p>
    <w:p>
      <w:pPr>
        <w:snapToGrid w:val="0"/>
        <w:spacing w:line="360" w:lineRule="auto"/>
        <w:ind w:firstLine="420" w:firstLineChars="200"/>
        <w:outlineLvl w:val="0"/>
      </w:pPr>
      <w:r>
        <w:object>
          <v:shape id="_x0000_i1026" o:spt="75" type="#_x0000_t75" style="height:200.55pt;width:409.9pt;" o:ole="t" filled="f" o:preferrelative="t" stroked="f" coordsize="21600,21600">
            <v:path/>
            <v:fill on="f" focussize="0,0"/>
            <v:stroke on="f"/>
            <v:imagedata r:id="rId10" o:title=""/>
            <o:lock v:ext="edit" aspectratio="t"/>
            <w10:wrap type="none"/>
            <w10:anchorlock/>
          </v:shape>
          <o:OLEObject Type="Embed" ProgID="Excel.Chart.8" ShapeID="_x0000_i1026" DrawAspect="Content" ObjectID="_1468075726" r:id="rId9">
            <o:LockedField>false</o:LockedField>
          </o:OLEObject>
        </w:object>
      </w:r>
    </w:p>
    <w:p>
      <w:pPr>
        <w:snapToGrid w:val="0"/>
        <w:spacing w:line="360" w:lineRule="auto"/>
        <w:ind w:firstLine="420" w:firstLineChars="200"/>
        <w:outlineLvl w:val="0"/>
      </w:pPr>
    </w:p>
    <w:p>
      <w:pPr>
        <w:snapToGrid w:val="0"/>
        <w:spacing w:line="360" w:lineRule="auto"/>
        <w:ind w:firstLine="600" w:firstLineChars="200"/>
        <w:outlineLvl w:val="0"/>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rPr>
      </w:pPr>
      <w:r>
        <w:rPr>
          <w:rFonts w:hint="eastAsia" w:ascii="仿宋_GB2312" w:eastAsia="仿宋_GB2312"/>
          <w:sz w:val="30"/>
          <w:szCs w:val="30"/>
          <w:lang w:val="en-US" w:eastAsia="zh-CN"/>
        </w:rPr>
        <w:t>州农业广播电视学校2018</w:t>
      </w:r>
      <w:r>
        <w:rPr>
          <w:rFonts w:hint="eastAsia" w:ascii="仿宋_GB2312" w:eastAsia="仿宋_GB2312"/>
          <w:sz w:val="30"/>
          <w:szCs w:val="30"/>
        </w:rPr>
        <w:t>年度一般公共预算财政拨款支出</w:t>
      </w:r>
      <w:r>
        <w:rPr>
          <w:rFonts w:hint="eastAsia" w:ascii="仿宋_GB2312" w:hAnsi="宋体" w:eastAsia="仿宋_GB2312" w:cs="Arial"/>
          <w:kern w:val="0"/>
          <w:sz w:val="30"/>
          <w:szCs w:val="30"/>
          <w:lang w:val="en-US" w:eastAsia="zh-CN"/>
        </w:rPr>
        <w:t>89.04</w:t>
      </w:r>
      <w:r>
        <w:rPr>
          <w:rFonts w:hint="eastAsia" w:ascii="仿宋_GB2312" w:hAnsi="宋体" w:eastAsia="仿宋_GB2312" w:cs="Arial"/>
          <w:kern w:val="0"/>
          <w:sz w:val="30"/>
          <w:szCs w:val="30"/>
        </w:rPr>
        <w:t>万元,占本年支出合计的</w:t>
      </w:r>
      <w:r>
        <w:rPr>
          <w:rFonts w:hint="eastAsia" w:ascii="仿宋_GB2312" w:eastAsia="仿宋_GB2312"/>
          <w:sz w:val="30"/>
          <w:szCs w:val="30"/>
          <w:lang w:val="en-US" w:eastAsia="zh-CN"/>
        </w:rPr>
        <w:t>100</w:t>
      </w:r>
      <w:r>
        <w:rPr>
          <w:rFonts w:hint="eastAsia" w:ascii="仿宋_GB2312" w:hAnsi="宋体" w:eastAsia="仿宋_GB2312" w:cs="Arial"/>
          <w:kern w:val="0"/>
          <w:sz w:val="30"/>
          <w:szCs w:val="30"/>
        </w:rPr>
        <w:t>%。与上年</w:t>
      </w:r>
      <w:r>
        <w:rPr>
          <w:rFonts w:hint="eastAsia" w:ascii="仿宋_GB2312" w:hAnsi="宋体" w:eastAsia="仿宋_GB2312" w:cs="Arial"/>
          <w:kern w:val="0"/>
          <w:sz w:val="30"/>
          <w:szCs w:val="30"/>
          <w:lang w:eastAsia="zh-CN"/>
        </w:rPr>
        <w:t>支出</w:t>
      </w:r>
      <w:r>
        <w:rPr>
          <w:rFonts w:hint="eastAsia" w:ascii="仿宋_GB2312" w:hAnsi="宋体" w:eastAsia="仿宋_GB2312" w:cs="Arial"/>
          <w:kern w:val="0"/>
          <w:sz w:val="30"/>
          <w:szCs w:val="30"/>
          <w:lang w:val="en-US" w:eastAsia="zh-CN"/>
        </w:rPr>
        <w:t>161.91万元</w:t>
      </w:r>
      <w:r>
        <w:rPr>
          <w:rFonts w:hint="eastAsia" w:ascii="仿宋_GB2312" w:hAnsi="宋体" w:eastAsia="仿宋_GB2312" w:cs="Arial"/>
          <w:kern w:val="0"/>
          <w:sz w:val="30"/>
          <w:szCs w:val="30"/>
        </w:rPr>
        <w:t>对比</w:t>
      </w:r>
      <w:r>
        <w:rPr>
          <w:rFonts w:hint="eastAsia" w:ascii="仿宋_GB2312" w:hAnsi="宋体" w:eastAsia="仿宋_GB2312" w:cs="Arial"/>
          <w:kern w:val="0"/>
          <w:sz w:val="30"/>
          <w:szCs w:val="30"/>
          <w:lang w:eastAsia="zh-CN"/>
        </w:rPr>
        <w:t>减少</w:t>
      </w:r>
      <w:r>
        <w:rPr>
          <w:rFonts w:hint="eastAsia" w:ascii="仿宋_GB2312" w:hAnsi="宋体" w:eastAsia="仿宋_GB2312" w:cs="Arial"/>
          <w:kern w:val="0"/>
          <w:sz w:val="30"/>
          <w:szCs w:val="30"/>
          <w:lang w:val="en-US" w:eastAsia="zh-CN"/>
        </w:rPr>
        <w:t>82.87万元</w:t>
      </w:r>
      <w:r>
        <w:rPr>
          <w:rFonts w:hint="eastAsia" w:ascii="仿宋_GB2312" w:eastAsia="仿宋_GB2312"/>
          <w:sz w:val="30"/>
          <w:szCs w:val="30"/>
        </w:rPr>
        <w:t>,主要</w:t>
      </w:r>
      <w:r>
        <w:rPr>
          <w:rFonts w:hint="eastAsia" w:ascii="仿宋_GB2312" w:hAnsi="宋体" w:eastAsia="仿宋_GB2312" w:cs="Arial"/>
          <w:kern w:val="0"/>
          <w:sz w:val="30"/>
          <w:szCs w:val="30"/>
        </w:rPr>
        <w:t>原因</w:t>
      </w:r>
      <w:r>
        <w:rPr>
          <w:rFonts w:hint="eastAsia" w:ascii="仿宋_GB2312" w:hAnsi="宋体" w:eastAsia="仿宋_GB2312" w:cs="Arial"/>
          <w:kern w:val="0"/>
          <w:sz w:val="30"/>
          <w:szCs w:val="30"/>
          <w:lang w:eastAsia="zh-CN"/>
        </w:rPr>
        <w:t>是</w:t>
      </w:r>
      <w:r>
        <w:rPr>
          <w:rFonts w:hint="eastAsia" w:ascii="仿宋_GB2312" w:eastAsia="仿宋_GB2312"/>
          <w:sz w:val="30"/>
          <w:szCs w:val="30"/>
          <w:lang w:eastAsia="zh-CN"/>
        </w:rPr>
        <w:t>上年度财政</w:t>
      </w:r>
      <w:r>
        <w:rPr>
          <w:rFonts w:hint="eastAsia" w:ascii="仿宋_GB2312" w:hAnsi="宋体" w:eastAsia="仿宋_GB2312" w:cs="Arial"/>
          <w:kern w:val="0"/>
          <w:sz w:val="30"/>
          <w:szCs w:val="30"/>
          <w:lang w:eastAsia="zh-CN"/>
        </w:rPr>
        <w:t>返还</w:t>
      </w:r>
      <w:r>
        <w:rPr>
          <w:rFonts w:hint="eastAsia" w:ascii="仿宋_GB2312" w:hAnsi="宋体" w:eastAsia="仿宋_GB2312" w:cs="Arial"/>
          <w:kern w:val="0"/>
          <w:sz w:val="30"/>
          <w:szCs w:val="30"/>
          <w:lang w:val="en-US" w:eastAsia="zh-CN"/>
        </w:rPr>
        <w:t>2016年培训费86.9万元，增加了</w:t>
      </w:r>
      <w:r>
        <w:rPr>
          <w:rFonts w:hint="eastAsia" w:ascii="仿宋_GB2312" w:eastAsia="仿宋_GB2312"/>
          <w:sz w:val="30"/>
          <w:szCs w:val="30"/>
          <w:lang w:val="en-US" w:eastAsia="zh-CN"/>
        </w:rPr>
        <w:t>2017</w:t>
      </w:r>
      <w:r>
        <w:rPr>
          <w:rFonts w:hint="eastAsia" w:ascii="仿宋_GB2312" w:eastAsia="仿宋_GB2312"/>
          <w:sz w:val="30"/>
          <w:szCs w:val="30"/>
        </w:rPr>
        <w:t>年度一般公共预算财政拨款支出</w:t>
      </w:r>
      <w:r>
        <w:rPr>
          <w:rFonts w:hint="eastAsia" w:ascii="仿宋_GB2312" w:eastAsia="仿宋_GB2312"/>
          <w:sz w:val="30"/>
          <w:szCs w:val="30"/>
          <w:lang w:eastAsia="zh-CN"/>
        </w:rPr>
        <w:t>数</w:t>
      </w:r>
      <w:r>
        <w:rPr>
          <w:rFonts w:hint="eastAsia" w:ascii="仿宋_GB2312" w:hAnsi="宋体" w:eastAsia="仿宋_GB2312" w:cs="Arial"/>
          <w:kern w:val="0"/>
          <w:sz w:val="30"/>
          <w:szCs w:val="30"/>
        </w:rPr>
        <w:t>。</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1.一般公共服务（类）支出</w:t>
      </w:r>
      <w:r>
        <w:rPr>
          <w:rFonts w:hint="eastAsia" w:ascii="仿宋_GB2312" w:hAnsi="宋体" w:eastAsia="仿宋_GB2312" w:cs="Arial"/>
          <w:kern w:val="0"/>
          <w:sz w:val="30"/>
          <w:szCs w:val="30"/>
          <w:lang w:val="en-US" w:eastAsia="zh-CN"/>
        </w:rPr>
        <w:t>89.04</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100</w:t>
      </w:r>
      <w:r>
        <w:rPr>
          <w:rFonts w:hint="eastAsia" w:ascii="仿宋_GB2312" w:eastAsia="仿宋_GB2312"/>
          <w:sz w:val="30"/>
          <w:szCs w:val="30"/>
        </w:rPr>
        <w:t>%。</w:t>
      </w:r>
      <w:r>
        <w:rPr>
          <w:rFonts w:hint="eastAsia" w:ascii="仿宋_GB2312" w:hAnsi="宋体" w:eastAsia="仿宋_GB2312" w:cs="Arial"/>
          <w:kern w:val="0"/>
          <w:sz w:val="30"/>
          <w:szCs w:val="30"/>
        </w:rPr>
        <w:t>主要用于</w:t>
      </w:r>
      <w:r>
        <w:rPr>
          <w:rFonts w:hint="eastAsia" w:ascii="仿宋_GB2312" w:hAnsi="宋体" w:eastAsia="仿宋_GB2312" w:cs="Arial"/>
          <w:kern w:val="0"/>
          <w:sz w:val="30"/>
          <w:szCs w:val="30"/>
          <w:lang w:eastAsia="zh-CN"/>
        </w:rPr>
        <w:t>工资福利支出</w:t>
      </w:r>
      <w:r>
        <w:rPr>
          <w:rFonts w:hint="eastAsia" w:ascii="仿宋_GB2312" w:hAnsi="宋体" w:eastAsia="仿宋_GB2312" w:cs="Arial"/>
          <w:kern w:val="0"/>
          <w:sz w:val="30"/>
          <w:szCs w:val="30"/>
          <w:lang w:val="en-US" w:eastAsia="zh-CN"/>
        </w:rPr>
        <w:t>79.37万元，商品和服务支出8.77万元，资本性支出0.9万元</w:t>
      </w:r>
      <w:r>
        <w:rPr>
          <w:rFonts w:hint="eastAsia" w:ascii="仿宋_GB2312" w:hAnsi="宋体" w:eastAsia="仿宋_GB2312" w:cs="Arial"/>
          <w:kern w:val="0"/>
          <w:sz w:val="30"/>
          <w:szCs w:val="30"/>
        </w:rPr>
        <w:t>；</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2.</w:t>
      </w:r>
      <w:r>
        <w:rPr>
          <w:rFonts w:hint="eastAsia" w:ascii="仿宋_GB2312" w:hAnsi="宋体" w:eastAsia="仿宋_GB2312" w:cs="Arial"/>
          <w:kern w:val="0"/>
          <w:sz w:val="30"/>
          <w:szCs w:val="30"/>
          <w:lang w:eastAsia="zh-CN"/>
        </w:rPr>
        <w:t>无</w:t>
      </w:r>
      <w:r>
        <w:rPr>
          <w:rFonts w:hint="eastAsia" w:ascii="仿宋_GB2312" w:hAnsi="宋体" w:eastAsia="仿宋_GB2312" w:cs="Arial"/>
          <w:kern w:val="0"/>
          <w:sz w:val="30"/>
          <w:szCs w:val="30"/>
        </w:rPr>
        <w:t>外交（类）支出</w:t>
      </w:r>
      <w:r>
        <w:rPr>
          <w:rFonts w:hint="eastAsia" w:ascii="仿宋_GB2312" w:eastAsia="仿宋_GB2312"/>
          <w:sz w:val="30"/>
          <w:szCs w:val="30"/>
        </w:rPr>
        <w:t>XX</w:t>
      </w:r>
      <w:r>
        <w:rPr>
          <w:rFonts w:hint="eastAsia" w:ascii="仿宋_GB2312" w:hAnsi="宋体" w:eastAsia="仿宋_GB2312" w:cs="Arial"/>
          <w:kern w:val="0"/>
          <w:sz w:val="30"/>
          <w:szCs w:val="30"/>
        </w:rPr>
        <w:t>万元；</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3.</w:t>
      </w:r>
      <w:r>
        <w:rPr>
          <w:rFonts w:hint="eastAsia" w:ascii="仿宋_GB2312" w:hAnsi="宋体" w:eastAsia="仿宋_GB2312" w:cs="Arial"/>
          <w:kern w:val="0"/>
          <w:sz w:val="30"/>
          <w:szCs w:val="30"/>
          <w:lang w:eastAsia="zh-CN"/>
        </w:rPr>
        <w:t>无</w:t>
      </w:r>
      <w:r>
        <w:rPr>
          <w:rFonts w:hint="eastAsia" w:ascii="仿宋_GB2312" w:hAnsi="宋体" w:eastAsia="仿宋_GB2312" w:cs="Arial"/>
          <w:kern w:val="0"/>
          <w:sz w:val="30"/>
          <w:szCs w:val="30"/>
        </w:rPr>
        <w:t>国防（类）支出</w:t>
      </w:r>
      <w:r>
        <w:rPr>
          <w:rFonts w:hint="eastAsia" w:ascii="仿宋_GB2312" w:eastAsia="仿宋_GB2312"/>
          <w:sz w:val="30"/>
          <w:szCs w:val="30"/>
        </w:rPr>
        <w:t>XX</w:t>
      </w:r>
      <w:r>
        <w:rPr>
          <w:rFonts w:hint="eastAsia" w:ascii="仿宋_GB2312" w:hAnsi="宋体" w:eastAsia="仿宋_GB2312" w:cs="Arial"/>
          <w:kern w:val="0"/>
          <w:sz w:val="30"/>
          <w:szCs w:val="30"/>
        </w:rPr>
        <w:t>万元；</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4.</w:t>
      </w:r>
      <w:r>
        <w:rPr>
          <w:rFonts w:hint="eastAsia" w:ascii="仿宋_GB2312" w:hAnsi="宋体" w:eastAsia="仿宋_GB2312" w:cs="Arial"/>
          <w:kern w:val="0"/>
          <w:sz w:val="30"/>
          <w:szCs w:val="30"/>
          <w:lang w:eastAsia="zh-CN"/>
        </w:rPr>
        <w:t>无</w:t>
      </w:r>
      <w:r>
        <w:rPr>
          <w:rFonts w:hint="eastAsia" w:ascii="仿宋_GB2312" w:hAnsi="宋体" w:eastAsia="仿宋_GB2312" w:cs="Arial"/>
          <w:kern w:val="0"/>
          <w:sz w:val="30"/>
          <w:szCs w:val="30"/>
        </w:rPr>
        <w:t>公共安全（类）支出</w:t>
      </w:r>
      <w:r>
        <w:rPr>
          <w:rFonts w:hint="eastAsia" w:ascii="仿宋_GB2312" w:eastAsia="仿宋_GB2312"/>
          <w:sz w:val="30"/>
          <w:szCs w:val="30"/>
        </w:rPr>
        <w:t>XX</w:t>
      </w:r>
      <w:r>
        <w:rPr>
          <w:rFonts w:hint="eastAsia" w:ascii="仿宋_GB2312" w:hAnsi="宋体" w:eastAsia="仿宋_GB2312" w:cs="Arial"/>
          <w:kern w:val="0"/>
          <w:sz w:val="30"/>
          <w:szCs w:val="30"/>
        </w:rPr>
        <w:t>万元。</w:t>
      </w:r>
    </w:p>
    <w:p>
      <w:pPr>
        <w:widowControl/>
        <w:snapToGrid w:val="0"/>
        <w:spacing w:before="100" w:after="100" w:line="360" w:lineRule="auto"/>
        <w:ind w:firstLine="420" w:firstLineChars="200"/>
        <w:jc w:val="left"/>
        <w:rPr>
          <w:rFonts w:hint="eastAsia" w:ascii="仿宋_GB2312" w:hAnsi="宋体" w:eastAsia="仿宋_GB2312" w:cs="Arial"/>
          <w:kern w:val="0"/>
          <w:sz w:val="30"/>
          <w:szCs w:val="30"/>
        </w:rPr>
      </w:pPr>
      <w:r>
        <w:object>
          <v:shape id="_x0000_i1027" o:spt="75" type="#_x0000_t75" style="height:200.55pt;width:409.9pt;" o:ole="t" filled="f" o:preferrelative="t" stroked="f" coordsize="21600,21600">
            <v:path/>
            <v:fill on="f" focussize="0,0"/>
            <v:stroke on="f"/>
            <v:imagedata r:id="rId12" o:title=""/>
            <o:lock v:ext="edit" aspectratio="t"/>
            <w10:wrap type="none"/>
            <w10:anchorlock/>
          </v:shape>
          <o:OLEObject Type="Embed" ProgID="Excel.Chart.8" ShapeID="_x0000_i1027" DrawAspect="Content" ObjectID="_1468075727" r:id="rId11">
            <o:LockedField>false</o:LockedField>
          </o:OLEObject>
        </w:objec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（说明可细化到项级科目，同时各部门可结合实际制作支出占比分布图表等）</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州农业广播电视学校2018</w:t>
      </w:r>
      <w:r>
        <w:rPr>
          <w:rFonts w:hint="eastAsia" w:ascii="仿宋_GB2312" w:eastAsia="仿宋_GB2312"/>
          <w:sz w:val="30"/>
          <w:szCs w:val="30"/>
        </w:rPr>
        <w:t>年度一般公共预算财政拨款“三公”经费支出预算为</w:t>
      </w:r>
      <w:r>
        <w:rPr>
          <w:rFonts w:hint="eastAsia" w:ascii="仿宋_GB2312" w:eastAsia="仿宋_GB2312"/>
          <w:sz w:val="30"/>
          <w:szCs w:val="30"/>
          <w:lang w:val="en-US" w:eastAsia="zh-CN"/>
        </w:rPr>
        <w:t>0.35</w:t>
      </w:r>
      <w:r>
        <w:rPr>
          <w:rFonts w:hint="eastAsia" w:ascii="仿宋_GB2312" w:eastAsia="仿宋_GB2312"/>
          <w:sz w:val="30"/>
          <w:szCs w:val="30"/>
        </w:rPr>
        <w:t>万元，支出决算为</w:t>
      </w:r>
      <w:r>
        <w:rPr>
          <w:rFonts w:hint="eastAsia" w:ascii="仿宋_GB2312" w:eastAsia="仿宋_GB2312"/>
          <w:sz w:val="30"/>
          <w:szCs w:val="30"/>
          <w:lang w:val="en-US" w:eastAsia="zh-CN"/>
        </w:rPr>
        <w:t>0</w:t>
      </w:r>
      <w:r>
        <w:rPr>
          <w:rFonts w:hint="eastAsia" w:ascii="仿宋_GB2312" w:eastAsia="仿宋_GB2312"/>
          <w:sz w:val="30"/>
          <w:szCs w:val="30"/>
        </w:rPr>
        <w:t>万元，</w:t>
      </w:r>
      <w:r>
        <w:rPr>
          <w:rFonts w:hint="eastAsia" w:ascii="仿宋_GB2312" w:eastAsia="仿宋_GB2312"/>
          <w:sz w:val="30"/>
          <w:szCs w:val="30"/>
          <w:lang w:eastAsia="zh-CN"/>
        </w:rPr>
        <w:t>本部门</w:t>
      </w:r>
      <w:r>
        <w:rPr>
          <w:rFonts w:hint="eastAsia" w:ascii="仿宋_GB2312" w:eastAsia="仿宋_GB2312"/>
          <w:sz w:val="30"/>
          <w:szCs w:val="30"/>
          <w:lang w:val="en-US" w:eastAsia="zh-CN"/>
        </w:rPr>
        <w:t>2018年度</w:t>
      </w:r>
      <w:r>
        <w:rPr>
          <w:rFonts w:hint="eastAsia" w:ascii="仿宋_GB2312" w:eastAsia="仿宋_GB2312"/>
          <w:sz w:val="30"/>
          <w:szCs w:val="30"/>
          <w:lang w:eastAsia="zh-CN"/>
        </w:rPr>
        <w:t>无因</w:t>
      </w:r>
      <w:r>
        <w:rPr>
          <w:rFonts w:hint="eastAsia" w:ascii="仿宋_GB2312" w:eastAsia="仿宋_GB2312"/>
          <w:sz w:val="30"/>
          <w:szCs w:val="30"/>
        </w:rPr>
        <w:t>公出国（境）费支出</w:t>
      </w:r>
      <w:r>
        <w:rPr>
          <w:rFonts w:hint="eastAsia" w:ascii="仿宋_GB2312" w:eastAsia="仿宋_GB2312"/>
          <w:sz w:val="30"/>
          <w:szCs w:val="30"/>
          <w:lang w:eastAsia="zh-CN"/>
        </w:rPr>
        <w:t>，无</w:t>
      </w:r>
      <w:r>
        <w:rPr>
          <w:rFonts w:hint="eastAsia" w:ascii="仿宋_GB2312" w:eastAsia="仿宋_GB2312"/>
          <w:sz w:val="30"/>
          <w:szCs w:val="30"/>
        </w:rPr>
        <w:t>公务用车购置及运行费支出</w:t>
      </w:r>
      <w:r>
        <w:rPr>
          <w:rFonts w:hint="eastAsia" w:ascii="仿宋_GB2312" w:eastAsia="仿宋_GB2312"/>
          <w:sz w:val="30"/>
          <w:szCs w:val="30"/>
          <w:lang w:eastAsia="zh-CN"/>
        </w:rPr>
        <w:t>，无</w:t>
      </w:r>
      <w:r>
        <w:rPr>
          <w:rFonts w:hint="eastAsia" w:ascii="仿宋_GB2312" w:eastAsia="仿宋_GB2312"/>
          <w:sz w:val="30"/>
          <w:szCs w:val="30"/>
        </w:rPr>
        <w:t>公务接待费支出</w:t>
      </w:r>
      <w:r>
        <w:rPr>
          <w:rFonts w:hint="eastAsia" w:ascii="仿宋_GB2312" w:eastAsia="仿宋_GB2312"/>
          <w:sz w:val="30"/>
          <w:szCs w:val="30"/>
          <w:lang w:eastAsia="zh-CN"/>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年度一般公共预算财政拨款“三公”经费支出决算中，因公出国（境）费支出</w:t>
      </w:r>
      <w:r>
        <w:rPr>
          <w:rFonts w:hint="eastAsia" w:ascii="仿宋_GB2312" w:eastAsia="仿宋_GB2312"/>
          <w:sz w:val="30"/>
          <w:szCs w:val="30"/>
          <w:lang w:val="en-US" w:eastAsia="zh-CN"/>
        </w:rPr>
        <w:t>0</w:t>
      </w:r>
      <w:r>
        <w:rPr>
          <w:rFonts w:hint="eastAsia" w:ascii="仿宋_GB2312" w:eastAsia="仿宋_GB2312"/>
          <w:sz w:val="30"/>
          <w:szCs w:val="30"/>
        </w:rPr>
        <w:t>万元；公务用车购置及运行维护费支出</w:t>
      </w:r>
      <w:r>
        <w:rPr>
          <w:rFonts w:hint="eastAsia" w:ascii="仿宋_GB2312" w:eastAsia="仿宋_GB2312"/>
          <w:sz w:val="30"/>
          <w:szCs w:val="30"/>
          <w:lang w:val="en-US" w:eastAsia="zh-CN"/>
        </w:rPr>
        <w:t>0</w:t>
      </w:r>
      <w:r>
        <w:rPr>
          <w:rFonts w:hint="eastAsia" w:ascii="仿宋_GB2312" w:eastAsia="仿宋_GB2312"/>
          <w:sz w:val="30"/>
          <w:szCs w:val="30"/>
        </w:rPr>
        <w:t>万元；公务接待费支出</w:t>
      </w:r>
      <w:r>
        <w:rPr>
          <w:rFonts w:hint="eastAsia" w:ascii="仿宋_GB2312" w:eastAsia="仿宋_GB2312"/>
          <w:sz w:val="30"/>
          <w:szCs w:val="30"/>
          <w:lang w:val="en-US" w:eastAsia="zh-CN"/>
        </w:rPr>
        <w:t>0</w:t>
      </w:r>
      <w:r>
        <w:rPr>
          <w:rFonts w:hint="eastAsia" w:ascii="仿宋_GB2312" w:eastAsia="仿宋_GB2312"/>
          <w:sz w:val="30"/>
          <w:szCs w:val="30"/>
        </w:rPr>
        <w:t>万元。</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w:t>
      </w:r>
      <w:r>
        <w:rPr>
          <w:rFonts w:hint="eastAsia" w:ascii="仿宋_GB2312" w:eastAsia="仿宋_GB2312"/>
          <w:sz w:val="30"/>
          <w:szCs w:val="30"/>
          <w:lang w:eastAsia="zh-CN"/>
        </w:rPr>
        <w:t>，本部门无公务用车。</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本</w:t>
      </w:r>
      <w:r>
        <w:rPr>
          <w:rFonts w:hint="eastAsia" w:ascii="仿宋_GB2312" w:hAnsi="黑体" w:eastAsia="仿宋_GB2312" w:cs="方正小标宋简体"/>
          <w:sz w:val="30"/>
          <w:szCs w:val="30"/>
        </w:rPr>
        <w:t>部门</w:t>
      </w:r>
      <w:r>
        <w:rPr>
          <w:rFonts w:hint="eastAsia" w:ascii="仿宋_GB2312" w:hAnsi="黑体" w:eastAsia="仿宋_GB2312" w:cs="方正小标宋简体"/>
          <w:sz w:val="30"/>
          <w:szCs w:val="30"/>
          <w:lang w:eastAsia="zh-CN"/>
        </w:rPr>
        <w:t>属于事业单位，无机关运行经费支出情况。</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pPr>
        <w:widowControl/>
        <w:ind w:firstLine="600" w:firstLineChars="200"/>
        <w:rPr>
          <w:rFonts w:hint="eastAsia" w:ascii="仿宋_GB2312" w:hAnsi="黑体" w:eastAsia="仿宋_GB2312" w:cs="方正小标宋简体"/>
          <w:color w:val="000000"/>
          <w:kern w:val="0"/>
          <w:sz w:val="30"/>
          <w:szCs w:val="30"/>
        </w:rPr>
      </w:pPr>
      <w:r>
        <w:rPr>
          <w:rFonts w:hint="eastAsia" w:ascii="仿宋_GB2312" w:hAnsi="黑体" w:eastAsia="仿宋_GB2312" w:cs="方正小标宋简体"/>
          <w:color w:val="000000"/>
          <w:kern w:val="0"/>
          <w:sz w:val="30"/>
          <w:szCs w:val="30"/>
        </w:rPr>
        <w:t>截至201</w:t>
      </w:r>
      <w:r>
        <w:rPr>
          <w:rFonts w:hint="eastAsia" w:ascii="仿宋_GB2312" w:hAnsi="黑体" w:eastAsia="仿宋_GB2312" w:cs="方正小标宋简体"/>
          <w:color w:val="000000"/>
          <w:kern w:val="0"/>
          <w:sz w:val="30"/>
          <w:szCs w:val="30"/>
          <w:lang w:val="en-US" w:eastAsia="zh-CN"/>
        </w:rPr>
        <w:t>8</w:t>
      </w:r>
      <w:r>
        <w:rPr>
          <w:rFonts w:hint="eastAsia" w:ascii="仿宋_GB2312" w:hAnsi="黑体" w:eastAsia="仿宋_GB2312" w:cs="方正小标宋简体"/>
          <w:color w:val="000000"/>
          <w:kern w:val="0"/>
          <w:sz w:val="30"/>
          <w:szCs w:val="30"/>
        </w:rPr>
        <w:t>年12月31日，</w:t>
      </w:r>
      <w:r>
        <w:rPr>
          <w:rFonts w:hint="eastAsia" w:ascii="仿宋_GB2312" w:hAnsi="黑体" w:eastAsia="仿宋_GB2312" w:cs="方正小标宋简体"/>
          <w:color w:val="000000"/>
          <w:kern w:val="0"/>
          <w:sz w:val="30"/>
          <w:szCs w:val="30"/>
          <w:lang w:eastAsia="zh-CN"/>
        </w:rPr>
        <w:t>本</w:t>
      </w:r>
      <w:r>
        <w:rPr>
          <w:rFonts w:hint="eastAsia" w:ascii="仿宋_GB2312" w:hAnsi="黑体" w:eastAsia="仿宋_GB2312" w:cs="方正小标宋简体"/>
          <w:color w:val="000000"/>
          <w:kern w:val="0"/>
          <w:sz w:val="30"/>
          <w:szCs w:val="30"/>
        </w:rPr>
        <w:t>部门资产总额</w:t>
      </w:r>
      <w:r>
        <w:rPr>
          <w:rFonts w:hint="eastAsia" w:ascii="仿宋_GB2312" w:hAnsi="黑体" w:eastAsia="仿宋_GB2312" w:cs="方正小标宋简体"/>
          <w:color w:val="000000"/>
          <w:kern w:val="0"/>
          <w:sz w:val="30"/>
          <w:szCs w:val="30"/>
          <w:lang w:val="en-US" w:eastAsia="zh-CN"/>
        </w:rPr>
        <w:t>42.11</w:t>
      </w:r>
      <w:r>
        <w:rPr>
          <w:rFonts w:hint="eastAsia" w:ascii="仿宋_GB2312" w:hAnsi="黑体" w:eastAsia="仿宋_GB2312" w:cs="方正小标宋简体"/>
          <w:color w:val="000000"/>
          <w:kern w:val="0"/>
          <w:sz w:val="30"/>
          <w:szCs w:val="30"/>
        </w:rPr>
        <w:t>万元，其中，流动资产</w:t>
      </w:r>
      <w:r>
        <w:rPr>
          <w:rFonts w:hint="eastAsia" w:ascii="仿宋_GB2312" w:hAnsi="黑体" w:eastAsia="仿宋_GB2312" w:cs="方正小标宋简体"/>
          <w:color w:val="000000"/>
          <w:kern w:val="0"/>
          <w:sz w:val="30"/>
          <w:szCs w:val="30"/>
          <w:lang w:val="en-US" w:eastAsia="zh-CN"/>
        </w:rPr>
        <w:t>13.22</w:t>
      </w:r>
      <w:r>
        <w:rPr>
          <w:rFonts w:hint="eastAsia" w:ascii="仿宋_GB2312" w:hAnsi="黑体" w:eastAsia="仿宋_GB2312" w:cs="方正小标宋简体"/>
          <w:color w:val="000000"/>
          <w:kern w:val="0"/>
          <w:sz w:val="30"/>
          <w:szCs w:val="30"/>
        </w:rPr>
        <w:t>万元，固定资产</w:t>
      </w:r>
      <w:r>
        <w:rPr>
          <w:rFonts w:hint="eastAsia" w:ascii="仿宋_GB2312" w:hAnsi="黑体" w:eastAsia="仿宋_GB2312" w:cs="方正小标宋简体"/>
          <w:color w:val="000000"/>
          <w:kern w:val="0"/>
          <w:sz w:val="30"/>
          <w:szCs w:val="30"/>
          <w:lang w:val="en-US" w:eastAsia="zh-CN"/>
        </w:rPr>
        <w:t>27.99</w:t>
      </w:r>
      <w:r>
        <w:rPr>
          <w:rFonts w:hint="eastAsia" w:ascii="仿宋_GB2312" w:hAnsi="黑体" w:eastAsia="仿宋_GB2312" w:cs="方正小标宋简体"/>
          <w:color w:val="000000"/>
          <w:kern w:val="0"/>
          <w:sz w:val="30"/>
          <w:szCs w:val="30"/>
        </w:rPr>
        <w:t>万元，对外投资及有价证券</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万元，在建工程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万元，无形资产</w:t>
      </w:r>
      <w:r>
        <w:rPr>
          <w:rFonts w:hint="eastAsia" w:ascii="仿宋_GB2312" w:hAnsi="黑体" w:eastAsia="仿宋_GB2312" w:cs="方正小标宋简体"/>
          <w:color w:val="000000"/>
          <w:kern w:val="0"/>
          <w:sz w:val="30"/>
          <w:szCs w:val="30"/>
          <w:lang w:val="en-US" w:eastAsia="zh-CN"/>
        </w:rPr>
        <w:t>0.9</w:t>
      </w:r>
      <w:r>
        <w:rPr>
          <w:rFonts w:hint="eastAsia" w:ascii="仿宋_GB2312" w:hAnsi="黑体" w:eastAsia="仿宋_GB2312" w:cs="方正小标宋简体"/>
          <w:color w:val="000000"/>
          <w:kern w:val="0"/>
          <w:sz w:val="30"/>
          <w:szCs w:val="30"/>
        </w:rPr>
        <w:t>万元，其他资产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万元（具体内容详见附表）。与上年相比，本年资产总额减少</w:t>
      </w:r>
      <w:r>
        <w:rPr>
          <w:rFonts w:hint="eastAsia" w:ascii="仿宋_GB2312" w:hAnsi="黑体" w:eastAsia="仿宋_GB2312" w:cs="方正小标宋简体"/>
          <w:color w:val="000000"/>
          <w:kern w:val="0"/>
          <w:sz w:val="30"/>
          <w:szCs w:val="30"/>
          <w:lang w:val="en-US" w:eastAsia="zh-CN"/>
        </w:rPr>
        <w:t>1.47</w:t>
      </w:r>
      <w:r>
        <w:rPr>
          <w:rFonts w:hint="eastAsia" w:ascii="仿宋_GB2312" w:hAnsi="黑体" w:eastAsia="仿宋_GB2312" w:cs="方正小标宋简体"/>
          <w:color w:val="000000"/>
          <w:kern w:val="0"/>
          <w:sz w:val="30"/>
          <w:szCs w:val="30"/>
        </w:rPr>
        <w:t>万元，其中固定资产减少</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万元。处置房屋建筑物</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平方米；处置车辆</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辆；报废报损资产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项；出租房屋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w:t>
      </w:r>
    </w:p>
    <w:p>
      <w:pPr>
        <w:widowControl/>
        <w:ind w:firstLine="600" w:firstLineChars="200"/>
        <w:rPr>
          <w:rFonts w:hint="eastAsia" w:ascii="仿宋_GB2312" w:hAnsi="黑体" w:eastAsia="仿宋_GB2312" w:cs="方正小标宋简体"/>
          <w:color w:val="000000"/>
          <w:kern w:val="0"/>
          <w:sz w:val="30"/>
          <w:szCs w:val="30"/>
        </w:rPr>
      </w:pPr>
    </w:p>
    <w:p>
      <w:pPr>
        <w:widowControl/>
        <w:ind w:firstLine="600" w:firstLineChars="200"/>
        <w:rPr>
          <w:rFonts w:hint="eastAsia" w:ascii="仿宋_GB2312" w:hAnsi="黑体" w:eastAsia="仿宋_GB2312" w:cs="方正小标宋简体"/>
          <w:color w:val="000000"/>
          <w:kern w:val="0"/>
          <w:sz w:val="30"/>
          <w:szCs w:val="30"/>
        </w:rPr>
      </w:pPr>
    </w:p>
    <w:tbl>
      <w:tblPr>
        <w:tblStyle w:val="5"/>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4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eastAsia" w:ascii="宋体" w:hAnsi="宋体" w:cs="宋体"/>
                <w:color w:val="000000"/>
                <w:kern w:val="0"/>
                <w:sz w:val="20"/>
                <w:szCs w:val="20"/>
                <w:lang w:val="en-US" w:eastAsia="zh-CN"/>
              </w:rPr>
            </w:pPr>
          </w:p>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42.11</w:t>
            </w:r>
            <w:r>
              <w:rPr>
                <w:rFonts w:hint="eastAsia" w:ascii="宋体" w:hAnsi="宋体" w:cs="宋体"/>
                <w:color w:val="000000"/>
                <w:kern w:val="0"/>
                <w:sz w:val="20"/>
                <w:szCs w:val="20"/>
              </w:rPr>
              <w:t> </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hint="eastAsia" w:ascii="宋体" w:hAnsi="宋体" w:cs="宋体"/>
                <w:color w:val="000000"/>
                <w:kern w:val="0"/>
                <w:sz w:val="20"/>
                <w:szCs w:val="20"/>
                <w:lang w:val="en-US" w:eastAsia="zh-CN"/>
              </w:rPr>
            </w:pPr>
          </w:p>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13.22</w:t>
            </w:r>
            <w:r>
              <w:rPr>
                <w:rFonts w:hint="eastAsia" w:ascii="宋体" w:hAnsi="宋体" w:cs="宋体"/>
                <w:color w:val="000000"/>
                <w:kern w:val="0"/>
                <w:sz w:val="20"/>
                <w:szCs w:val="20"/>
              </w:rPr>
              <w:t> </w:t>
            </w:r>
          </w:p>
        </w:tc>
        <w:tc>
          <w:tcPr>
            <w:tcW w:w="47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27.99</w:t>
            </w:r>
            <w:r>
              <w:rPr>
                <w:rFonts w:hint="eastAsia" w:ascii="宋体" w:hAnsi="宋体" w:cs="宋体"/>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0.9</w:t>
            </w:r>
            <w:r>
              <w:rPr>
                <w:rFonts w:hint="eastAsia" w:ascii="宋体" w:hAnsi="宋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widowControl/>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vAlign w:val="center"/>
          </w:tcPr>
          <w:p>
            <w:pPr>
              <w:widowControl/>
              <w:jc w:val="left"/>
              <w:rPr>
                <w:rFonts w:ascii="Times New Roman" w:hAnsi="Times New Roman" w:eastAsia="Times New Roman"/>
                <w:kern w:val="0"/>
                <w:sz w:val="20"/>
                <w:szCs w:val="20"/>
              </w:rPr>
            </w:pPr>
          </w:p>
        </w:tc>
      </w:tr>
    </w:tbl>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政府采购支出情况</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2018年度，部门政府采购支出总额0.9万元，其中：政府采购服务支出0.9万元。</w:t>
      </w:r>
    </w:p>
    <w:p>
      <w:pPr>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部门绩效自评情况详见附表</w:t>
      </w:r>
      <w:r>
        <w:rPr>
          <w:rFonts w:hint="eastAsia" w:ascii="仿宋_GB2312" w:hAnsi="仿宋_GB2312" w:eastAsia="仿宋_GB2312" w:cs="仿宋_GB2312"/>
          <w:sz w:val="30"/>
          <w:szCs w:val="30"/>
          <w:highlight w:val="none"/>
          <w:lang w:val="en-US" w:eastAsia="zh-CN"/>
        </w:rPr>
        <w:t>（附表10—附表14）。2018年本部门未做绩效自评。</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五、其他重要事项情况说明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本部门无</w:t>
      </w:r>
      <w:r>
        <w:rPr>
          <w:rFonts w:hint="eastAsia" w:ascii="仿宋_GB2312" w:hAnsi="黑体" w:eastAsia="仿宋_GB2312" w:cs="方正小标宋简体"/>
          <w:sz w:val="30"/>
          <w:szCs w:val="30"/>
        </w:rPr>
        <w:t>需要说明的情况</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（一）</w:t>
      </w:r>
      <w:r>
        <w:rPr>
          <w:rFonts w:hint="eastAsia" w:ascii="仿宋_GB2312" w:hAnsi="黑体" w:eastAsia="仿宋_GB2312" w:cs="方正小标宋简体"/>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（二）</w:t>
      </w: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lang w:eastAsia="zh-CN"/>
        </w:rPr>
        <w:t>（三）</w:t>
      </w:r>
      <w:r>
        <w:rPr>
          <w:rFonts w:hint="eastAsia" w:ascii="仿宋_GB2312" w:hAnsi="黑体" w:eastAsia="仿宋_GB2312" w:cs="方正小标宋简体"/>
          <w:sz w:val="30"/>
          <w:szCs w:val="30"/>
        </w:rPr>
        <w:t>按照党中央、国务院有关文件及部门预算管理有关规定，“三公”经费包括因公出国（境）费、公务用车购置及运行维护费、公务接待费。</w:t>
      </w:r>
      <w:r>
        <w:rPr>
          <w:rFonts w:hint="eastAsia" w:ascii="仿宋_GB2312" w:hAnsi="黑体" w:eastAsia="仿宋_GB2312" w:cs="方正小标宋简体"/>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hint="eastAsia" w:ascii="仿宋_GB2312" w:hAnsi="黑体" w:eastAsia="仿宋_GB2312" w:cs="方正小标宋简体"/>
          <w:sz w:val="30"/>
          <w:szCs w:val="30"/>
          <w:highlight w:val="none"/>
          <w:lang w:eastAsia="zh-CN"/>
        </w:rPr>
        <w:t>、牌照费等</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（四）</w:t>
      </w:r>
      <w:r>
        <w:rPr>
          <w:rFonts w:hint="eastAsia" w:ascii="仿宋_GB2312" w:hAnsi="黑体" w:eastAsia="仿宋_GB2312" w:cs="方正小标宋简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hint="eastAsia" w:ascii="黑体" w:hAnsi="黑体" w:eastAsia="黑体" w:cs="方正小标宋简体"/>
          <w:sz w:val="32"/>
          <w:szCs w:val="32"/>
        </w:rPr>
      </w:pPr>
      <w:r>
        <w:rPr>
          <w:rFonts w:hint="eastAsia" w:ascii="黑体" w:hAnsi="黑体" w:eastAsia="黑体" w:cs="方正小标宋简体"/>
          <w:sz w:val="32"/>
          <w:szCs w:val="32"/>
        </w:rPr>
        <w:t>第</w:t>
      </w:r>
      <w:r>
        <w:rPr>
          <w:rFonts w:hint="eastAsia" w:ascii="黑体" w:hAnsi="黑体" w:eastAsia="黑体" w:cs="方正小标宋简体"/>
          <w:sz w:val="32"/>
          <w:szCs w:val="32"/>
          <w:lang w:eastAsia="zh-CN"/>
        </w:rPr>
        <w:t>五</w:t>
      </w:r>
      <w:r>
        <w:rPr>
          <w:rFonts w:hint="eastAsia" w:ascii="黑体" w:hAnsi="黑体" w:eastAsia="黑体" w:cs="方正小标宋简体"/>
          <w:sz w:val="32"/>
          <w:szCs w:val="32"/>
        </w:rPr>
        <w:t>部分  名词解释</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机关运行经费</w:t>
      </w:r>
      <w:r>
        <w:rPr>
          <w:rFonts w:hint="eastAsia" w:ascii="仿宋_GB2312" w:hAnsi="黑体" w:eastAsia="仿宋_GB2312" w:cs="方正小标宋简体"/>
          <w:sz w:val="30"/>
          <w:szCs w:val="30"/>
          <w:lang w:val="en-US" w:eastAsia="zh-CN"/>
        </w:rPr>
        <w:t>:</w:t>
      </w:r>
      <w:r>
        <w:rPr>
          <w:rFonts w:hint="eastAsia" w:ascii="仿宋_GB2312" w:hAnsi="黑体" w:eastAsia="仿宋_GB2312" w:cs="方正小标宋简体"/>
          <w:sz w:val="30"/>
          <w:szCs w:val="30"/>
        </w:rPr>
        <w:t>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“三公”经费：指</w:t>
      </w:r>
      <w:r>
        <w:rPr>
          <w:rFonts w:hint="eastAsia" w:ascii="仿宋_GB2312" w:hAnsi="黑体" w:eastAsia="仿宋_GB2312" w:cs="方正小标宋简体"/>
          <w:sz w:val="30"/>
          <w:szCs w:val="30"/>
          <w:lang w:eastAsia="zh-CN"/>
        </w:rPr>
        <w:t>用于因</w:t>
      </w:r>
      <w:r>
        <w:rPr>
          <w:rFonts w:hint="eastAsia" w:ascii="仿宋_GB2312" w:hAnsi="黑体" w:eastAsia="仿宋_GB2312" w:cs="方正小标宋简体"/>
          <w:sz w:val="30"/>
          <w:szCs w:val="30"/>
        </w:rPr>
        <w:t>公出国（境）费、公务用车购置及运行维护费和公务接待费支出数。</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人员经费</w:t>
      </w:r>
      <w:r>
        <w:rPr>
          <w:rFonts w:hint="eastAsia" w:ascii="仿宋_GB2312" w:hAnsi="黑体" w:eastAsia="仿宋_GB2312" w:cs="方正小标宋简体"/>
          <w:sz w:val="30"/>
          <w:szCs w:val="30"/>
          <w:lang w:eastAsia="zh-CN"/>
        </w:rPr>
        <w:t>支出：指</w:t>
      </w:r>
      <w:r>
        <w:rPr>
          <w:rFonts w:hint="eastAsia" w:ascii="仿宋_GB2312" w:hAnsi="黑体" w:eastAsia="仿宋_GB2312" w:cs="方正小标宋简体"/>
          <w:sz w:val="30"/>
          <w:szCs w:val="30"/>
        </w:rPr>
        <w:t>工资福利支出和对个人和家庭的补助</w:t>
      </w:r>
      <w:r>
        <w:rPr>
          <w:rFonts w:hint="eastAsia" w:ascii="仿宋_GB2312" w:hAnsi="黑体" w:eastAsia="仿宋_GB2312" w:cs="方正小标宋简体"/>
          <w:sz w:val="30"/>
          <w:szCs w:val="30"/>
          <w:lang w:eastAsia="zh-CN"/>
        </w:rPr>
        <w:t>支出。</w:t>
      </w:r>
    </w:p>
    <w:p>
      <w:pPr>
        <w:ind w:firstLine="600" w:firstLineChars="200"/>
        <w:jc w:val="left"/>
        <w:rPr>
          <w:rFonts w:hint="eastAsia" w:ascii="仿宋_GB2312" w:hAnsi="黑体" w:eastAsia="仿宋_GB2312" w:cs="方正小标宋简体"/>
          <w:sz w:val="30"/>
          <w:szCs w:val="30"/>
          <w:lang w:eastAsia="zh-CN"/>
        </w:rPr>
      </w:pPr>
    </w:p>
    <w:p>
      <w:pPr>
        <w:ind w:firstLine="600" w:firstLineChars="200"/>
        <w:jc w:val="left"/>
        <w:rPr>
          <w:rFonts w:hint="eastAsia" w:ascii="仿宋_GB2312" w:hAnsi="黑体" w:eastAsia="仿宋_GB2312" w:cs="方正小标宋简体"/>
          <w:sz w:val="30"/>
          <w:szCs w:val="30"/>
        </w:rPr>
      </w:pP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ZTk5NjhhM2FiZjRkZDdlMWIyNjkxYzUyYjFiM2UifQ=="/>
  </w:docVars>
  <w:rsids>
    <w:rsidRoot w:val="00000000"/>
    <w:rsid w:val="50282CDC"/>
    <w:rsid w:val="5AF35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王广毕</cp:lastModifiedBy>
  <dcterms:modified xsi:type="dcterms:W3CDTF">2024-07-08T08:34:55Z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FC2A3098FF8F4A88BF201759D76CDB5B_12</vt:lpwstr>
  </property>
</Properties>
</file>