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德宏州制糖工业研究所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财务收支预算总表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二、部门收入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三、部门支出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四、财政拨款收支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预算总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五、一般公共预算支出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（按功能科目分类）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六、一般公共预算“三公”经费支出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基本支出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（人员类、运转类公用经费项目）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项目支出预算表（其他运转类、特定目标类项目）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、项目支出绩效目标表（本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级</w:t>
      </w:r>
      <w:r>
        <w:rPr>
          <w:rFonts w:hint="eastAsia" w:ascii="Times New Roman" w:hAnsi="Times New Roman" w:eastAsia="仿宋_GB2312"/>
          <w:sz w:val="32"/>
          <w:szCs w:val="32"/>
        </w:rPr>
        <w:t>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sz w:val="32"/>
          <w:szCs w:val="32"/>
        </w:rPr>
        <w:t>、项目支出绩效目标表（另文下达）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/>
          <w:sz w:val="32"/>
          <w:szCs w:val="32"/>
        </w:rPr>
        <w:t>、政府性基金预算支出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、部门政府采购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十三、政府购买服务预算表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省对下转移支付预算表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、省对下转移支付绩效目标表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十六、新增资产配置表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542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张琳</cp:lastModifiedBy>
  <dcterms:modified xsi:type="dcterms:W3CDTF">2021-02-09T07:49:59Z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