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default" w:eastAsia="Times New Roman"/>
          <w:sz w:val="36"/>
        </w:rPr>
      </w:pPr>
      <w:r>
        <w:rPr>
          <w:rFonts w:hint="eastAsia" w:ascii="方正小标宋简体" w:hAnsi="方正小标宋简体" w:eastAsia="方正小标宋简体"/>
          <w:sz w:val="36"/>
        </w:rPr>
        <w:t>德宏州甘蔗科学研究所2019年度部门决算</w:t>
      </w:r>
    </w:p>
    <w:p>
      <w:pPr>
        <w:spacing w:line="600" w:lineRule="exact"/>
        <w:jc w:val="center"/>
        <w:rPr>
          <w:rFonts w:hint="default" w:eastAsia="Times New Roman"/>
          <w:sz w:val="36"/>
        </w:rPr>
      </w:pPr>
    </w:p>
    <w:p>
      <w:pPr>
        <w:spacing w:line="600" w:lineRule="exact"/>
        <w:jc w:val="center"/>
        <w:rPr>
          <w:rFonts w:hint="default" w:eastAsia="Times New Roman"/>
          <w:sz w:val="36"/>
        </w:rPr>
      </w:pPr>
      <w:r>
        <w:rPr>
          <w:rFonts w:hint="eastAsia" w:ascii="黑体" w:hAnsi="黑体" w:eastAsia="黑体"/>
          <w:sz w:val="36"/>
        </w:rPr>
        <w:t>目录</w:t>
      </w:r>
    </w:p>
    <w:p>
      <w:pPr>
        <w:spacing w:line="600" w:lineRule="exact"/>
        <w:jc w:val="left"/>
        <w:rPr>
          <w:rFonts w:hint="default" w:eastAsia="Times New Roman"/>
          <w:sz w:val="30"/>
        </w:rPr>
      </w:pPr>
      <w:r>
        <w:rPr>
          <w:rFonts w:hint="eastAsia" w:ascii="黑体" w:hAnsi="黑体" w:eastAsia="黑体"/>
          <w:sz w:val="30"/>
        </w:rPr>
        <w:t xml:space="preserve">   第一部分  德宏傣族景颇族自治州甘蔗科学研究所概况</w:t>
      </w:r>
    </w:p>
    <w:p>
      <w:pPr>
        <w:spacing w:line="600" w:lineRule="exact"/>
        <w:jc w:val="left"/>
        <w:rPr>
          <w:rFonts w:hint="default" w:eastAsia="Times New Roman"/>
          <w:sz w:val="30"/>
        </w:rPr>
      </w:pPr>
      <w:r>
        <w:rPr>
          <w:rFonts w:hint="eastAsia" w:ascii="楷体" w:hAnsi="楷体" w:eastAsia="楷体"/>
          <w:sz w:val="30"/>
        </w:rPr>
        <w:t xml:space="preserve">   一、主要职能</w:t>
      </w:r>
    </w:p>
    <w:p>
      <w:pPr>
        <w:spacing w:line="600" w:lineRule="exact"/>
        <w:jc w:val="left"/>
        <w:rPr>
          <w:rFonts w:hint="default" w:eastAsia="Times New Roman"/>
          <w:sz w:val="30"/>
        </w:rPr>
      </w:pPr>
      <w:r>
        <w:rPr>
          <w:rFonts w:hint="eastAsia" w:ascii="黑体" w:hAnsi="黑体" w:eastAsia="黑体"/>
          <w:sz w:val="30"/>
        </w:rPr>
        <w:t xml:space="preserve">   </w:t>
      </w:r>
      <w:r>
        <w:rPr>
          <w:rFonts w:hint="eastAsia" w:ascii="楷体" w:hAnsi="楷体" w:eastAsia="楷体"/>
          <w:sz w:val="30"/>
        </w:rPr>
        <w:t>二、部门基本情况</w:t>
      </w:r>
    </w:p>
    <w:p>
      <w:pPr>
        <w:spacing w:line="600" w:lineRule="exact"/>
        <w:jc w:val="left"/>
        <w:rPr>
          <w:rFonts w:hint="default" w:eastAsia="Times New Roman"/>
          <w:sz w:val="30"/>
        </w:rPr>
      </w:pPr>
      <w:r>
        <w:rPr>
          <w:rFonts w:hint="eastAsia" w:ascii="黑体" w:hAnsi="黑体" w:eastAsia="黑体"/>
          <w:sz w:val="30"/>
        </w:rPr>
        <w:t xml:space="preserve">   第二部分  2019年度部门决算表</w:t>
      </w:r>
    </w:p>
    <w:p>
      <w:pPr>
        <w:spacing w:line="600" w:lineRule="exact"/>
        <w:jc w:val="left"/>
        <w:rPr>
          <w:rFonts w:hint="default" w:eastAsia="Times New Roman"/>
          <w:sz w:val="30"/>
        </w:rPr>
      </w:pPr>
      <w:r>
        <w:rPr>
          <w:rFonts w:hint="eastAsia" w:ascii="黑体" w:hAnsi="黑体" w:eastAsia="黑体"/>
          <w:sz w:val="30"/>
        </w:rPr>
        <w:t xml:space="preserve">   </w:t>
      </w:r>
      <w:r>
        <w:rPr>
          <w:rFonts w:hint="eastAsia" w:ascii="楷体" w:hAnsi="楷体" w:eastAsia="楷体"/>
          <w:sz w:val="30"/>
        </w:rPr>
        <w:t>一、收入支出决算总表</w:t>
      </w:r>
    </w:p>
    <w:p>
      <w:pPr>
        <w:spacing w:line="600" w:lineRule="exact"/>
        <w:jc w:val="left"/>
        <w:rPr>
          <w:rFonts w:hint="default" w:eastAsia="Times New Roman"/>
          <w:sz w:val="30"/>
        </w:rPr>
      </w:pPr>
      <w:r>
        <w:rPr>
          <w:rFonts w:hint="eastAsia" w:ascii="黑体" w:hAnsi="黑体" w:eastAsia="黑体"/>
          <w:sz w:val="30"/>
        </w:rPr>
        <w:t xml:space="preserve">   </w:t>
      </w:r>
      <w:r>
        <w:rPr>
          <w:rFonts w:hint="eastAsia" w:ascii="楷体" w:hAnsi="楷体" w:eastAsia="楷体"/>
          <w:sz w:val="30"/>
        </w:rPr>
        <w:t>二、收入决算表</w:t>
      </w:r>
    </w:p>
    <w:p>
      <w:pPr>
        <w:spacing w:line="600" w:lineRule="exact"/>
        <w:jc w:val="left"/>
        <w:rPr>
          <w:rFonts w:hint="default" w:eastAsia="Times New Roman"/>
          <w:sz w:val="30"/>
        </w:rPr>
      </w:pPr>
      <w:r>
        <w:rPr>
          <w:rFonts w:hint="eastAsia" w:ascii="黑体" w:hAnsi="黑体" w:eastAsia="黑体"/>
          <w:sz w:val="30"/>
        </w:rPr>
        <w:t xml:space="preserve">   </w:t>
      </w:r>
      <w:r>
        <w:rPr>
          <w:rFonts w:hint="eastAsia" w:ascii="楷体" w:hAnsi="楷体" w:eastAsia="楷体"/>
          <w:sz w:val="30"/>
        </w:rPr>
        <w:t>三、支出决算表</w:t>
      </w:r>
    </w:p>
    <w:p>
      <w:pPr>
        <w:spacing w:line="600" w:lineRule="exact"/>
        <w:jc w:val="left"/>
        <w:rPr>
          <w:rFonts w:hint="default" w:eastAsia="Times New Roman"/>
          <w:sz w:val="30"/>
        </w:rPr>
      </w:pPr>
      <w:r>
        <w:rPr>
          <w:rFonts w:hint="eastAsia" w:ascii="黑体" w:hAnsi="黑体" w:eastAsia="黑体"/>
          <w:sz w:val="30"/>
        </w:rPr>
        <w:t xml:space="preserve">   </w:t>
      </w:r>
      <w:r>
        <w:rPr>
          <w:rFonts w:hint="eastAsia" w:ascii="楷体" w:hAnsi="楷体" w:eastAsia="楷体"/>
          <w:sz w:val="30"/>
        </w:rPr>
        <w:t>四、财政拨款收入支出决算总表</w:t>
      </w:r>
    </w:p>
    <w:p>
      <w:pPr>
        <w:spacing w:line="600" w:lineRule="exact"/>
        <w:jc w:val="left"/>
        <w:rPr>
          <w:rFonts w:hint="default" w:eastAsia="Times New Roman"/>
          <w:sz w:val="30"/>
        </w:rPr>
      </w:pPr>
      <w:r>
        <w:rPr>
          <w:rFonts w:hint="eastAsia" w:ascii="黑体" w:hAnsi="黑体" w:eastAsia="黑体"/>
          <w:sz w:val="30"/>
        </w:rPr>
        <w:t xml:space="preserve">   </w:t>
      </w:r>
      <w:r>
        <w:rPr>
          <w:rFonts w:hint="eastAsia" w:ascii="楷体" w:hAnsi="楷体" w:eastAsia="楷体"/>
          <w:sz w:val="30"/>
        </w:rPr>
        <w:t>五、一般公共预算财政拨款收入支出决算表</w:t>
      </w:r>
    </w:p>
    <w:p>
      <w:pPr>
        <w:spacing w:line="600" w:lineRule="exact"/>
        <w:jc w:val="left"/>
        <w:rPr>
          <w:rFonts w:hint="default" w:eastAsia="Times New Roman"/>
          <w:sz w:val="30"/>
        </w:rPr>
      </w:pPr>
      <w:r>
        <w:rPr>
          <w:rFonts w:hint="eastAsia" w:ascii="黑体" w:hAnsi="黑体" w:eastAsia="黑体"/>
          <w:sz w:val="30"/>
        </w:rPr>
        <w:t xml:space="preserve">   </w:t>
      </w:r>
      <w:r>
        <w:rPr>
          <w:rFonts w:hint="eastAsia" w:ascii="楷体" w:hAnsi="楷体" w:eastAsia="楷体"/>
          <w:sz w:val="30"/>
        </w:rPr>
        <w:t>六、一般公共预算财政拨款基本支出决算表</w:t>
      </w:r>
    </w:p>
    <w:p>
      <w:pPr>
        <w:spacing w:line="600" w:lineRule="exact"/>
        <w:jc w:val="left"/>
        <w:rPr>
          <w:rFonts w:hint="default" w:eastAsia="Times New Roman"/>
          <w:sz w:val="30"/>
        </w:rPr>
      </w:pPr>
      <w:r>
        <w:rPr>
          <w:rFonts w:hint="eastAsia" w:ascii="黑体" w:hAnsi="黑体" w:eastAsia="黑体"/>
          <w:sz w:val="30"/>
        </w:rPr>
        <w:t xml:space="preserve">   </w:t>
      </w:r>
      <w:r>
        <w:rPr>
          <w:rFonts w:hint="eastAsia" w:ascii="楷体" w:hAnsi="楷体" w:eastAsia="楷体"/>
          <w:sz w:val="30"/>
        </w:rPr>
        <w:t>七、政府性基金预算财政拨款收入支出决算表</w:t>
      </w:r>
    </w:p>
    <w:p>
      <w:pPr>
        <w:spacing w:line="600" w:lineRule="exact"/>
        <w:jc w:val="left"/>
        <w:rPr>
          <w:rFonts w:hint="default" w:eastAsia="Times New Roman"/>
          <w:sz w:val="30"/>
        </w:rPr>
      </w:pPr>
      <w:r>
        <w:rPr>
          <w:rFonts w:hint="eastAsia" w:ascii="黑体" w:hAnsi="黑体" w:eastAsia="黑体"/>
          <w:sz w:val="30"/>
        </w:rPr>
        <w:t xml:space="preserve">   </w:t>
      </w:r>
      <w:r>
        <w:rPr>
          <w:rFonts w:hint="eastAsia" w:ascii="楷体" w:hAnsi="楷体" w:eastAsia="楷体"/>
          <w:sz w:val="30"/>
        </w:rPr>
        <w:t>八、</w:t>
      </w:r>
      <w:r>
        <w:rPr>
          <w:rFonts w:hint="default" w:eastAsia="Times New Roman"/>
          <w:sz w:val="30"/>
        </w:rPr>
        <w:t>“</w:t>
      </w:r>
      <w:r>
        <w:rPr>
          <w:rFonts w:hint="eastAsia" w:ascii="楷体" w:hAnsi="楷体" w:eastAsia="楷体"/>
          <w:sz w:val="30"/>
        </w:rPr>
        <w:t>三公</w:t>
      </w:r>
      <w:r>
        <w:rPr>
          <w:rFonts w:hint="default" w:eastAsia="Times New Roman"/>
          <w:sz w:val="30"/>
        </w:rPr>
        <w:t>”</w:t>
      </w:r>
      <w:r>
        <w:rPr>
          <w:rFonts w:hint="eastAsia" w:ascii="楷体" w:hAnsi="楷体" w:eastAsia="楷体"/>
          <w:sz w:val="30"/>
        </w:rPr>
        <w:t>经费、行政参公单位机关运行经费情况表</w:t>
      </w:r>
    </w:p>
    <w:p>
      <w:pPr>
        <w:spacing w:line="600" w:lineRule="exact"/>
        <w:jc w:val="left"/>
        <w:rPr>
          <w:rFonts w:hint="default" w:eastAsia="Times New Roman"/>
          <w:sz w:val="30"/>
        </w:rPr>
      </w:pPr>
      <w:r>
        <w:rPr>
          <w:rFonts w:hint="eastAsia" w:ascii="黑体" w:hAnsi="黑体" w:eastAsia="黑体"/>
          <w:sz w:val="30"/>
        </w:rPr>
        <w:t xml:space="preserve">   第三部分  2019年度部门决算情况说明</w:t>
      </w:r>
    </w:p>
    <w:p>
      <w:pPr>
        <w:spacing w:line="600" w:lineRule="exact"/>
        <w:jc w:val="left"/>
        <w:rPr>
          <w:rFonts w:hint="default" w:eastAsia="Times New Roman"/>
          <w:sz w:val="30"/>
        </w:rPr>
      </w:pPr>
      <w:r>
        <w:rPr>
          <w:rFonts w:hint="eastAsia" w:ascii="黑体" w:hAnsi="黑体" w:eastAsia="黑体"/>
          <w:sz w:val="30"/>
        </w:rPr>
        <w:t xml:space="preserve">   </w:t>
      </w:r>
      <w:r>
        <w:rPr>
          <w:rFonts w:hint="eastAsia" w:ascii="楷体" w:hAnsi="楷体" w:eastAsia="楷体"/>
          <w:sz w:val="30"/>
        </w:rPr>
        <w:t>一、收入决算情况说明</w:t>
      </w:r>
    </w:p>
    <w:p>
      <w:pPr>
        <w:spacing w:line="600" w:lineRule="exact"/>
        <w:jc w:val="left"/>
        <w:rPr>
          <w:rFonts w:hint="default" w:eastAsia="Times New Roman"/>
          <w:sz w:val="30"/>
        </w:rPr>
      </w:pPr>
      <w:r>
        <w:rPr>
          <w:rFonts w:hint="eastAsia" w:ascii="黑体" w:hAnsi="黑体" w:eastAsia="黑体"/>
          <w:sz w:val="30"/>
        </w:rPr>
        <w:t xml:space="preserve">   </w:t>
      </w:r>
      <w:r>
        <w:rPr>
          <w:rFonts w:hint="eastAsia" w:ascii="楷体" w:hAnsi="楷体" w:eastAsia="楷体"/>
          <w:sz w:val="30"/>
        </w:rPr>
        <w:t>二、支出决算情况说明</w:t>
      </w:r>
    </w:p>
    <w:p>
      <w:pPr>
        <w:spacing w:line="600" w:lineRule="exact"/>
        <w:jc w:val="left"/>
        <w:rPr>
          <w:rFonts w:hint="default" w:eastAsia="Times New Roman"/>
          <w:sz w:val="30"/>
        </w:rPr>
      </w:pPr>
      <w:r>
        <w:rPr>
          <w:rFonts w:hint="eastAsia" w:ascii="黑体" w:hAnsi="黑体" w:eastAsia="黑体"/>
          <w:sz w:val="30"/>
        </w:rPr>
        <w:t xml:space="preserve">   </w:t>
      </w:r>
      <w:r>
        <w:rPr>
          <w:rFonts w:hint="eastAsia" w:ascii="楷体" w:hAnsi="楷体" w:eastAsia="楷体"/>
          <w:sz w:val="30"/>
        </w:rPr>
        <w:t>三、一般公共预算财政拨款支出决算情况说明</w:t>
      </w:r>
    </w:p>
    <w:p>
      <w:pPr>
        <w:spacing w:line="600" w:lineRule="exact"/>
        <w:jc w:val="left"/>
        <w:rPr>
          <w:rFonts w:hint="default" w:eastAsia="Times New Roman"/>
          <w:sz w:val="30"/>
        </w:rPr>
      </w:pPr>
      <w:r>
        <w:rPr>
          <w:rFonts w:hint="eastAsia" w:ascii="黑体" w:hAnsi="黑体" w:eastAsia="黑体"/>
          <w:sz w:val="30"/>
        </w:rPr>
        <w:t xml:space="preserve">   </w:t>
      </w:r>
      <w:r>
        <w:rPr>
          <w:rFonts w:hint="eastAsia" w:ascii="楷体" w:hAnsi="楷体" w:eastAsia="楷体"/>
          <w:sz w:val="30"/>
        </w:rPr>
        <w:t>四、一般公共预算财政拨款</w:t>
      </w:r>
      <w:r>
        <w:rPr>
          <w:rFonts w:hint="default" w:eastAsia="Times New Roman"/>
          <w:sz w:val="30"/>
        </w:rPr>
        <w:t>“</w:t>
      </w:r>
      <w:r>
        <w:rPr>
          <w:rFonts w:hint="eastAsia" w:ascii="楷体" w:hAnsi="楷体" w:eastAsia="楷体"/>
          <w:sz w:val="30"/>
        </w:rPr>
        <w:t>三公</w:t>
      </w:r>
      <w:r>
        <w:rPr>
          <w:rFonts w:hint="default" w:eastAsia="Times New Roman"/>
          <w:sz w:val="30"/>
        </w:rPr>
        <w:t>”</w:t>
      </w:r>
      <w:r>
        <w:rPr>
          <w:rFonts w:hint="eastAsia" w:ascii="楷体" w:hAnsi="楷体" w:eastAsia="楷体"/>
          <w:sz w:val="30"/>
        </w:rPr>
        <w:t>经费支出决算情况说明</w:t>
      </w:r>
    </w:p>
    <w:p>
      <w:pPr>
        <w:spacing w:line="600" w:lineRule="exact"/>
        <w:jc w:val="left"/>
        <w:rPr>
          <w:rFonts w:hint="default" w:eastAsia="Times New Roman"/>
          <w:sz w:val="30"/>
        </w:rPr>
      </w:pPr>
      <w:r>
        <w:rPr>
          <w:rFonts w:hint="eastAsia" w:ascii="黑体" w:hAnsi="黑体" w:eastAsia="黑体"/>
          <w:sz w:val="30"/>
        </w:rPr>
        <w:t xml:space="preserve">   第四部分  其他重要事项及相关口径情况说明</w:t>
      </w:r>
    </w:p>
    <w:p>
      <w:pPr>
        <w:spacing w:line="600" w:lineRule="exact"/>
        <w:jc w:val="left"/>
        <w:rPr>
          <w:rFonts w:hint="default" w:eastAsia="Times New Roman"/>
          <w:sz w:val="30"/>
        </w:rPr>
      </w:pPr>
      <w:r>
        <w:rPr>
          <w:rFonts w:hint="eastAsia" w:ascii="楷体" w:hAnsi="楷体" w:eastAsia="楷体"/>
          <w:sz w:val="30"/>
        </w:rPr>
        <w:t xml:space="preserve">   一、机关运行经费支出情况</w:t>
      </w:r>
    </w:p>
    <w:p>
      <w:pPr>
        <w:spacing w:line="600" w:lineRule="exact"/>
        <w:jc w:val="left"/>
        <w:rPr>
          <w:rFonts w:hint="default" w:eastAsia="Times New Roman"/>
          <w:sz w:val="30"/>
        </w:rPr>
      </w:pPr>
      <w:r>
        <w:rPr>
          <w:rFonts w:hint="eastAsia" w:ascii="楷体" w:hAnsi="楷体" w:eastAsia="楷体"/>
          <w:sz w:val="30"/>
        </w:rPr>
        <w:t xml:space="preserve">   二、国有资产占有情况</w:t>
      </w:r>
    </w:p>
    <w:p>
      <w:pPr>
        <w:spacing w:line="600" w:lineRule="exact"/>
        <w:jc w:val="left"/>
        <w:rPr>
          <w:rFonts w:hint="default" w:eastAsia="Times New Roman"/>
          <w:sz w:val="30"/>
        </w:rPr>
      </w:pPr>
      <w:r>
        <w:rPr>
          <w:rFonts w:hint="eastAsia" w:ascii="楷体" w:hAnsi="楷体" w:eastAsia="楷体"/>
          <w:sz w:val="30"/>
        </w:rPr>
        <w:t xml:space="preserve">   三、政府采购支出情况</w:t>
      </w:r>
    </w:p>
    <w:p>
      <w:pPr>
        <w:spacing w:line="600" w:lineRule="exact"/>
        <w:jc w:val="left"/>
        <w:rPr>
          <w:rFonts w:hint="default" w:eastAsia="Times New Roman"/>
          <w:sz w:val="30"/>
        </w:rPr>
      </w:pPr>
      <w:r>
        <w:rPr>
          <w:rFonts w:hint="eastAsia" w:ascii="楷体" w:hAnsi="楷体" w:eastAsia="楷体"/>
          <w:sz w:val="30"/>
        </w:rPr>
        <w:t xml:space="preserve">   四、部门绩效自评情况</w:t>
      </w:r>
    </w:p>
    <w:p>
      <w:pPr>
        <w:spacing w:line="600" w:lineRule="exact"/>
        <w:jc w:val="left"/>
        <w:rPr>
          <w:rFonts w:hint="default" w:eastAsia="Times New Roman"/>
          <w:sz w:val="30"/>
        </w:rPr>
      </w:pPr>
      <w:r>
        <w:rPr>
          <w:rFonts w:hint="eastAsia" w:ascii="楷体" w:hAnsi="楷体" w:eastAsia="楷体"/>
          <w:sz w:val="30"/>
        </w:rPr>
        <w:t xml:space="preserve">   （一）项目支出绩效自评/项目支出绩效自评报告（表）</w:t>
      </w:r>
    </w:p>
    <w:p>
      <w:pPr>
        <w:spacing w:line="600" w:lineRule="exact"/>
        <w:jc w:val="left"/>
        <w:rPr>
          <w:rFonts w:hint="default" w:eastAsia="Times New Roman"/>
          <w:sz w:val="30"/>
        </w:rPr>
      </w:pPr>
      <w:r>
        <w:rPr>
          <w:rFonts w:hint="eastAsia" w:ascii="楷体" w:hAnsi="楷体" w:eastAsia="楷体"/>
          <w:sz w:val="30"/>
        </w:rPr>
        <w:t xml:space="preserve">   （二）部门整体支出绩效自评报告</w:t>
      </w:r>
    </w:p>
    <w:p>
      <w:pPr>
        <w:spacing w:line="600" w:lineRule="exact"/>
        <w:jc w:val="left"/>
        <w:rPr>
          <w:rFonts w:hint="default" w:eastAsia="Times New Roman"/>
          <w:sz w:val="30"/>
        </w:rPr>
      </w:pPr>
      <w:r>
        <w:rPr>
          <w:rFonts w:hint="eastAsia" w:ascii="楷体" w:hAnsi="楷体" w:eastAsia="楷体"/>
          <w:sz w:val="30"/>
        </w:rPr>
        <w:t xml:space="preserve">   （三）部门整体支出绩效自评表</w:t>
      </w:r>
    </w:p>
    <w:p>
      <w:pPr>
        <w:spacing w:line="600" w:lineRule="exact"/>
        <w:jc w:val="left"/>
        <w:rPr>
          <w:rFonts w:hint="default" w:eastAsia="Times New Roman"/>
          <w:sz w:val="30"/>
        </w:rPr>
      </w:pPr>
      <w:r>
        <w:rPr>
          <w:rFonts w:hint="eastAsia" w:ascii="楷体" w:hAnsi="楷体" w:eastAsia="楷体"/>
          <w:sz w:val="30"/>
        </w:rPr>
        <w:t xml:space="preserve">   五、其他重要事项情况说明</w:t>
      </w:r>
    </w:p>
    <w:p>
      <w:pPr>
        <w:spacing w:line="600" w:lineRule="exact"/>
        <w:jc w:val="left"/>
        <w:rPr>
          <w:rFonts w:hint="default" w:eastAsia="Times New Roman"/>
          <w:sz w:val="30"/>
        </w:rPr>
      </w:pPr>
      <w:r>
        <w:rPr>
          <w:rFonts w:hint="eastAsia" w:ascii="楷体" w:hAnsi="楷体" w:eastAsia="楷体"/>
          <w:sz w:val="30"/>
        </w:rPr>
        <w:t xml:space="preserve">   六、相关口径说明</w:t>
      </w:r>
    </w:p>
    <w:p>
      <w:pPr>
        <w:spacing w:line="600" w:lineRule="exact"/>
        <w:jc w:val="left"/>
        <w:rPr>
          <w:rFonts w:hint="default" w:eastAsia="Times New Roman"/>
          <w:sz w:val="30"/>
        </w:rPr>
      </w:pPr>
      <w:r>
        <w:rPr>
          <w:rFonts w:hint="eastAsia" w:ascii="楷体" w:hAnsi="楷体" w:eastAsia="楷体"/>
          <w:sz w:val="30"/>
        </w:rPr>
        <w:t xml:space="preserve">   </w:t>
      </w:r>
      <w:r>
        <w:rPr>
          <w:rFonts w:hint="eastAsia" w:ascii="黑体" w:hAnsi="黑体" w:eastAsia="黑体"/>
          <w:sz w:val="30"/>
        </w:rPr>
        <w:t>第五部分  名词解释</w:t>
      </w:r>
    </w:p>
    <w:p>
      <w:pPr>
        <w:spacing w:line="600" w:lineRule="exact"/>
        <w:jc w:val="left"/>
        <w:rPr>
          <w:rFonts w:hint="default" w:eastAsia="Times New Roman"/>
          <w:sz w:val="30"/>
        </w:rPr>
      </w:pPr>
    </w:p>
    <w:p>
      <w:pPr>
        <w:spacing w:line="600" w:lineRule="exact"/>
        <w:jc w:val="left"/>
        <w:rPr>
          <w:rFonts w:hint="default" w:eastAsia="Times New Roman"/>
          <w:sz w:val="30"/>
        </w:rPr>
      </w:pPr>
    </w:p>
    <w:p>
      <w:pPr>
        <w:spacing w:line="600" w:lineRule="exact"/>
        <w:jc w:val="center"/>
        <w:rPr>
          <w:rFonts w:hint="default" w:eastAsia="Times New Roman"/>
          <w:sz w:val="32"/>
        </w:rPr>
      </w:pPr>
      <w:r>
        <w:rPr>
          <w:rFonts w:hint="eastAsia" w:ascii="黑体" w:hAnsi="黑体" w:eastAsia="黑体"/>
          <w:sz w:val="32"/>
        </w:rPr>
        <w:t>第一部分  德宏州甘蔗科学研究所概况</w:t>
      </w:r>
    </w:p>
    <w:p>
      <w:pPr>
        <w:spacing w:line="600" w:lineRule="exact"/>
        <w:ind w:firstLine="600"/>
        <w:rPr>
          <w:rFonts w:hint="default" w:eastAsia="Times New Roman"/>
          <w:sz w:val="30"/>
        </w:rPr>
      </w:pPr>
      <w:r>
        <w:rPr>
          <w:rFonts w:hint="eastAsia" w:ascii="黑体" w:hAnsi="黑体" w:eastAsia="黑体"/>
          <w:sz w:val="30"/>
        </w:rPr>
        <w:t>一、主要职能</w:t>
      </w:r>
    </w:p>
    <w:p>
      <w:pPr>
        <w:pStyle w:val="2"/>
        <w:adjustRightInd w:val="0"/>
        <w:snapToGrid w:val="0"/>
        <w:spacing w:afterLines="0" w:line="600" w:lineRule="exact"/>
        <w:ind w:firstLine="630" w:firstLineChars="210"/>
        <w:rPr>
          <w:rFonts w:hint="eastAsia" w:ascii="楷体" w:hAnsi="楷体" w:eastAsia="楷体"/>
          <w:sz w:val="30"/>
        </w:rPr>
      </w:pPr>
      <w:r>
        <w:rPr>
          <w:rFonts w:hint="eastAsia" w:ascii="楷体" w:hAnsi="楷体" w:eastAsia="楷体"/>
          <w:sz w:val="30"/>
        </w:rPr>
        <w:t>（一）主要职能</w:t>
      </w:r>
      <w:r>
        <w:rPr>
          <w:rFonts w:hint="eastAsia" w:ascii="仿宋_GB2312" w:eastAsia="仿宋_GB2312"/>
          <w:sz w:val="30"/>
        </w:rPr>
        <w:t>德宏州甘科所是属公益性科研事业单位，现挂有德宏州甘蔗科学研究所、德宏州甘蔗技术推广站、国家甘蔗产业技术体系德宏综合试验站、云南省甘蔗产业技术体系德宏综合试验站四块牌子、一套班子。德宏州甘科所主要职能：①、甘蔗优良品种引进、繁育试验研究与推广；</w:t>
      </w:r>
      <w:r>
        <w:rPr>
          <w:rFonts w:hint="eastAsia" w:ascii="宋体" w:eastAsia="宋体"/>
          <w:sz w:val="30"/>
        </w:rPr>
        <w:t>②</w:t>
      </w:r>
      <w:r>
        <w:rPr>
          <w:rFonts w:hint="eastAsia" w:ascii="仿宋_GB2312" w:eastAsia="仿宋_GB2312"/>
          <w:sz w:val="30"/>
        </w:rPr>
        <w:t>、甘蔗农艺技术研究、示范与推广；</w:t>
      </w:r>
      <w:r>
        <w:rPr>
          <w:rFonts w:hint="eastAsia" w:ascii="宋体" w:eastAsia="宋体"/>
          <w:sz w:val="30"/>
        </w:rPr>
        <w:t>③</w:t>
      </w:r>
      <w:r>
        <w:rPr>
          <w:rFonts w:hint="eastAsia" w:ascii="仿宋_GB2312" w:eastAsia="仿宋_GB2312"/>
          <w:sz w:val="30"/>
        </w:rPr>
        <w:t>、甘蔗植保技术研究、示范与推广；</w:t>
      </w:r>
      <w:r>
        <w:rPr>
          <w:rFonts w:hint="eastAsia" w:ascii="宋体" w:eastAsia="宋体"/>
          <w:sz w:val="30"/>
        </w:rPr>
        <w:t>④</w:t>
      </w:r>
      <w:r>
        <w:rPr>
          <w:rFonts w:hint="eastAsia" w:ascii="仿宋_GB2312" w:eastAsia="仿宋_GB2312"/>
          <w:sz w:val="30"/>
        </w:rPr>
        <w:t>、甘蔗科技培训；</w:t>
      </w:r>
      <w:r>
        <w:rPr>
          <w:rFonts w:hint="eastAsia" w:ascii="宋体" w:eastAsia="宋体"/>
          <w:sz w:val="30"/>
        </w:rPr>
        <w:t>⑤</w:t>
      </w:r>
      <w:r>
        <w:rPr>
          <w:rFonts w:hint="eastAsia" w:ascii="仿宋_GB2312" w:eastAsia="仿宋_GB2312"/>
          <w:sz w:val="30"/>
        </w:rPr>
        <w:t>、为各级政府甘蔗科技工作决策当好参谋等五方面工作职责。主要承担国家、省、州甘蔗科研试验、示范、推广项目，选育引进高产高糖多抗新品种、试验研究高产高糖高效新技术为蔗区新品种、新技术推广提供技术支持，促进全州蔗糖科技创新，为我州蔗糖产业的持续稳定健康发展提供科技支撑。</w:t>
      </w:r>
    </w:p>
    <w:p>
      <w:pPr>
        <w:spacing w:before="93" w:line="600" w:lineRule="exact"/>
        <w:ind w:firstLine="600" w:firstLineChars="200"/>
        <w:rPr>
          <w:rFonts w:hint="default" w:eastAsia="Times New Roman"/>
          <w:sz w:val="30"/>
        </w:rPr>
      </w:pPr>
    </w:p>
    <w:p>
      <w:pPr>
        <w:spacing w:before="93" w:line="600" w:lineRule="exact"/>
        <w:ind w:firstLine="630"/>
        <w:rPr>
          <w:rFonts w:hint="default" w:eastAsia="Times New Roman"/>
          <w:sz w:val="30"/>
        </w:rPr>
      </w:pPr>
      <w:r>
        <w:rPr>
          <w:rFonts w:hint="eastAsia" w:ascii="楷体" w:hAnsi="楷体" w:eastAsia="楷体"/>
          <w:sz w:val="30"/>
        </w:rPr>
        <w:t>（二）2019年度重点工作任务介绍</w:t>
      </w:r>
    </w:p>
    <w:p>
      <w:pPr>
        <w:spacing w:before="93" w:line="600" w:lineRule="exact"/>
        <w:ind w:firstLine="630"/>
        <w:rPr>
          <w:rFonts w:hint="eastAsia" w:ascii="仿宋" w:hAnsi="仿宋" w:eastAsia="仿宋"/>
          <w:sz w:val="30"/>
        </w:rPr>
      </w:pPr>
      <w:r>
        <w:rPr>
          <w:rFonts w:hint="eastAsia" w:ascii="仿宋" w:hAnsi="仿宋" w:eastAsia="仿宋"/>
          <w:sz w:val="30"/>
        </w:rPr>
        <w:t>2019年度重点工作任务介绍。</w:t>
      </w:r>
    </w:p>
    <w:p>
      <w:pPr>
        <w:spacing w:beforeLines="0" w:afterLines="0" w:line="560" w:lineRule="exact"/>
        <w:ind w:firstLine="528" w:firstLineChars="200"/>
        <w:rPr>
          <w:rFonts w:hint="eastAsia" w:ascii="宋体" w:hAnsi="宋体"/>
          <w:sz w:val="28"/>
        </w:rPr>
      </w:pPr>
      <w:r>
        <w:rPr>
          <w:rFonts w:hint="eastAsia" w:ascii="宋体" w:hAnsi="宋体"/>
          <w:spacing w:val="-8"/>
          <w:sz w:val="28"/>
        </w:rPr>
        <w:t>1、整理、分析、撰写201</w:t>
      </w:r>
      <w:r>
        <w:rPr>
          <w:rFonts w:hint="eastAsia" w:ascii="宋体" w:hAnsi="宋体"/>
          <w:spacing w:val="-8"/>
          <w:sz w:val="28"/>
          <w:lang w:val="en-US" w:eastAsia="zh-CN"/>
        </w:rPr>
        <w:t>8</w:t>
      </w:r>
      <w:r>
        <w:rPr>
          <w:rFonts w:hint="eastAsia" w:ascii="宋体" w:hAnsi="宋体"/>
          <w:spacing w:val="-8"/>
          <w:sz w:val="28"/>
        </w:rPr>
        <w:t>年国家、省、州各级有关甘蔗品种、栽培、植保等科研试验总结材料38份，并</w:t>
      </w:r>
      <w:r>
        <w:rPr>
          <w:rFonts w:hint="eastAsia" w:ascii="宋体" w:hAnsi="宋体"/>
          <w:sz w:val="28"/>
        </w:rPr>
        <w:t>对各项试验结果进行科学分析评判，为我州甘蔗新品种选育、筛选储备优新良种、甘蔗病虫草害综合防治、甘蔗丰产栽培技术集成创新和开展科技示范推广提供科学依据。</w:t>
      </w:r>
    </w:p>
    <w:p>
      <w:pPr>
        <w:spacing w:beforeLines="0" w:afterLines="0" w:line="560" w:lineRule="exact"/>
        <w:ind w:firstLine="560" w:firstLineChars="200"/>
        <w:rPr>
          <w:rFonts w:hint="eastAsia" w:ascii="宋体" w:hAnsi="宋体"/>
          <w:sz w:val="28"/>
        </w:rPr>
      </w:pPr>
      <w:r>
        <w:rPr>
          <w:rFonts w:hint="eastAsia" w:ascii="宋体" w:hAnsi="宋体"/>
          <w:sz w:val="28"/>
        </w:rPr>
        <w:t>2、组织实施国家、省、州各级下达的科研试验及示范推广工作。其中，品种试验、示范工作涉及19项；农艺试验、示范工作涉及13项（含自选课题2项）；植保试验、示范工作涉及10项（含自选课题6项）。目前各项试验正按试验方案有序进行。</w:t>
      </w:r>
    </w:p>
    <w:p>
      <w:pPr>
        <w:spacing w:beforeLines="0" w:afterLines="0" w:line="560" w:lineRule="exact"/>
        <w:ind w:firstLine="560" w:firstLineChars="200"/>
        <w:rPr>
          <w:rFonts w:hint="eastAsia" w:ascii="宋体" w:hAnsi="宋体"/>
          <w:sz w:val="28"/>
        </w:rPr>
      </w:pPr>
      <w:r>
        <w:rPr>
          <w:rFonts w:hint="eastAsia" w:ascii="宋体" w:hAnsi="宋体"/>
          <w:sz w:val="28"/>
        </w:rPr>
        <w:t>3、开展新品种、新技术示范推广工作，促进科研成果转化。</w:t>
      </w:r>
    </w:p>
    <w:p>
      <w:pPr>
        <w:spacing w:beforeLines="0" w:afterLines="0" w:line="640" w:lineRule="exact"/>
        <w:ind w:firstLine="560" w:firstLineChars="200"/>
        <w:rPr>
          <w:rFonts w:hint="eastAsia" w:ascii="宋体" w:hAnsi="宋体"/>
          <w:sz w:val="28"/>
        </w:rPr>
      </w:pPr>
      <w:r>
        <w:rPr>
          <w:rFonts w:hint="eastAsia" w:ascii="宋体" w:hAnsi="宋体"/>
          <w:sz w:val="28"/>
        </w:rPr>
        <w:t>一是在全州示范推广甘蔗新品种云蔗05-49、云蔗05-51、云蔗08-1609、柳城05-136、德蔗09-78、德蔗09-84，其中：云蔗05-51示范面积2万余亩，柳城05-136示范面积6万余亩，其余品种示范面积近万亩。二是示范推广旱地甘蔗轻简高效栽培技术4.8万亩；</w:t>
      </w:r>
      <w:r>
        <w:rPr>
          <w:rFonts w:hint="eastAsia" w:ascii="宋体" w:hAnsi="宋体"/>
          <w:spacing w:val="-8"/>
          <w:sz w:val="28"/>
        </w:rPr>
        <w:t>三是示范推广</w:t>
      </w:r>
      <w:r>
        <w:rPr>
          <w:rFonts w:hint="eastAsia" w:ascii="宋体" w:hAnsi="宋体"/>
          <w:sz w:val="28"/>
        </w:rPr>
        <w:t>甘蔗宽膜双沟覆盖技术2.8万亩；四是完成甘蔗机械种植示范1.3万亩，机械化铲蔸、培土推广应用各25万亩以上，机械收获示范1.1万亩；五是完成甘蔗害虫绿色防控集成技术示范6万亩，辐射带动甘蔗害虫绿色防控30万亩。</w:t>
      </w:r>
    </w:p>
    <w:p>
      <w:pPr>
        <w:spacing w:beforeLines="0" w:afterLines="0" w:line="640" w:lineRule="exact"/>
        <w:ind w:firstLine="560" w:firstLineChars="200"/>
        <w:rPr>
          <w:rFonts w:hint="eastAsia" w:ascii="宋体" w:hAnsi="宋体"/>
          <w:sz w:val="28"/>
        </w:rPr>
      </w:pPr>
      <w:r>
        <w:rPr>
          <w:rFonts w:hint="eastAsia" w:ascii="宋体" w:hAnsi="宋体"/>
          <w:sz w:val="28"/>
        </w:rPr>
        <w:t>4、深入全州各县（市）蔗区开展甘蔗病、虫、草发生及防治情况调查248人次，其中开展草地贪夜蛾发生及危害情况调查90余人次，共调查778个点，77800株甘蔗；建立甘蔗主要病虫害预警监测点2个，辐射面积10万亩；建立甘蔗螟虫性诱测报观测点2个；安装自动虫情测报灯1台；开展甘蔗病虫草害药剂筛选试验等。</w:t>
      </w:r>
    </w:p>
    <w:p>
      <w:pPr>
        <w:spacing w:beforeLines="0" w:afterLines="0" w:line="560" w:lineRule="exact"/>
        <w:ind w:firstLine="560" w:firstLineChars="200"/>
        <w:rPr>
          <w:rFonts w:hint="eastAsia" w:ascii="宋体" w:hAnsi="宋体"/>
          <w:sz w:val="28"/>
        </w:rPr>
      </w:pPr>
      <w:r>
        <w:rPr>
          <w:rFonts w:hint="eastAsia" w:ascii="宋体" w:hAnsi="宋体"/>
          <w:sz w:val="28"/>
        </w:rPr>
        <w:t>5、开展科技培训和技术指导服务工作。2019年上半年累计开展甘蔗中耕管理及病虫害防治技术培训17场次，受训人员1309人次。共发放技术宣传资料1600余份；技术人员下乡服务指导42批次203人次。通过培训和技术服务指导，极大的提高了各级抓蔗人员和广大蔗农的科学种管水平。</w:t>
      </w:r>
    </w:p>
    <w:p>
      <w:pPr>
        <w:spacing w:before="93" w:line="600" w:lineRule="exact"/>
        <w:ind w:firstLine="630"/>
        <w:rPr>
          <w:rFonts w:hint="eastAsia" w:ascii="仿宋" w:hAnsi="仿宋" w:eastAsia="仿宋"/>
          <w:sz w:val="30"/>
        </w:rPr>
      </w:pPr>
    </w:p>
    <w:p>
      <w:pPr>
        <w:spacing w:line="600" w:lineRule="exact"/>
        <w:ind w:firstLine="600"/>
        <w:rPr>
          <w:rFonts w:hint="default" w:eastAsia="Times New Roman"/>
          <w:sz w:val="30"/>
        </w:rPr>
      </w:pPr>
      <w:r>
        <w:rPr>
          <w:rFonts w:hint="eastAsia" w:ascii="黑体" w:hAnsi="黑体" w:eastAsia="黑体"/>
          <w:sz w:val="30"/>
        </w:rPr>
        <w:t>二、部门基本情况</w:t>
      </w:r>
    </w:p>
    <w:p>
      <w:pPr>
        <w:spacing w:line="600" w:lineRule="exact"/>
        <w:ind w:firstLine="600"/>
        <w:rPr>
          <w:rFonts w:hint="default" w:eastAsia="Times New Roman"/>
          <w:sz w:val="30"/>
        </w:rPr>
      </w:pPr>
      <w:r>
        <w:rPr>
          <w:rFonts w:hint="eastAsia" w:ascii="楷体" w:hAnsi="楷体" w:eastAsia="楷体"/>
          <w:sz w:val="30"/>
        </w:rPr>
        <w:t>（一）部门决算单位构成</w:t>
      </w:r>
    </w:p>
    <w:p>
      <w:pPr>
        <w:spacing w:line="600" w:lineRule="exact"/>
        <w:ind w:firstLine="600"/>
        <w:rPr>
          <w:rFonts w:hint="eastAsia" w:ascii="仿宋" w:hAnsi="仿宋" w:eastAsia="仿宋"/>
          <w:color w:val="auto"/>
          <w:sz w:val="30"/>
        </w:rPr>
      </w:pPr>
      <w:r>
        <w:rPr>
          <w:rFonts w:hint="eastAsia" w:ascii="仿宋" w:hAnsi="仿宋" w:eastAsia="仿宋"/>
          <w:sz w:val="30"/>
        </w:rPr>
        <w:t>纳入德宏傣族景颇族自治州甘蔗科学研究所2019年度部门决算编报的单位共1个。其中：行政单位</w:t>
      </w:r>
      <w:r>
        <w:rPr>
          <w:rFonts w:hint="eastAsia" w:ascii="仿宋" w:hAnsi="仿宋" w:eastAsia="仿宋"/>
          <w:color w:val="000000"/>
          <w:sz w:val="30"/>
          <w:lang w:val="en-US" w:eastAsia="zh-CN"/>
        </w:rPr>
        <w:t>0</w:t>
      </w:r>
      <w:r>
        <w:rPr>
          <w:rFonts w:hint="eastAsia" w:ascii="仿宋" w:hAnsi="仿宋" w:eastAsia="仿宋"/>
          <w:color w:val="auto"/>
          <w:sz w:val="30"/>
        </w:rPr>
        <w:t>个，参照公务员法管理的事业单位</w:t>
      </w:r>
      <w:r>
        <w:rPr>
          <w:rFonts w:hint="eastAsia" w:ascii="仿宋" w:hAnsi="仿宋" w:eastAsia="仿宋"/>
          <w:color w:val="000000"/>
          <w:sz w:val="30"/>
          <w:lang w:val="en-US" w:eastAsia="zh-CN"/>
        </w:rPr>
        <w:t>0</w:t>
      </w:r>
      <w:r>
        <w:rPr>
          <w:rFonts w:hint="eastAsia" w:ascii="仿宋" w:hAnsi="仿宋" w:eastAsia="仿宋"/>
          <w:color w:val="auto"/>
          <w:sz w:val="30"/>
        </w:rPr>
        <w:t>个，其他事业单位</w:t>
      </w:r>
      <w:r>
        <w:rPr>
          <w:rFonts w:hint="eastAsia" w:ascii="仿宋" w:hAnsi="仿宋" w:eastAsia="仿宋"/>
          <w:color w:val="000000"/>
          <w:sz w:val="30"/>
          <w:lang w:val="en-US" w:eastAsia="zh-CN"/>
        </w:rPr>
        <w:t>0</w:t>
      </w:r>
      <w:r>
        <w:rPr>
          <w:rFonts w:hint="eastAsia" w:ascii="仿宋" w:hAnsi="仿宋" w:eastAsia="仿宋"/>
          <w:color w:val="auto"/>
          <w:sz w:val="30"/>
        </w:rPr>
        <w:t>个。</w:t>
      </w:r>
    </w:p>
    <w:p>
      <w:pPr>
        <w:spacing w:line="600" w:lineRule="exact"/>
        <w:ind w:firstLine="600"/>
        <w:rPr>
          <w:rFonts w:hint="eastAsia" w:ascii="楷体" w:hAnsi="楷体" w:eastAsia="楷体"/>
          <w:color w:val="auto"/>
          <w:sz w:val="30"/>
        </w:rPr>
      </w:pPr>
      <w:r>
        <w:rPr>
          <w:rFonts w:hint="eastAsia" w:ascii="楷体" w:hAnsi="楷体" w:eastAsia="楷体"/>
          <w:color w:val="auto"/>
          <w:sz w:val="30"/>
        </w:rPr>
        <w:t xml:space="preserve">（二）部门人员和车辆的编制及实有情况 </w:t>
      </w:r>
    </w:p>
    <w:p>
      <w:pPr>
        <w:spacing w:line="600" w:lineRule="exact"/>
        <w:ind w:firstLine="600"/>
        <w:rPr>
          <w:rFonts w:hint="eastAsia" w:ascii="仿宋" w:hAnsi="仿宋" w:eastAsia="仿宋"/>
          <w:color w:val="auto"/>
          <w:kern w:val="0"/>
          <w:sz w:val="30"/>
          <w:lang w:val="en-US" w:eastAsia="zh-CN"/>
        </w:rPr>
      </w:pPr>
      <w:r>
        <w:rPr>
          <w:rFonts w:hint="eastAsia" w:ascii="仿宋" w:hAnsi="仿宋" w:eastAsia="仿宋"/>
          <w:color w:val="auto"/>
          <w:sz w:val="30"/>
        </w:rPr>
        <w:t>德宏傣族景颇族自治州甘蔗科学研究所2019年末实有人员编制</w:t>
      </w:r>
      <w:r>
        <w:rPr>
          <w:rFonts w:hint="eastAsia" w:ascii="仿宋" w:hAnsi="仿宋" w:eastAsia="仿宋"/>
          <w:color w:val="auto"/>
          <w:sz w:val="30"/>
          <w:lang w:val="en-US" w:eastAsia="zh-CN"/>
        </w:rPr>
        <w:t>44</w:t>
      </w:r>
      <w:r>
        <w:rPr>
          <w:rFonts w:hint="eastAsia" w:ascii="仿宋" w:hAnsi="仿宋" w:eastAsia="仿宋"/>
          <w:color w:val="auto"/>
          <w:kern w:val="0"/>
          <w:sz w:val="30"/>
        </w:rPr>
        <w:t>人。其中：行政编制</w:t>
      </w:r>
      <w:r>
        <w:rPr>
          <w:rFonts w:hint="eastAsia" w:ascii="仿宋" w:hAnsi="仿宋" w:eastAsia="仿宋"/>
          <w:color w:val="000000"/>
          <w:sz w:val="30"/>
          <w:lang w:val="en-US" w:eastAsia="zh-CN"/>
        </w:rPr>
        <w:t>0</w:t>
      </w:r>
      <w:r>
        <w:rPr>
          <w:rFonts w:hint="eastAsia" w:ascii="仿宋" w:hAnsi="仿宋" w:eastAsia="仿宋"/>
          <w:color w:val="auto"/>
          <w:kern w:val="0"/>
          <w:sz w:val="30"/>
        </w:rPr>
        <w:t>人（含行政工勤编制</w:t>
      </w:r>
      <w:r>
        <w:rPr>
          <w:rFonts w:hint="eastAsia" w:ascii="仿宋" w:hAnsi="仿宋" w:eastAsia="仿宋"/>
          <w:color w:val="000000"/>
          <w:sz w:val="30"/>
          <w:lang w:val="en-US" w:eastAsia="zh-CN"/>
        </w:rPr>
        <w:t>0</w:t>
      </w:r>
      <w:r>
        <w:rPr>
          <w:rFonts w:hint="eastAsia" w:ascii="仿宋" w:hAnsi="仿宋" w:eastAsia="仿宋"/>
          <w:color w:val="auto"/>
          <w:kern w:val="0"/>
          <w:sz w:val="30"/>
        </w:rPr>
        <w:t>人），事业编制</w:t>
      </w:r>
      <w:r>
        <w:rPr>
          <w:rFonts w:hint="eastAsia" w:ascii="仿宋" w:hAnsi="仿宋" w:eastAsia="仿宋"/>
          <w:color w:val="000000"/>
          <w:sz w:val="30"/>
          <w:lang w:val="en-US" w:eastAsia="zh-CN"/>
        </w:rPr>
        <w:t>44</w:t>
      </w:r>
      <w:r>
        <w:rPr>
          <w:rFonts w:hint="eastAsia" w:ascii="仿宋" w:hAnsi="仿宋" w:eastAsia="仿宋"/>
          <w:color w:val="auto"/>
          <w:kern w:val="0"/>
          <w:sz w:val="30"/>
        </w:rPr>
        <w:t>人（含参公管理事业编制</w:t>
      </w:r>
      <w:r>
        <w:rPr>
          <w:rFonts w:hint="eastAsia" w:ascii="仿宋" w:hAnsi="仿宋" w:eastAsia="仿宋"/>
          <w:color w:val="000000"/>
          <w:sz w:val="30"/>
          <w:lang w:val="en-US" w:eastAsia="zh-CN"/>
        </w:rPr>
        <w:t>0</w:t>
      </w:r>
      <w:r>
        <w:rPr>
          <w:rFonts w:hint="eastAsia" w:ascii="仿宋" w:hAnsi="仿宋" w:eastAsia="仿宋"/>
          <w:color w:val="auto"/>
          <w:kern w:val="0"/>
          <w:sz w:val="30"/>
        </w:rPr>
        <w:t>人）；在职在编实有行政人员</w:t>
      </w:r>
      <w:r>
        <w:rPr>
          <w:rFonts w:hint="eastAsia" w:ascii="仿宋" w:hAnsi="仿宋" w:eastAsia="仿宋"/>
          <w:color w:val="auto"/>
          <w:sz w:val="30"/>
        </w:rPr>
        <w:t>0</w:t>
      </w:r>
      <w:r>
        <w:rPr>
          <w:rFonts w:hint="eastAsia" w:ascii="仿宋" w:hAnsi="仿宋" w:eastAsia="仿宋"/>
          <w:color w:val="auto"/>
          <w:kern w:val="0"/>
          <w:sz w:val="30"/>
        </w:rPr>
        <w:t>人（含行政工勤人员</w:t>
      </w:r>
      <w:r>
        <w:rPr>
          <w:rFonts w:hint="eastAsia" w:ascii="仿宋" w:hAnsi="仿宋" w:eastAsia="仿宋"/>
          <w:color w:val="000000"/>
          <w:sz w:val="30"/>
          <w:lang w:val="en-US" w:eastAsia="zh-CN"/>
        </w:rPr>
        <w:t>0</w:t>
      </w:r>
      <w:r>
        <w:rPr>
          <w:rFonts w:hint="eastAsia" w:ascii="仿宋" w:hAnsi="仿宋" w:eastAsia="仿宋"/>
          <w:color w:val="auto"/>
          <w:kern w:val="0"/>
          <w:sz w:val="30"/>
        </w:rPr>
        <w:t>人），事业人员</w:t>
      </w:r>
      <w:r>
        <w:rPr>
          <w:rFonts w:hint="eastAsia" w:ascii="仿宋" w:hAnsi="仿宋" w:eastAsia="仿宋"/>
          <w:color w:val="auto"/>
          <w:sz w:val="30"/>
          <w:lang w:val="en-US" w:eastAsia="zh-CN"/>
        </w:rPr>
        <w:t>42</w:t>
      </w:r>
      <w:r>
        <w:rPr>
          <w:rFonts w:hint="eastAsia" w:ascii="仿宋" w:hAnsi="仿宋" w:eastAsia="仿宋"/>
          <w:color w:val="auto"/>
          <w:kern w:val="0"/>
          <w:sz w:val="30"/>
        </w:rPr>
        <w:t>人（含参公管理事业人员</w:t>
      </w:r>
      <w:r>
        <w:rPr>
          <w:rFonts w:hint="eastAsia" w:ascii="仿宋" w:hAnsi="仿宋" w:eastAsia="仿宋"/>
          <w:color w:val="auto"/>
          <w:sz w:val="30"/>
        </w:rPr>
        <w:t>0</w:t>
      </w:r>
      <w:r>
        <w:rPr>
          <w:rFonts w:hint="eastAsia" w:ascii="仿宋" w:hAnsi="仿宋" w:eastAsia="仿宋"/>
          <w:color w:val="auto"/>
          <w:kern w:val="0"/>
          <w:sz w:val="30"/>
        </w:rPr>
        <w:t>人），其他人员</w:t>
      </w:r>
      <w:r>
        <w:rPr>
          <w:rFonts w:hint="eastAsia" w:ascii="仿宋" w:hAnsi="仿宋" w:eastAsia="仿宋"/>
          <w:color w:val="auto"/>
          <w:sz w:val="30"/>
        </w:rPr>
        <w:t>0</w:t>
      </w:r>
      <w:r>
        <w:rPr>
          <w:rFonts w:hint="eastAsia" w:ascii="仿宋" w:hAnsi="仿宋" w:eastAsia="仿宋"/>
          <w:color w:val="auto"/>
          <w:kern w:val="0"/>
          <w:sz w:val="30"/>
        </w:rPr>
        <w:t>人</w:t>
      </w:r>
      <w:r>
        <w:rPr>
          <w:rFonts w:hint="eastAsia" w:ascii="仿宋" w:hAnsi="仿宋" w:eastAsia="仿宋"/>
          <w:color w:val="auto"/>
          <w:kern w:val="0"/>
          <w:sz w:val="30"/>
          <w:lang w:eastAsia="zh-CN"/>
        </w:rPr>
        <w:t>。</w:t>
      </w:r>
    </w:p>
    <w:p>
      <w:pPr>
        <w:spacing w:line="600" w:lineRule="exact"/>
        <w:ind w:firstLine="600"/>
        <w:rPr>
          <w:rFonts w:hint="default" w:eastAsia="Times New Roman"/>
          <w:color w:val="auto"/>
          <w:kern w:val="0"/>
          <w:sz w:val="30"/>
        </w:rPr>
      </w:pPr>
      <w:r>
        <w:rPr>
          <w:rFonts w:hint="eastAsia" w:ascii="仿宋" w:hAnsi="仿宋" w:eastAsia="仿宋"/>
          <w:color w:val="auto"/>
          <w:kern w:val="0"/>
          <w:sz w:val="30"/>
        </w:rPr>
        <w:t>离退休人员</w:t>
      </w:r>
      <w:r>
        <w:rPr>
          <w:rFonts w:hint="eastAsia" w:ascii="仿宋" w:hAnsi="仿宋" w:eastAsia="仿宋"/>
          <w:color w:val="auto"/>
          <w:sz w:val="30"/>
          <w:lang w:val="en-US" w:eastAsia="zh-CN"/>
        </w:rPr>
        <w:t>20</w:t>
      </w:r>
      <w:r>
        <w:rPr>
          <w:rFonts w:hint="eastAsia" w:ascii="仿宋" w:hAnsi="仿宋" w:eastAsia="仿宋"/>
          <w:color w:val="auto"/>
          <w:kern w:val="0"/>
          <w:sz w:val="30"/>
        </w:rPr>
        <w:t>人。其中：离休</w:t>
      </w:r>
      <w:r>
        <w:rPr>
          <w:rFonts w:hint="eastAsia" w:ascii="仿宋" w:hAnsi="仿宋" w:eastAsia="仿宋"/>
          <w:color w:val="auto"/>
          <w:sz w:val="30"/>
        </w:rPr>
        <w:t>0</w:t>
      </w:r>
      <w:r>
        <w:rPr>
          <w:rFonts w:hint="eastAsia" w:ascii="仿宋" w:hAnsi="仿宋" w:eastAsia="仿宋"/>
          <w:color w:val="auto"/>
          <w:kern w:val="0"/>
          <w:sz w:val="30"/>
        </w:rPr>
        <w:t>人，退休</w:t>
      </w:r>
      <w:r>
        <w:rPr>
          <w:rFonts w:hint="eastAsia" w:ascii="仿宋" w:hAnsi="仿宋" w:eastAsia="仿宋"/>
          <w:color w:val="auto"/>
          <w:sz w:val="30"/>
          <w:lang w:val="en-US" w:eastAsia="zh-CN"/>
        </w:rPr>
        <w:t>20</w:t>
      </w:r>
      <w:r>
        <w:rPr>
          <w:rFonts w:hint="eastAsia" w:ascii="仿宋" w:hAnsi="仿宋" w:eastAsia="仿宋"/>
          <w:color w:val="auto"/>
          <w:kern w:val="0"/>
          <w:sz w:val="30"/>
        </w:rPr>
        <w:t>人。</w:t>
      </w:r>
    </w:p>
    <w:p>
      <w:pPr>
        <w:spacing w:line="600" w:lineRule="exact"/>
        <w:ind w:firstLine="600"/>
        <w:rPr>
          <w:rFonts w:hint="default" w:eastAsia="Times New Roman"/>
          <w:color w:val="auto"/>
          <w:kern w:val="0"/>
          <w:sz w:val="30"/>
        </w:rPr>
      </w:pPr>
      <w:r>
        <w:rPr>
          <w:rFonts w:hint="eastAsia" w:ascii="仿宋" w:hAnsi="仿宋" w:eastAsia="仿宋"/>
          <w:color w:val="000000"/>
          <w:kern w:val="0"/>
          <w:sz w:val="30"/>
        </w:rPr>
        <w:t>实有车辆编制</w:t>
      </w:r>
      <w:r>
        <w:rPr>
          <w:rFonts w:hint="eastAsia" w:ascii="仿宋" w:hAnsi="仿宋" w:eastAsia="仿宋"/>
          <w:color w:val="000000"/>
          <w:sz w:val="30"/>
          <w:lang w:val="en-US" w:eastAsia="zh-CN"/>
        </w:rPr>
        <w:t>2</w:t>
      </w:r>
      <w:r>
        <w:rPr>
          <w:rFonts w:hint="eastAsia" w:ascii="仿宋" w:hAnsi="仿宋" w:eastAsia="仿宋"/>
          <w:color w:val="000000"/>
          <w:kern w:val="0"/>
          <w:sz w:val="30"/>
        </w:rPr>
        <w:t>辆，</w:t>
      </w:r>
      <w:r>
        <w:rPr>
          <w:rFonts w:hint="eastAsia" w:ascii="仿宋" w:hAnsi="仿宋" w:eastAsia="仿宋"/>
          <w:color w:val="auto"/>
          <w:kern w:val="0"/>
          <w:sz w:val="30"/>
        </w:rPr>
        <w:t>在编实有车辆</w:t>
      </w:r>
      <w:r>
        <w:rPr>
          <w:rFonts w:hint="eastAsia" w:ascii="仿宋" w:hAnsi="仿宋" w:eastAsia="仿宋"/>
          <w:color w:val="auto"/>
          <w:sz w:val="30"/>
          <w:lang w:val="en-US" w:eastAsia="zh-CN"/>
        </w:rPr>
        <w:t>2</w:t>
      </w:r>
      <w:r>
        <w:rPr>
          <w:rFonts w:hint="eastAsia" w:ascii="仿宋" w:hAnsi="仿宋" w:eastAsia="仿宋"/>
          <w:color w:val="auto"/>
          <w:kern w:val="0"/>
          <w:sz w:val="30"/>
        </w:rPr>
        <w:t>辆。</w:t>
      </w:r>
    </w:p>
    <w:p>
      <w:pPr>
        <w:spacing w:line="600" w:lineRule="exact"/>
        <w:ind w:firstLine="2652" w:firstLineChars="884"/>
        <w:rPr>
          <w:rFonts w:hint="eastAsia" w:ascii="仿宋" w:hAnsi="仿宋" w:eastAsia="仿宋"/>
          <w:color w:val="000000"/>
          <w:kern w:val="0"/>
          <w:sz w:val="30"/>
          <w:lang w:eastAsia="zh-CN"/>
        </w:rPr>
      </w:pPr>
      <w:r>
        <w:rPr>
          <w:rFonts w:hint="eastAsia" w:ascii="仿宋" w:hAnsi="仿宋" w:eastAsia="仿宋"/>
          <w:color w:val="000000"/>
          <w:kern w:val="0"/>
          <w:sz w:val="30"/>
          <w:lang w:eastAsia="zh-CN"/>
        </w:rPr>
        <w:t>人员结构图</w:t>
      </w:r>
    </w:p>
    <w:p>
      <w:pPr>
        <w:rPr>
          <w:rFonts w:hint="eastAsia" w:eastAsia="宋体"/>
          <w:lang w:eastAsia="zh-CN"/>
        </w:rPr>
      </w:pPr>
    </w:p>
    <w:p>
      <w:pPr>
        <w:rPr>
          <w:rFonts w:hint="eastAsia" w:eastAsia="宋体"/>
          <w:lang w:eastAsia="zh-CN"/>
        </w:rPr>
      </w:pPr>
      <w:r>
        <w:rPr>
          <w:rFonts w:hint="eastAsia" w:eastAsia="宋体"/>
          <w:lang w:eastAsia="zh-CN"/>
        </w:rPr>
        <w:drawing>
          <wp:anchor distT="0" distB="0" distL="114300" distR="114300" simplePos="0" relativeHeight="251658240" behindDoc="0" locked="0" layoutInCell="1" allowOverlap="1">
            <wp:simplePos x="0" y="0"/>
            <wp:positionH relativeFrom="column">
              <wp:posOffset>785495</wp:posOffset>
            </wp:positionH>
            <wp:positionV relativeFrom="paragraph">
              <wp:posOffset>127000</wp:posOffset>
            </wp:positionV>
            <wp:extent cx="3375025" cy="2506345"/>
            <wp:effectExtent l="4445" t="5080" r="11430" b="22225"/>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p>
    <w:p>
      <w:pPr>
        <w:rPr>
          <w:rFonts w:hint="eastAsia" w:ascii="Times New Roman" w:hAnsi="Times New Roman" w:eastAsia="宋体"/>
          <w:kern w:val="2"/>
          <w:sz w:val="21"/>
          <w:szCs w:val="22"/>
          <w:lang w:eastAsia="zh-CN"/>
        </w:rPr>
      </w:pPr>
    </w:p>
    <w:p>
      <w:pPr>
        <w:rPr>
          <w:rFonts w:hint="eastAsia" w:ascii="Times New Roman" w:hAnsi="Times New Roman" w:eastAsia="宋体"/>
          <w:kern w:val="2"/>
          <w:sz w:val="21"/>
          <w:szCs w:val="22"/>
          <w:lang w:eastAsia="zh-CN"/>
        </w:rPr>
      </w:pPr>
    </w:p>
    <w:p>
      <w:pPr>
        <w:rPr>
          <w:rFonts w:hint="eastAsia" w:ascii="Times New Roman" w:hAnsi="Times New Roman" w:eastAsia="宋体"/>
          <w:kern w:val="2"/>
          <w:sz w:val="21"/>
          <w:szCs w:val="22"/>
          <w:lang w:eastAsia="zh-CN"/>
        </w:rPr>
      </w:pPr>
    </w:p>
    <w:p>
      <w:pPr>
        <w:rPr>
          <w:rFonts w:hint="eastAsia" w:ascii="Times New Roman" w:hAnsi="Times New Roman" w:eastAsia="宋体"/>
          <w:kern w:val="2"/>
          <w:sz w:val="21"/>
          <w:szCs w:val="22"/>
          <w:lang w:eastAsia="zh-CN"/>
        </w:rPr>
      </w:pPr>
    </w:p>
    <w:p>
      <w:pPr>
        <w:rPr>
          <w:rFonts w:hint="eastAsia" w:ascii="Times New Roman" w:hAnsi="Times New Roman" w:eastAsia="宋体"/>
          <w:kern w:val="2"/>
          <w:sz w:val="21"/>
          <w:szCs w:val="22"/>
          <w:lang w:eastAsia="zh-CN"/>
        </w:rPr>
      </w:pPr>
    </w:p>
    <w:p>
      <w:pPr>
        <w:rPr>
          <w:rFonts w:hint="eastAsia" w:ascii="Times New Roman" w:hAnsi="Times New Roman" w:eastAsia="宋体"/>
          <w:kern w:val="2"/>
          <w:sz w:val="21"/>
          <w:szCs w:val="22"/>
          <w:lang w:eastAsia="zh-CN"/>
        </w:rPr>
      </w:pPr>
    </w:p>
    <w:p>
      <w:pPr>
        <w:rPr>
          <w:rFonts w:hint="eastAsia" w:ascii="Times New Roman" w:hAnsi="Times New Roman" w:eastAsia="宋体"/>
          <w:kern w:val="2"/>
          <w:sz w:val="21"/>
          <w:szCs w:val="22"/>
          <w:lang w:eastAsia="zh-CN"/>
        </w:rPr>
      </w:pPr>
    </w:p>
    <w:p>
      <w:pPr>
        <w:rPr>
          <w:rFonts w:hint="eastAsia" w:ascii="Times New Roman" w:hAnsi="Times New Roman" w:eastAsia="宋体"/>
          <w:kern w:val="2"/>
          <w:sz w:val="21"/>
          <w:szCs w:val="22"/>
          <w:lang w:eastAsia="zh-CN"/>
        </w:rPr>
      </w:pPr>
    </w:p>
    <w:p>
      <w:pPr>
        <w:rPr>
          <w:rFonts w:hint="eastAsia" w:ascii="Times New Roman" w:hAnsi="Times New Roman" w:eastAsia="宋体"/>
          <w:kern w:val="2"/>
          <w:sz w:val="21"/>
          <w:szCs w:val="22"/>
          <w:lang w:eastAsia="zh-CN"/>
        </w:rPr>
      </w:pPr>
    </w:p>
    <w:p>
      <w:pPr>
        <w:rPr>
          <w:rFonts w:hint="eastAsia" w:ascii="Times New Roman" w:hAnsi="Times New Roman" w:eastAsia="宋体"/>
          <w:kern w:val="2"/>
          <w:sz w:val="21"/>
          <w:szCs w:val="22"/>
          <w:lang w:eastAsia="zh-CN"/>
        </w:rPr>
      </w:pPr>
    </w:p>
    <w:p>
      <w:pPr>
        <w:rPr>
          <w:rFonts w:hint="eastAsia" w:ascii="Times New Roman" w:hAnsi="Times New Roman" w:eastAsia="宋体"/>
          <w:kern w:val="2"/>
          <w:sz w:val="21"/>
          <w:szCs w:val="22"/>
          <w:lang w:eastAsia="zh-CN"/>
        </w:rPr>
      </w:pPr>
    </w:p>
    <w:p>
      <w:pPr>
        <w:tabs>
          <w:tab w:val="left" w:pos="7303"/>
        </w:tabs>
        <w:jc w:val="left"/>
        <w:rPr>
          <w:rFonts w:hint="eastAsia"/>
          <w:kern w:val="2"/>
          <w:sz w:val="21"/>
          <w:szCs w:val="22"/>
          <w:lang w:eastAsia="zh-CN"/>
        </w:rPr>
      </w:pPr>
      <w:r>
        <w:rPr>
          <w:rFonts w:hint="eastAsia"/>
          <w:kern w:val="2"/>
          <w:sz w:val="21"/>
          <w:szCs w:val="22"/>
          <w:lang w:eastAsia="zh-CN"/>
        </w:rPr>
        <w:tab/>
      </w:r>
    </w:p>
    <w:p>
      <w:pPr>
        <w:tabs>
          <w:tab w:val="left" w:pos="7303"/>
        </w:tabs>
        <w:jc w:val="left"/>
        <w:rPr>
          <w:rFonts w:hint="eastAsia"/>
          <w:kern w:val="2"/>
          <w:sz w:val="21"/>
          <w:szCs w:val="22"/>
          <w:lang w:eastAsia="zh-CN"/>
        </w:rPr>
      </w:pPr>
    </w:p>
    <w:p>
      <w:pPr>
        <w:tabs>
          <w:tab w:val="left" w:pos="7303"/>
        </w:tabs>
        <w:jc w:val="left"/>
        <w:rPr>
          <w:rFonts w:hint="eastAsia"/>
          <w:kern w:val="2"/>
          <w:sz w:val="21"/>
          <w:szCs w:val="22"/>
          <w:lang w:eastAsia="zh-CN"/>
        </w:rPr>
      </w:pPr>
    </w:p>
    <w:p>
      <w:pPr>
        <w:tabs>
          <w:tab w:val="left" w:pos="7303"/>
        </w:tabs>
        <w:jc w:val="left"/>
        <w:rPr>
          <w:rFonts w:hint="eastAsia"/>
          <w:kern w:val="2"/>
          <w:sz w:val="21"/>
          <w:szCs w:val="22"/>
          <w:lang w:eastAsia="zh-CN"/>
        </w:rPr>
      </w:pPr>
    </w:p>
    <w:p>
      <w:pPr>
        <w:spacing w:line="600" w:lineRule="exact"/>
        <w:jc w:val="center"/>
        <w:rPr>
          <w:rFonts w:hint="default" w:eastAsia="Times New Roman"/>
          <w:color w:val="auto"/>
          <w:sz w:val="32"/>
        </w:rPr>
      </w:pPr>
      <w:r>
        <w:rPr>
          <w:rFonts w:hint="eastAsia" w:ascii="黑体" w:hAnsi="黑体" w:eastAsia="黑体"/>
          <w:color w:val="auto"/>
          <w:sz w:val="32"/>
        </w:rPr>
        <w:t>第二部分  2019年度部门决算表</w:t>
      </w:r>
    </w:p>
    <w:p>
      <w:pPr>
        <w:spacing w:line="600" w:lineRule="exact"/>
        <w:ind w:firstLine="600"/>
        <w:jc w:val="center"/>
        <w:rPr>
          <w:rFonts w:hint="default" w:eastAsia="Times New Roman"/>
          <w:color w:val="000000"/>
          <w:sz w:val="30"/>
        </w:rPr>
      </w:pPr>
      <w:r>
        <w:rPr>
          <w:rFonts w:hint="eastAsia" w:ascii="仿宋" w:hAnsi="仿宋" w:eastAsia="仿宋"/>
          <w:color w:val="000000"/>
          <w:sz w:val="30"/>
        </w:rPr>
        <w:t>（详见附件）</w:t>
      </w:r>
    </w:p>
    <w:p>
      <w:pPr>
        <w:spacing w:line="600" w:lineRule="exact"/>
        <w:ind w:firstLine="600"/>
        <w:jc w:val="center"/>
        <w:rPr>
          <w:rFonts w:hint="default" w:eastAsia="Times New Roman"/>
          <w:color w:val="auto"/>
          <w:sz w:val="30"/>
        </w:rPr>
      </w:pPr>
    </w:p>
    <w:p>
      <w:pPr>
        <w:spacing w:line="600" w:lineRule="exact"/>
        <w:jc w:val="center"/>
        <w:rPr>
          <w:rFonts w:hint="default" w:eastAsia="Times New Roman"/>
          <w:color w:val="auto"/>
          <w:sz w:val="32"/>
        </w:rPr>
      </w:pPr>
      <w:r>
        <w:rPr>
          <w:rFonts w:hint="eastAsia" w:ascii="黑体" w:hAnsi="黑体" w:eastAsia="黑体"/>
          <w:color w:val="auto"/>
          <w:sz w:val="32"/>
        </w:rPr>
        <w:t>第三部分  2019年度部门决算情况说明</w:t>
      </w:r>
    </w:p>
    <w:p>
      <w:pPr>
        <w:spacing w:line="600" w:lineRule="exact"/>
        <w:ind w:firstLine="600"/>
        <w:jc w:val="left"/>
        <w:rPr>
          <w:rFonts w:hint="default" w:eastAsia="Times New Roman"/>
          <w:color w:val="auto"/>
          <w:sz w:val="30"/>
        </w:rPr>
      </w:pPr>
      <w:r>
        <w:rPr>
          <w:rFonts w:hint="eastAsia" w:ascii="黑体" w:hAnsi="黑体" w:eastAsia="黑体"/>
          <w:color w:val="auto"/>
          <w:sz w:val="30"/>
        </w:rPr>
        <w:t>一、收入决算情况说明</w:t>
      </w:r>
    </w:p>
    <w:p>
      <w:pPr>
        <w:spacing w:before="100" w:after="100" w:line="600" w:lineRule="exact"/>
        <w:ind w:firstLine="538"/>
        <w:jc w:val="left"/>
        <w:rPr>
          <w:rFonts w:hint="eastAsia" w:ascii="仿宋" w:hAnsi="仿宋" w:eastAsia="仿宋"/>
          <w:color w:val="auto"/>
          <w:sz w:val="30"/>
          <w:lang w:eastAsia="zh-CN"/>
        </w:rPr>
      </w:pPr>
      <w:r>
        <w:rPr>
          <w:rFonts w:hint="eastAsia" w:ascii="仿宋" w:hAnsi="仿宋" w:eastAsia="仿宋"/>
          <w:color w:val="auto"/>
          <w:sz w:val="30"/>
        </w:rPr>
        <w:t>德宏傣族景颇族自治州甘蔗科学研究所2019年度收入合计721.81万元。其中：财政拨款收入646.31万元，占总收入的89.54%；上级补助收入0万元，占总收入的0%；事业收入0万元，占总收入的0%；经营收入0万元，占总收入的0%；附属单位缴款收入0万元，占总收入的0%；其他收入75.5万元，占总收入的10.46%。与上年对比</w:t>
      </w:r>
      <w:r>
        <w:rPr>
          <w:rFonts w:hint="eastAsia" w:ascii="仿宋" w:hAnsi="仿宋" w:eastAsia="仿宋"/>
          <w:color w:val="auto"/>
          <w:sz w:val="30"/>
          <w:lang w:eastAsia="zh-CN"/>
        </w:rPr>
        <w:t>增加</w:t>
      </w:r>
      <w:r>
        <w:rPr>
          <w:rFonts w:hint="eastAsia" w:ascii="仿宋" w:hAnsi="仿宋" w:eastAsia="仿宋"/>
          <w:color w:val="auto"/>
          <w:sz w:val="30"/>
          <w:lang w:val="en-US" w:eastAsia="zh-CN"/>
        </w:rPr>
        <w:t>89.87万元</w:t>
      </w:r>
      <w:r>
        <w:rPr>
          <w:rFonts w:hint="eastAsia" w:ascii="仿宋" w:hAnsi="仿宋" w:eastAsia="仿宋"/>
          <w:color w:val="auto"/>
          <w:sz w:val="30"/>
        </w:rPr>
        <w:t>，</w:t>
      </w:r>
      <w:r>
        <w:rPr>
          <w:rFonts w:hint="eastAsia" w:ascii="仿宋" w:hAnsi="仿宋" w:eastAsia="仿宋"/>
          <w:color w:val="auto"/>
          <w:sz w:val="30"/>
          <w:lang w:eastAsia="zh-CN"/>
        </w:rPr>
        <w:t>增加的</w:t>
      </w:r>
      <w:r>
        <w:rPr>
          <w:rFonts w:hint="eastAsia" w:ascii="仿宋" w:hAnsi="仿宋" w:eastAsia="仿宋"/>
          <w:color w:val="auto"/>
          <w:sz w:val="30"/>
        </w:rPr>
        <w:t>主要原因</w:t>
      </w:r>
      <w:r>
        <w:rPr>
          <w:rFonts w:hint="eastAsia" w:ascii="仿宋" w:hAnsi="仿宋" w:eastAsia="仿宋"/>
          <w:color w:val="auto"/>
          <w:sz w:val="30"/>
          <w:lang w:eastAsia="zh-CN"/>
        </w:rPr>
        <w:t>是人员经费基本工资增加及非财政拨款其他收入增加。</w:t>
      </w:r>
    </w:p>
    <w:p>
      <w:pPr>
        <w:spacing w:before="100" w:after="100" w:line="600" w:lineRule="exact"/>
        <w:ind w:firstLine="538"/>
        <w:jc w:val="left"/>
        <w:rPr>
          <w:rFonts w:hint="eastAsia" w:ascii="仿宋" w:hAnsi="仿宋" w:eastAsia="仿宋"/>
          <w:color w:val="FF0000"/>
          <w:kern w:val="0"/>
          <w:sz w:val="30"/>
          <w:lang w:eastAsia="zh-CN"/>
        </w:rPr>
      </w:pPr>
      <w:r>
        <w:rPr>
          <w:rFonts w:hint="eastAsia" w:ascii="仿宋" w:hAnsi="仿宋" w:eastAsia="仿宋"/>
          <w:color w:val="FF0000"/>
          <w:kern w:val="0"/>
          <w:sz w:val="30"/>
          <w:lang w:eastAsia="zh-CN"/>
        </w:rPr>
        <w:drawing>
          <wp:anchor distT="0" distB="0" distL="114300" distR="114300" simplePos="0" relativeHeight="251659264" behindDoc="0" locked="0" layoutInCell="1" allowOverlap="1">
            <wp:simplePos x="0" y="0"/>
            <wp:positionH relativeFrom="column">
              <wp:posOffset>431800</wp:posOffset>
            </wp:positionH>
            <wp:positionV relativeFrom="paragraph">
              <wp:posOffset>179070</wp:posOffset>
            </wp:positionV>
            <wp:extent cx="4070985" cy="2409825"/>
            <wp:effectExtent l="4445" t="4445" r="20320" b="5080"/>
            <wp:wrapSquare wrapText="bothSides"/>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p>
      <w:pPr>
        <w:spacing w:before="100" w:after="100" w:line="600" w:lineRule="exact"/>
        <w:ind w:firstLine="538"/>
        <w:jc w:val="left"/>
        <w:rPr>
          <w:rFonts w:hint="default" w:ascii="仿宋" w:hAnsi="仿宋" w:eastAsia="仿宋"/>
          <w:color w:val="FF0000"/>
          <w:sz w:val="30"/>
          <w:lang w:eastAsia="zh-CN"/>
        </w:rPr>
      </w:pPr>
    </w:p>
    <w:p>
      <w:pPr>
        <w:spacing w:before="100" w:after="100" w:line="600" w:lineRule="exact"/>
        <w:ind w:firstLine="538"/>
        <w:jc w:val="left"/>
        <w:rPr>
          <w:rFonts w:hint="default" w:ascii="仿宋" w:hAnsi="仿宋" w:eastAsia="仿宋"/>
          <w:color w:val="FF0000"/>
          <w:sz w:val="30"/>
          <w:lang w:eastAsia="zh-CN"/>
        </w:rPr>
      </w:pPr>
    </w:p>
    <w:p>
      <w:pPr>
        <w:spacing w:before="100" w:after="100" w:line="600" w:lineRule="exact"/>
        <w:ind w:firstLine="538"/>
        <w:jc w:val="left"/>
        <w:rPr>
          <w:rFonts w:hint="default" w:ascii="仿宋" w:hAnsi="仿宋" w:eastAsia="仿宋"/>
          <w:color w:val="FF0000"/>
          <w:sz w:val="30"/>
          <w:lang w:eastAsia="zh-CN"/>
        </w:rPr>
      </w:pPr>
    </w:p>
    <w:p>
      <w:pPr>
        <w:spacing w:before="100" w:after="100" w:line="600" w:lineRule="exact"/>
        <w:ind w:firstLine="538"/>
        <w:jc w:val="left"/>
        <w:rPr>
          <w:rFonts w:hint="default" w:ascii="仿宋" w:hAnsi="仿宋" w:eastAsia="仿宋"/>
          <w:color w:val="FF0000"/>
          <w:sz w:val="30"/>
          <w:lang w:eastAsia="zh-CN"/>
        </w:rPr>
      </w:pPr>
    </w:p>
    <w:p>
      <w:pPr>
        <w:spacing w:before="100" w:after="100" w:line="600" w:lineRule="exact"/>
        <w:ind w:firstLine="538"/>
        <w:jc w:val="left"/>
        <w:rPr>
          <w:rFonts w:hint="default" w:ascii="仿宋" w:hAnsi="仿宋" w:eastAsia="仿宋"/>
          <w:color w:val="FF0000"/>
          <w:sz w:val="30"/>
          <w:lang w:eastAsia="zh-CN"/>
        </w:rPr>
      </w:pPr>
    </w:p>
    <w:p>
      <w:pPr>
        <w:spacing w:before="100" w:after="100" w:line="600" w:lineRule="exact"/>
        <w:ind w:firstLine="538"/>
        <w:jc w:val="left"/>
        <w:rPr>
          <w:rFonts w:hint="default" w:ascii="仿宋" w:hAnsi="仿宋" w:eastAsia="仿宋"/>
          <w:color w:val="FF0000"/>
          <w:sz w:val="30"/>
          <w:lang w:eastAsia="zh-CN"/>
        </w:rPr>
      </w:pPr>
    </w:p>
    <w:p>
      <w:pPr>
        <w:spacing w:line="600" w:lineRule="exact"/>
        <w:ind w:firstLine="300" w:firstLineChars="100"/>
        <w:jc w:val="left"/>
        <w:rPr>
          <w:rFonts w:hint="default" w:eastAsia="Times New Roman"/>
          <w:color w:val="auto"/>
          <w:sz w:val="30"/>
        </w:rPr>
      </w:pPr>
      <w:r>
        <w:rPr>
          <w:rFonts w:hint="eastAsia" w:ascii="黑体" w:hAnsi="黑体" w:eastAsia="黑体"/>
          <w:color w:val="auto"/>
          <w:sz w:val="30"/>
        </w:rPr>
        <w:t>二、支出决算情况说明</w:t>
      </w:r>
    </w:p>
    <w:p>
      <w:pPr>
        <w:spacing w:line="600" w:lineRule="exact"/>
        <w:ind w:firstLine="600"/>
        <w:rPr>
          <w:rFonts w:hint="eastAsia" w:ascii="仿宋" w:hAnsi="仿宋" w:eastAsia="仿宋"/>
          <w:color w:val="auto"/>
          <w:sz w:val="30"/>
          <w:lang w:eastAsia="zh-CN"/>
        </w:rPr>
      </w:pPr>
      <w:r>
        <w:rPr>
          <w:rFonts w:hint="eastAsia" w:ascii="仿宋" w:hAnsi="仿宋" w:eastAsia="仿宋"/>
          <w:color w:val="auto"/>
          <w:sz w:val="30"/>
        </w:rPr>
        <w:t>德宏傣族景颇族自治州甘蔗科学研究所2019年度支出合计703.4万元。其中：</w:t>
      </w:r>
      <w:r>
        <w:rPr>
          <w:rFonts w:hint="eastAsia" w:ascii="仿宋" w:hAnsi="仿宋" w:eastAsia="仿宋"/>
          <w:color w:val="auto"/>
          <w:kern w:val="0"/>
          <w:sz w:val="30"/>
        </w:rPr>
        <w:t>基本支出</w:t>
      </w:r>
      <w:r>
        <w:rPr>
          <w:rFonts w:hint="eastAsia" w:ascii="仿宋" w:hAnsi="仿宋" w:eastAsia="仿宋"/>
          <w:color w:val="auto"/>
          <w:sz w:val="30"/>
        </w:rPr>
        <w:t>628.82万</w:t>
      </w:r>
      <w:r>
        <w:rPr>
          <w:rFonts w:hint="eastAsia" w:ascii="仿宋" w:hAnsi="仿宋" w:eastAsia="仿宋"/>
          <w:color w:val="auto"/>
          <w:kern w:val="0"/>
          <w:sz w:val="30"/>
        </w:rPr>
        <w:t>元，占总支出的</w:t>
      </w:r>
      <w:r>
        <w:rPr>
          <w:rFonts w:hint="eastAsia" w:ascii="仿宋" w:hAnsi="仿宋" w:eastAsia="仿宋"/>
          <w:color w:val="auto"/>
          <w:sz w:val="30"/>
        </w:rPr>
        <w:t>89.4%</w:t>
      </w:r>
      <w:r>
        <w:rPr>
          <w:rFonts w:hint="eastAsia" w:ascii="仿宋" w:hAnsi="仿宋" w:eastAsia="仿宋"/>
          <w:color w:val="auto"/>
          <w:kern w:val="0"/>
          <w:sz w:val="30"/>
        </w:rPr>
        <w:t>；项目支出</w:t>
      </w:r>
      <w:r>
        <w:rPr>
          <w:rFonts w:hint="eastAsia" w:ascii="仿宋" w:hAnsi="仿宋" w:eastAsia="仿宋"/>
          <w:color w:val="auto"/>
          <w:sz w:val="30"/>
        </w:rPr>
        <w:t>74.58万</w:t>
      </w:r>
      <w:r>
        <w:rPr>
          <w:rFonts w:hint="eastAsia" w:ascii="仿宋" w:hAnsi="仿宋" w:eastAsia="仿宋"/>
          <w:color w:val="auto"/>
          <w:kern w:val="0"/>
          <w:sz w:val="30"/>
        </w:rPr>
        <w:t>元，占总支出的</w:t>
      </w:r>
      <w:r>
        <w:rPr>
          <w:rFonts w:hint="eastAsia" w:ascii="仿宋" w:hAnsi="仿宋" w:eastAsia="仿宋"/>
          <w:color w:val="auto"/>
          <w:sz w:val="30"/>
        </w:rPr>
        <w:t>10.6%</w:t>
      </w:r>
      <w:r>
        <w:rPr>
          <w:rFonts w:hint="eastAsia" w:ascii="仿宋" w:hAnsi="仿宋" w:eastAsia="仿宋"/>
          <w:color w:val="auto"/>
          <w:kern w:val="0"/>
          <w:sz w:val="30"/>
        </w:rPr>
        <w:t>；上缴上级支出、经营支出、对附属单位补助支出共</w:t>
      </w:r>
      <w:r>
        <w:rPr>
          <w:rFonts w:hint="eastAsia" w:ascii="仿宋" w:hAnsi="仿宋" w:eastAsia="仿宋"/>
          <w:color w:val="auto"/>
          <w:sz w:val="30"/>
        </w:rPr>
        <w:t>0万</w:t>
      </w:r>
      <w:r>
        <w:rPr>
          <w:rFonts w:hint="eastAsia" w:ascii="仿宋" w:hAnsi="仿宋" w:eastAsia="仿宋"/>
          <w:color w:val="auto"/>
          <w:kern w:val="0"/>
          <w:sz w:val="30"/>
        </w:rPr>
        <w:t>元，占总支出的</w:t>
      </w:r>
      <w:r>
        <w:rPr>
          <w:rFonts w:hint="eastAsia" w:ascii="仿宋" w:hAnsi="仿宋" w:eastAsia="仿宋"/>
          <w:color w:val="auto"/>
          <w:sz w:val="30"/>
        </w:rPr>
        <w:t>0%</w:t>
      </w:r>
      <w:r>
        <w:rPr>
          <w:rFonts w:hint="eastAsia" w:ascii="仿宋" w:hAnsi="仿宋" w:eastAsia="仿宋"/>
          <w:color w:val="auto"/>
          <w:kern w:val="0"/>
          <w:sz w:val="30"/>
        </w:rPr>
        <w:t>。</w:t>
      </w:r>
      <w:r>
        <w:rPr>
          <w:rFonts w:hint="eastAsia" w:ascii="仿宋" w:hAnsi="仿宋" w:eastAsia="仿宋"/>
          <w:color w:val="auto"/>
          <w:sz w:val="30"/>
        </w:rPr>
        <w:t>与上年对比</w:t>
      </w:r>
      <w:r>
        <w:rPr>
          <w:rFonts w:hint="eastAsia" w:ascii="仿宋" w:hAnsi="仿宋" w:eastAsia="仿宋"/>
          <w:color w:val="auto"/>
          <w:sz w:val="30"/>
          <w:lang w:eastAsia="zh-CN"/>
        </w:rPr>
        <w:t>支出增加</w:t>
      </w:r>
      <w:r>
        <w:rPr>
          <w:rFonts w:hint="eastAsia" w:ascii="仿宋" w:hAnsi="仿宋" w:eastAsia="仿宋"/>
          <w:color w:val="auto"/>
          <w:sz w:val="30"/>
          <w:lang w:val="en-US" w:eastAsia="zh-CN"/>
        </w:rPr>
        <w:t>67.32万元</w:t>
      </w:r>
      <w:r>
        <w:rPr>
          <w:rFonts w:hint="eastAsia" w:ascii="仿宋" w:hAnsi="仿宋" w:eastAsia="仿宋"/>
          <w:color w:val="auto"/>
          <w:sz w:val="30"/>
        </w:rPr>
        <w:t>，</w:t>
      </w:r>
      <w:r>
        <w:rPr>
          <w:rFonts w:hint="eastAsia" w:ascii="仿宋" w:hAnsi="仿宋" w:eastAsia="仿宋"/>
          <w:color w:val="auto"/>
          <w:sz w:val="30"/>
          <w:lang w:eastAsia="zh-CN"/>
        </w:rPr>
        <w:t>支出增加的</w:t>
      </w:r>
      <w:r>
        <w:rPr>
          <w:rFonts w:hint="eastAsia" w:ascii="仿宋" w:hAnsi="仿宋" w:eastAsia="仿宋"/>
          <w:color w:val="auto"/>
          <w:sz w:val="30"/>
        </w:rPr>
        <w:t>主要原因</w:t>
      </w:r>
      <w:r>
        <w:rPr>
          <w:rFonts w:hint="eastAsia" w:ascii="仿宋" w:hAnsi="仿宋" w:eastAsia="仿宋"/>
          <w:color w:val="auto"/>
          <w:sz w:val="30"/>
          <w:lang w:eastAsia="zh-CN"/>
        </w:rPr>
        <w:t>是人员经费基本工资增加及项目经费支出增加。</w:t>
      </w:r>
    </w:p>
    <w:p>
      <w:pPr>
        <w:spacing w:line="600" w:lineRule="exact"/>
        <w:ind w:firstLine="600"/>
        <w:rPr>
          <w:rFonts w:hint="eastAsia" w:ascii="仿宋" w:hAnsi="仿宋" w:eastAsia="仿宋"/>
          <w:color w:val="FF0000"/>
          <w:kern w:val="0"/>
          <w:sz w:val="30"/>
          <w:lang w:eastAsia="zh-CN"/>
        </w:rPr>
      </w:pPr>
      <w:r>
        <w:rPr>
          <w:rFonts w:hint="eastAsia" w:ascii="仿宋" w:hAnsi="仿宋" w:eastAsia="仿宋"/>
          <w:color w:val="FF0000"/>
          <w:kern w:val="0"/>
          <w:sz w:val="30"/>
          <w:lang w:eastAsia="zh-CN"/>
        </w:rPr>
        <w:drawing>
          <wp:anchor distT="0" distB="0" distL="114300" distR="114300" simplePos="0" relativeHeight="251660288" behindDoc="0" locked="0" layoutInCell="1" allowOverlap="1">
            <wp:simplePos x="0" y="0"/>
            <wp:positionH relativeFrom="column">
              <wp:posOffset>518160</wp:posOffset>
            </wp:positionH>
            <wp:positionV relativeFrom="paragraph">
              <wp:posOffset>-16510</wp:posOffset>
            </wp:positionV>
            <wp:extent cx="4385945" cy="2545080"/>
            <wp:effectExtent l="4445" t="4445" r="10160" b="22225"/>
            <wp:wrapSquare wrapText="bothSides"/>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spacing w:line="600" w:lineRule="exact"/>
        <w:ind w:firstLine="600"/>
        <w:rPr>
          <w:rFonts w:hint="eastAsia" w:ascii="仿宋" w:hAnsi="仿宋" w:eastAsia="仿宋"/>
          <w:color w:val="FF0000"/>
          <w:kern w:val="0"/>
          <w:sz w:val="30"/>
        </w:rPr>
      </w:pPr>
    </w:p>
    <w:p>
      <w:pPr>
        <w:spacing w:line="600" w:lineRule="exact"/>
        <w:ind w:firstLine="600"/>
        <w:rPr>
          <w:rFonts w:hint="eastAsia" w:ascii="仿宋" w:hAnsi="仿宋" w:eastAsia="仿宋"/>
          <w:color w:val="FF0000"/>
          <w:kern w:val="0"/>
          <w:sz w:val="30"/>
        </w:rPr>
      </w:pPr>
    </w:p>
    <w:p>
      <w:pPr>
        <w:spacing w:line="600" w:lineRule="exact"/>
        <w:ind w:firstLine="600"/>
        <w:rPr>
          <w:rFonts w:hint="eastAsia" w:ascii="仿宋" w:hAnsi="仿宋" w:eastAsia="仿宋"/>
          <w:color w:val="FF0000"/>
          <w:kern w:val="0"/>
          <w:sz w:val="30"/>
        </w:rPr>
      </w:pPr>
    </w:p>
    <w:p>
      <w:pPr>
        <w:spacing w:line="600" w:lineRule="exact"/>
        <w:ind w:firstLine="600"/>
        <w:rPr>
          <w:rFonts w:hint="eastAsia" w:ascii="仿宋" w:hAnsi="仿宋" w:eastAsia="仿宋"/>
          <w:color w:val="FF0000"/>
          <w:kern w:val="0"/>
          <w:sz w:val="30"/>
        </w:rPr>
      </w:pPr>
    </w:p>
    <w:p>
      <w:pPr>
        <w:spacing w:line="600" w:lineRule="exact"/>
        <w:ind w:firstLine="600"/>
        <w:rPr>
          <w:rFonts w:hint="eastAsia" w:ascii="仿宋" w:hAnsi="仿宋" w:eastAsia="仿宋"/>
          <w:color w:val="FF0000"/>
          <w:kern w:val="0"/>
          <w:sz w:val="30"/>
        </w:rPr>
      </w:pPr>
    </w:p>
    <w:p>
      <w:pPr>
        <w:spacing w:line="600" w:lineRule="exact"/>
        <w:ind w:firstLine="600"/>
        <w:rPr>
          <w:rFonts w:hint="eastAsia" w:ascii="仿宋" w:hAnsi="仿宋" w:eastAsia="仿宋"/>
          <w:color w:val="FF0000"/>
          <w:kern w:val="0"/>
          <w:sz w:val="30"/>
        </w:rPr>
      </w:pPr>
    </w:p>
    <w:p>
      <w:pPr>
        <w:spacing w:before="100" w:after="100" w:line="600" w:lineRule="exact"/>
        <w:ind w:firstLine="300" w:firstLineChars="100"/>
        <w:jc w:val="left"/>
        <w:rPr>
          <w:rFonts w:hint="default" w:eastAsia="Times New Roman"/>
          <w:color w:val="auto"/>
          <w:sz w:val="30"/>
        </w:rPr>
      </w:pPr>
      <w:r>
        <w:rPr>
          <w:rFonts w:hint="eastAsia" w:ascii="楷体" w:hAnsi="楷体" w:eastAsia="楷体"/>
          <w:color w:val="auto"/>
          <w:sz w:val="30"/>
        </w:rPr>
        <w:t>（一）基本支出情况</w:t>
      </w:r>
    </w:p>
    <w:p>
      <w:pPr>
        <w:spacing w:before="100" w:after="100" w:line="600" w:lineRule="exact"/>
        <w:ind w:firstLine="600"/>
        <w:jc w:val="left"/>
        <w:rPr>
          <w:rFonts w:hint="default" w:eastAsia="Times New Roman"/>
          <w:color w:val="auto"/>
          <w:sz w:val="30"/>
        </w:rPr>
      </w:pPr>
      <w:r>
        <w:rPr>
          <w:rFonts w:hint="eastAsia" w:ascii="仿宋" w:hAnsi="仿宋" w:eastAsia="仿宋"/>
          <w:color w:val="auto"/>
          <w:sz w:val="30"/>
        </w:rPr>
        <w:t>2019年度用于保障德宏傣族景颇族自治州甘蔗科学研究所机关、下属事业单位等机构正常运转的日常支出628.82万元。与上年对比</w:t>
      </w:r>
      <w:r>
        <w:rPr>
          <w:rFonts w:hint="eastAsia" w:ascii="仿宋" w:hAnsi="仿宋" w:eastAsia="仿宋"/>
          <w:color w:val="auto"/>
          <w:sz w:val="30"/>
          <w:lang w:eastAsia="zh-CN"/>
        </w:rPr>
        <w:t>增加</w:t>
      </w:r>
      <w:r>
        <w:rPr>
          <w:rFonts w:hint="eastAsia" w:ascii="仿宋" w:hAnsi="仿宋" w:eastAsia="仿宋"/>
          <w:color w:val="auto"/>
          <w:sz w:val="30"/>
          <w:lang w:val="en-US" w:eastAsia="zh-CN"/>
        </w:rPr>
        <w:t>37.71万元</w:t>
      </w:r>
      <w:r>
        <w:rPr>
          <w:rFonts w:hint="eastAsia" w:ascii="仿宋" w:hAnsi="仿宋" w:eastAsia="仿宋"/>
          <w:color w:val="auto"/>
          <w:sz w:val="30"/>
        </w:rPr>
        <w:t>，</w:t>
      </w:r>
      <w:r>
        <w:rPr>
          <w:rFonts w:hint="eastAsia" w:ascii="仿宋" w:hAnsi="仿宋" w:eastAsia="仿宋"/>
          <w:color w:val="auto"/>
          <w:sz w:val="30"/>
          <w:lang w:eastAsia="zh-CN"/>
        </w:rPr>
        <w:t>增加的</w:t>
      </w:r>
      <w:r>
        <w:rPr>
          <w:rFonts w:hint="eastAsia" w:ascii="仿宋" w:hAnsi="仿宋" w:eastAsia="仿宋"/>
          <w:color w:val="auto"/>
          <w:sz w:val="30"/>
        </w:rPr>
        <w:t>主要原因</w:t>
      </w:r>
      <w:r>
        <w:rPr>
          <w:rFonts w:hint="eastAsia" w:ascii="仿宋" w:hAnsi="仿宋" w:eastAsia="仿宋"/>
          <w:color w:val="auto"/>
          <w:sz w:val="30"/>
          <w:lang w:eastAsia="zh-CN"/>
        </w:rPr>
        <w:t>是人员经费基本工资增加</w:t>
      </w:r>
      <w:r>
        <w:rPr>
          <w:rFonts w:hint="eastAsia" w:ascii="仿宋" w:hAnsi="仿宋" w:eastAsia="仿宋"/>
          <w:color w:val="auto"/>
          <w:sz w:val="30"/>
        </w:rPr>
        <w:t>。包括基本工资、津贴补贴等人员经费支出占基本支出的96.26%；办公费、印刷费、水电费、办公设备购置等日常公用经费占基本支出的3.74</w:t>
      </w:r>
      <w:r>
        <w:rPr>
          <w:rFonts w:hint="eastAsia" w:ascii="仿宋" w:hAnsi="仿宋" w:eastAsia="仿宋"/>
          <w:color w:val="000000"/>
          <w:sz w:val="30"/>
        </w:rPr>
        <w:t>%。</w:t>
      </w:r>
    </w:p>
    <w:p>
      <w:pPr>
        <w:spacing w:before="100" w:after="100" w:line="600" w:lineRule="exact"/>
        <w:ind w:firstLine="538"/>
        <w:jc w:val="left"/>
        <w:rPr>
          <w:rFonts w:hint="eastAsia" w:ascii="仿宋" w:hAnsi="仿宋" w:eastAsia="仿宋"/>
          <w:color w:val="FF0000"/>
          <w:sz w:val="30"/>
        </w:rPr>
      </w:pPr>
      <w:r>
        <w:rPr>
          <w:rFonts w:hint="eastAsia" w:ascii="仿宋" w:hAnsi="仿宋" w:eastAsia="仿宋"/>
          <w:color w:val="FF0000"/>
          <w:sz w:val="30"/>
          <w:lang w:eastAsia="zh-CN"/>
        </w:rPr>
        <w:drawing>
          <wp:anchor distT="0" distB="0" distL="114300" distR="114300" simplePos="0" relativeHeight="251661312" behindDoc="0" locked="0" layoutInCell="1" allowOverlap="1">
            <wp:simplePos x="0" y="0"/>
            <wp:positionH relativeFrom="column">
              <wp:posOffset>346075</wp:posOffset>
            </wp:positionH>
            <wp:positionV relativeFrom="paragraph">
              <wp:posOffset>45720</wp:posOffset>
            </wp:positionV>
            <wp:extent cx="4051300" cy="2724150"/>
            <wp:effectExtent l="4445" t="4445" r="20955" b="14605"/>
            <wp:wrapSquare wrapText="bothSides"/>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spacing w:before="100" w:after="100" w:line="600" w:lineRule="exact"/>
        <w:ind w:firstLine="538"/>
        <w:jc w:val="left"/>
        <w:rPr>
          <w:rFonts w:hint="eastAsia" w:ascii="仿宋" w:hAnsi="仿宋" w:eastAsia="仿宋"/>
          <w:color w:val="FF0000"/>
          <w:sz w:val="30"/>
        </w:rPr>
      </w:pPr>
    </w:p>
    <w:p>
      <w:pPr>
        <w:spacing w:before="100" w:after="100" w:line="600" w:lineRule="exact"/>
        <w:ind w:firstLine="538"/>
        <w:jc w:val="left"/>
        <w:rPr>
          <w:rFonts w:hint="eastAsia" w:ascii="仿宋" w:hAnsi="仿宋" w:eastAsia="仿宋"/>
          <w:color w:val="FF0000"/>
          <w:sz w:val="30"/>
          <w:lang w:eastAsia="zh-CN"/>
        </w:rPr>
      </w:pPr>
    </w:p>
    <w:p>
      <w:pPr>
        <w:spacing w:before="100" w:after="100" w:line="600" w:lineRule="exact"/>
        <w:ind w:firstLine="538"/>
        <w:jc w:val="left"/>
        <w:rPr>
          <w:rFonts w:hint="eastAsia" w:ascii="仿宋" w:hAnsi="仿宋" w:eastAsia="仿宋"/>
          <w:color w:val="FF0000"/>
          <w:sz w:val="30"/>
        </w:rPr>
      </w:pPr>
    </w:p>
    <w:p>
      <w:pPr>
        <w:spacing w:before="100" w:after="100" w:line="600" w:lineRule="exact"/>
        <w:ind w:firstLine="538"/>
        <w:jc w:val="left"/>
        <w:rPr>
          <w:rFonts w:hint="eastAsia" w:ascii="仿宋" w:hAnsi="仿宋" w:eastAsia="仿宋"/>
          <w:color w:val="FF0000"/>
          <w:sz w:val="30"/>
        </w:rPr>
      </w:pPr>
    </w:p>
    <w:p>
      <w:pPr>
        <w:spacing w:before="100" w:after="100" w:line="600" w:lineRule="exact"/>
        <w:jc w:val="left"/>
        <w:rPr>
          <w:rFonts w:hint="eastAsia" w:ascii="楷体" w:hAnsi="楷体" w:eastAsia="楷体"/>
          <w:color w:val="auto"/>
          <w:sz w:val="30"/>
        </w:rPr>
      </w:pPr>
    </w:p>
    <w:p>
      <w:pPr>
        <w:spacing w:before="100" w:after="100" w:line="600" w:lineRule="exact"/>
        <w:jc w:val="left"/>
        <w:rPr>
          <w:rFonts w:hint="eastAsia" w:ascii="楷体" w:hAnsi="楷体" w:eastAsia="楷体"/>
          <w:color w:val="auto"/>
          <w:sz w:val="30"/>
        </w:rPr>
      </w:pPr>
    </w:p>
    <w:p>
      <w:pPr>
        <w:spacing w:before="100" w:after="100" w:line="600" w:lineRule="exact"/>
        <w:jc w:val="left"/>
        <w:rPr>
          <w:rFonts w:hint="default" w:eastAsia="Times New Roman"/>
          <w:color w:val="auto"/>
          <w:sz w:val="30"/>
        </w:rPr>
      </w:pPr>
      <w:r>
        <w:rPr>
          <w:rFonts w:hint="eastAsia" w:ascii="楷体" w:hAnsi="楷体" w:eastAsia="楷体"/>
          <w:color w:val="auto"/>
          <w:sz w:val="30"/>
        </w:rPr>
        <w:t>（二）项目支出情况</w:t>
      </w:r>
    </w:p>
    <w:p>
      <w:pPr>
        <w:spacing w:before="100" w:after="100" w:line="600" w:lineRule="exact"/>
        <w:ind w:firstLine="600"/>
        <w:jc w:val="left"/>
        <w:rPr>
          <w:rFonts w:hint="eastAsia" w:ascii="仿宋" w:hAnsi="仿宋" w:eastAsia="仿宋"/>
          <w:color w:val="000000" w:themeColor="text1"/>
          <w:sz w:val="30"/>
          <w14:textFill>
            <w14:solidFill>
              <w14:schemeClr w14:val="tx1"/>
            </w14:solidFill>
          </w14:textFill>
        </w:rPr>
      </w:pPr>
      <w:r>
        <w:rPr>
          <w:rFonts w:hint="eastAsia" w:ascii="仿宋" w:hAnsi="仿宋" w:eastAsia="仿宋"/>
          <w:color w:val="auto"/>
          <w:sz w:val="30"/>
        </w:rPr>
        <w:t>2019年度用于保障德宏傣族景颇族自治州甘蔗科学研究所机构、下属事业单位等机构为完成特定的行政工作任务或事业发展目标，用于专项业务工作的经费支出74.58万元。</w:t>
      </w:r>
      <w:r>
        <w:rPr>
          <w:rFonts w:hint="eastAsia" w:ascii="仿宋" w:hAnsi="仿宋" w:eastAsia="仿宋"/>
          <w:color w:val="000000" w:themeColor="text1"/>
          <w:sz w:val="30"/>
          <w14:textFill>
            <w14:solidFill>
              <w14:schemeClr w14:val="tx1"/>
            </w14:solidFill>
          </w14:textFill>
        </w:rPr>
        <w:t>与上年对比</w:t>
      </w:r>
      <w:r>
        <w:rPr>
          <w:rFonts w:hint="eastAsia" w:ascii="仿宋" w:hAnsi="仿宋" w:eastAsia="仿宋"/>
          <w:color w:val="000000" w:themeColor="text1"/>
          <w:sz w:val="30"/>
          <w:lang w:eastAsia="zh-CN"/>
          <w14:textFill>
            <w14:solidFill>
              <w14:schemeClr w14:val="tx1"/>
            </w14:solidFill>
          </w14:textFill>
        </w:rPr>
        <w:t>增加支出</w:t>
      </w:r>
      <w:r>
        <w:rPr>
          <w:rFonts w:hint="eastAsia" w:ascii="仿宋" w:hAnsi="仿宋" w:eastAsia="仿宋"/>
          <w:color w:val="000000" w:themeColor="text1"/>
          <w:sz w:val="30"/>
          <w:lang w:val="en-US" w:eastAsia="zh-CN"/>
          <w14:textFill>
            <w14:solidFill>
              <w14:schemeClr w14:val="tx1"/>
            </w14:solidFill>
          </w14:textFill>
        </w:rPr>
        <w:t>29.61万元，</w:t>
      </w:r>
      <w:r>
        <w:rPr>
          <w:rFonts w:hint="eastAsia" w:ascii="仿宋" w:hAnsi="仿宋" w:eastAsia="仿宋"/>
          <w:color w:val="000000" w:themeColor="text1"/>
          <w:sz w:val="30"/>
          <w14:textFill>
            <w14:solidFill>
              <w14:schemeClr w14:val="tx1"/>
            </w14:solidFill>
          </w14:textFill>
        </w:rPr>
        <w:t>主要原因</w:t>
      </w:r>
      <w:r>
        <w:rPr>
          <w:rFonts w:hint="eastAsia" w:ascii="仿宋" w:hAnsi="仿宋" w:eastAsia="仿宋"/>
          <w:color w:val="000000" w:themeColor="text1"/>
          <w:sz w:val="30"/>
          <w:lang w:eastAsia="zh-CN"/>
          <w14:textFill>
            <w14:solidFill>
              <w14:schemeClr w14:val="tx1"/>
            </w14:solidFill>
          </w14:textFill>
        </w:rPr>
        <w:t>是新项目增加。</w:t>
      </w:r>
    </w:p>
    <w:p>
      <w:pPr>
        <w:spacing w:before="100" w:after="100" w:line="600" w:lineRule="exact"/>
        <w:jc w:val="left"/>
        <w:rPr>
          <w:rFonts w:hint="eastAsia" w:ascii="仿宋" w:hAnsi="仿宋" w:eastAsia="仿宋"/>
          <w:color w:val="000000" w:themeColor="text1"/>
          <w:sz w:val="30"/>
          <w:lang w:eastAsia="zh-CN"/>
          <w14:textFill>
            <w14:solidFill>
              <w14:schemeClr w14:val="tx1"/>
            </w14:solidFill>
          </w14:textFill>
        </w:rPr>
      </w:pPr>
      <w:r>
        <w:rPr>
          <w:rFonts w:hint="eastAsia" w:ascii="仿宋" w:hAnsi="仿宋" w:eastAsia="仿宋"/>
          <w:color w:val="000000" w:themeColor="text1"/>
          <w:sz w:val="30"/>
          <w14:textFill>
            <w14:solidFill>
              <w14:schemeClr w14:val="tx1"/>
            </w14:solidFill>
          </w14:textFill>
        </w:rPr>
        <w:t>具体项目开展工作</w:t>
      </w:r>
      <w:r>
        <w:rPr>
          <w:rFonts w:hint="eastAsia" w:ascii="仿宋" w:hAnsi="仿宋" w:eastAsia="仿宋"/>
          <w:color w:val="000000" w:themeColor="text1"/>
          <w:sz w:val="30"/>
          <w:lang w:eastAsia="zh-CN"/>
          <w14:textFill>
            <w14:solidFill>
              <w14:schemeClr w14:val="tx1"/>
            </w14:solidFill>
          </w14:textFill>
        </w:rPr>
        <w:t>情况</w:t>
      </w:r>
    </w:p>
    <w:p>
      <w:pPr>
        <w:snapToGrid w:val="0"/>
        <w:spacing w:line="360" w:lineRule="auto"/>
        <w:ind w:firstLine="300" w:firstLineChars="100"/>
        <w:outlineLvl w:val="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1、甘蔗抗逆栽培技术，现代绿色高效甘蔗生产技术现场观摩，宿根甘蔗持续丰产栽培试验。</w:t>
      </w:r>
    </w:p>
    <w:p>
      <w:pPr>
        <w:snapToGrid w:val="0"/>
        <w:spacing w:line="360" w:lineRule="auto"/>
        <w:ind w:firstLine="300" w:firstLineChars="100"/>
        <w:outlineLvl w:val="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2、农作物品种登记试验示范推广，在全国甘蔗主产区，对已经登记的甘蔗品种，通过集中展示全面反应品种的丰产性，稳定性、抗逆性、适应性品质等特征性，为民选种用种提供参考。</w:t>
      </w:r>
    </w:p>
    <w:p>
      <w:pPr>
        <w:snapToGrid w:val="0"/>
        <w:spacing w:line="360" w:lineRule="auto"/>
        <w:ind w:firstLine="300" w:firstLineChars="100"/>
        <w:outlineLvl w:val="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云南省突破性甘蔗新品种选育，利用甘蔗遗传基因，开展杂交育种选育工作，通过五圃制选育，筛选出适宜我州种植的新品种。利用育种科研单位的成果，进行新品种引种筛选利用。育成高产高糖抗逆性强、符合甘蔗品种审定标准的新品种并在全州范围内进行新品种种植试验示范。</w:t>
      </w:r>
    </w:p>
    <w:p>
      <w:pPr>
        <w:snapToGrid w:val="0"/>
        <w:spacing w:line="360" w:lineRule="auto"/>
        <w:ind w:firstLine="300" w:firstLineChars="100"/>
        <w:outlineLvl w:val="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农牧业农科院国家糖料体系，建设50亩试验示范基地和100亩核心示范区，开展甘蔗新品种、间套种和病虫害防治技术的试验示范。辐射带动示范区域内开展甘蔗新品种、间套种技术、病虫害防治等技术推广应用，开展技术科技培训。</w:t>
      </w:r>
    </w:p>
    <w:p>
      <w:pPr>
        <w:snapToGrid w:val="0"/>
        <w:spacing w:line="360" w:lineRule="auto"/>
        <w:ind w:firstLine="300" w:firstLineChars="100"/>
        <w:outlineLvl w:val="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三区”人才支持计划科技人员专项，经过认定的云南省优质种业基地、农业科技示范园、农产品深加工企业、高新技术企业、创新型试点企业及其他重点企业等为受援地服务对象提供科技服务或到受援地开展科技创业。</w:t>
      </w:r>
    </w:p>
    <w:p>
      <w:pPr>
        <w:snapToGrid w:val="0"/>
        <w:spacing w:line="360" w:lineRule="auto"/>
        <w:ind w:firstLine="300" w:firstLineChars="100"/>
        <w:outlineLvl w:val="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糖料蔗竞争力提升，在陇川县景罕镇景罕村委会景恩村小组和芒市轩岗乡遮相农场十对开展230亩糖料竞争力提升，采用甘蔗优质良种、宽膜双沟覆盖、蔗叶粉碎还田等技术措施。开展技术培训、（培训内容：甘蔗丰产技术栽培技术、甘蔗病虫害综合防治技术）。</w:t>
      </w:r>
    </w:p>
    <w:p>
      <w:pPr>
        <w:snapToGrid w:val="0"/>
        <w:spacing w:line="360" w:lineRule="auto"/>
        <w:ind w:firstLine="300" w:firstLineChars="100"/>
        <w:outlineLvl w:val="0"/>
        <w:rPr>
          <w:rFonts w:hint="eastAsia" w:ascii="仿宋" w:hAnsi="仿宋" w:eastAsia="仿宋"/>
          <w:color w:val="000000" w:themeColor="text1"/>
          <w:sz w:val="30"/>
          <w:lang w:eastAsia="zh-CN"/>
          <w14:textFill>
            <w14:solidFill>
              <w14:schemeClr w14:val="tx1"/>
            </w14:solidFill>
          </w14:textFill>
        </w:rPr>
      </w:pPr>
      <w:r>
        <w:rPr>
          <w:rFonts w:hint="eastAsia" w:ascii="仿宋" w:hAnsi="仿宋" w:eastAsia="仿宋"/>
          <w:color w:val="000000" w:themeColor="text1"/>
          <w:sz w:val="30"/>
          <w14:textFill>
            <w14:solidFill>
              <w14:schemeClr w14:val="tx1"/>
            </w14:solidFill>
          </w14:textFill>
        </w:rPr>
        <w:t>具体项目开支</w:t>
      </w:r>
      <w:r>
        <w:rPr>
          <w:rFonts w:hint="eastAsia" w:ascii="仿宋" w:hAnsi="仿宋" w:eastAsia="仿宋"/>
          <w:color w:val="000000" w:themeColor="text1"/>
          <w:sz w:val="30"/>
          <w:lang w:eastAsia="zh-CN"/>
          <w14:textFill>
            <w14:solidFill>
              <w14:schemeClr w14:val="tx1"/>
            </w14:solidFill>
          </w14:textFill>
        </w:rPr>
        <w:t>情况：</w:t>
      </w:r>
    </w:p>
    <w:p>
      <w:pPr>
        <w:numPr>
          <w:ilvl w:val="0"/>
          <w:numId w:val="1"/>
        </w:numPr>
        <w:snapToGrid w:val="0"/>
        <w:spacing w:line="360" w:lineRule="auto"/>
        <w:ind w:firstLine="300" w:firstLineChars="100"/>
        <w:outlineLvl w:val="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甘蔗抗逆栽培技术经费其他基础研究支出3万元</w:t>
      </w:r>
    </w:p>
    <w:p>
      <w:pPr>
        <w:numPr>
          <w:ilvl w:val="0"/>
          <w:numId w:val="1"/>
        </w:numPr>
        <w:snapToGrid w:val="0"/>
        <w:spacing w:line="360" w:lineRule="auto"/>
        <w:ind w:firstLine="300" w:firstLineChars="100"/>
        <w:outlineLvl w:val="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农作物品种登记试验示范推广经费：其他基础研究支出                   1.32万元</w:t>
      </w:r>
    </w:p>
    <w:p>
      <w:pPr>
        <w:numPr>
          <w:ilvl w:val="0"/>
          <w:numId w:val="1"/>
        </w:numPr>
        <w:snapToGrid w:val="0"/>
        <w:spacing w:line="360" w:lineRule="auto"/>
        <w:ind w:firstLine="300" w:firstLineChars="100"/>
        <w:outlineLvl w:val="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云南省突破性甘蔗新品种选育经费其他基础研究支出15.26万元</w:t>
      </w:r>
    </w:p>
    <w:p>
      <w:pPr>
        <w:numPr>
          <w:ilvl w:val="0"/>
          <w:numId w:val="1"/>
        </w:numPr>
        <w:snapToGrid w:val="0"/>
        <w:spacing w:line="360" w:lineRule="auto"/>
        <w:ind w:firstLine="300" w:firstLineChars="100"/>
        <w:outlineLvl w:val="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农牧业农科院国家糖料体系经费社会公益研究支出43.41万元</w:t>
      </w:r>
    </w:p>
    <w:p>
      <w:pPr>
        <w:numPr>
          <w:ilvl w:val="0"/>
          <w:numId w:val="1"/>
        </w:numPr>
        <w:snapToGrid w:val="0"/>
        <w:spacing w:line="360" w:lineRule="auto"/>
        <w:ind w:firstLine="300" w:firstLineChars="100"/>
        <w:outlineLvl w:val="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“三区”人才支持计划科技人员专项“三区”人才支持计划科技人员专项经费其他科学技术支出1.58万元</w:t>
      </w:r>
    </w:p>
    <w:p>
      <w:pPr>
        <w:numPr>
          <w:ilvl w:val="0"/>
          <w:numId w:val="1"/>
        </w:numPr>
        <w:snapToGrid w:val="0"/>
        <w:spacing w:line="360" w:lineRule="auto"/>
        <w:ind w:firstLine="300" w:firstLineChars="100"/>
        <w:outlineLvl w:val="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糖料蔗竞争力提升经费科技转化与推广服务支出10万元</w:t>
      </w:r>
    </w:p>
    <w:p>
      <w:pPr>
        <w:numPr>
          <w:ilvl w:val="0"/>
          <w:numId w:val="0"/>
        </w:numPr>
        <w:snapToGrid w:val="0"/>
        <w:spacing w:line="360" w:lineRule="auto"/>
        <w:outlineLvl w:val="0"/>
        <w:rPr>
          <w:rFonts w:hint="eastAsia" w:ascii="仿宋" w:hAnsi="仿宋" w:eastAsia="仿宋"/>
          <w:color w:val="auto"/>
          <w:sz w:val="30"/>
        </w:rPr>
      </w:pPr>
      <w:r>
        <w:rPr>
          <w:rFonts w:hint="eastAsia" w:ascii="仿宋" w:hAnsi="仿宋" w:eastAsia="仿宋"/>
          <w:color w:val="auto"/>
          <w:sz w:val="30"/>
        </w:rPr>
        <w:t>（各部门可结合实际制作支出分布图表等）</w:t>
      </w:r>
    </w:p>
    <w:p>
      <w:pPr>
        <w:numPr>
          <w:ilvl w:val="0"/>
          <w:numId w:val="0"/>
        </w:numPr>
        <w:snapToGrid w:val="0"/>
        <w:spacing w:line="360" w:lineRule="auto"/>
        <w:outlineLvl w:val="0"/>
        <w:rPr>
          <w:rFonts w:hint="eastAsia" w:ascii="仿宋" w:hAnsi="仿宋" w:eastAsia="仿宋"/>
          <w:color w:val="auto"/>
          <w:sz w:val="30"/>
        </w:rPr>
      </w:pPr>
      <w:r>
        <w:rPr>
          <w:rFonts w:hint="eastAsia" w:ascii="仿宋" w:hAnsi="仿宋" w:eastAsia="仿宋"/>
          <w:color w:val="auto"/>
          <w:sz w:val="30"/>
          <w:lang w:eastAsia="zh-CN"/>
        </w:rPr>
        <w:drawing>
          <wp:inline distT="0" distB="0" distL="114300" distR="114300">
            <wp:extent cx="3832225" cy="2544445"/>
            <wp:effectExtent l="4445" t="4445" r="11430" b="2286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numPr>
          <w:ilvl w:val="0"/>
          <w:numId w:val="0"/>
        </w:numPr>
        <w:snapToGrid w:val="0"/>
        <w:spacing w:line="360" w:lineRule="auto"/>
        <w:outlineLvl w:val="0"/>
        <w:rPr>
          <w:rFonts w:hint="eastAsia" w:ascii="仿宋" w:hAnsi="仿宋" w:eastAsia="仿宋"/>
          <w:color w:val="auto"/>
          <w:sz w:val="30"/>
        </w:rPr>
      </w:pPr>
    </w:p>
    <w:p>
      <w:pPr>
        <w:spacing w:before="100" w:after="100" w:line="600" w:lineRule="exact"/>
        <w:ind w:firstLine="300" w:firstLineChars="100"/>
        <w:jc w:val="left"/>
        <w:rPr>
          <w:rFonts w:hint="default" w:eastAsia="Times New Roman"/>
          <w:color w:val="auto"/>
          <w:sz w:val="30"/>
        </w:rPr>
      </w:pPr>
      <w:r>
        <w:rPr>
          <w:rFonts w:hint="eastAsia" w:ascii="黑体" w:hAnsi="黑体" w:eastAsia="黑体"/>
          <w:color w:val="auto"/>
          <w:sz w:val="30"/>
        </w:rPr>
        <w:t>三、一般公共预算财政拨款支出决算情况说明</w:t>
      </w:r>
    </w:p>
    <w:p>
      <w:pPr>
        <w:spacing w:before="100" w:after="100" w:line="600" w:lineRule="exact"/>
        <w:ind w:firstLine="600"/>
        <w:jc w:val="left"/>
        <w:rPr>
          <w:rFonts w:hint="default" w:eastAsia="Times New Roman"/>
          <w:color w:val="auto"/>
          <w:sz w:val="30"/>
        </w:rPr>
      </w:pPr>
      <w:r>
        <w:rPr>
          <w:rFonts w:hint="eastAsia" w:ascii="楷体" w:hAnsi="楷体" w:eastAsia="楷体"/>
          <w:color w:val="auto"/>
          <w:sz w:val="30"/>
        </w:rPr>
        <w:t>（一）一般公共预算财政拨款支出决算总体情况</w:t>
      </w:r>
    </w:p>
    <w:p>
      <w:pPr>
        <w:spacing w:before="100" w:after="100" w:line="600" w:lineRule="exact"/>
        <w:ind w:firstLine="600"/>
        <w:jc w:val="left"/>
        <w:rPr>
          <w:rFonts w:hint="eastAsia" w:ascii="仿宋" w:hAnsi="仿宋" w:eastAsia="仿宋"/>
          <w:color w:val="auto"/>
          <w:kern w:val="0"/>
          <w:sz w:val="30"/>
          <w:lang w:eastAsia="zh-CN"/>
        </w:rPr>
      </w:pPr>
      <w:r>
        <w:rPr>
          <w:rFonts w:hint="eastAsia" w:ascii="仿宋" w:hAnsi="仿宋" w:eastAsia="仿宋"/>
          <w:color w:val="auto"/>
          <w:sz w:val="30"/>
        </w:rPr>
        <w:t>德宏傣族景颇族自治州甘蔗科学研究所</w:t>
      </w:r>
      <w:bookmarkStart w:id="0" w:name="_GoBack"/>
      <w:bookmarkEnd w:id="0"/>
      <w:r>
        <w:rPr>
          <w:rFonts w:hint="eastAsia" w:ascii="仿宋" w:hAnsi="仿宋" w:eastAsia="仿宋"/>
          <w:color w:val="auto"/>
          <w:sz w:val="30"/>
        </w:rPr>
        <w:t>2019年度一般公共预算财政拨款支出</w:t>
      </w:r>
      <w:r>
        <w:rPr>
          <w:rFonts w:hint="eastAsia" w:ascii="仿宋" w:hAnsi="仿宋" w:eastAsia="仿宋"/>
          <w:color w:val="auto"/>
          <w:kern w:val="0"/>
          <w:sz w:val="30"/>
        </w:rPr>
        <w:t>640.4万元</w:t>
      </w:r>
      <w:r>
        <w:rPr>
          <w:rFonts w:hint="default" w:eastAsia="Times New Roman"/>
          <w:color w:val="auto"/>
          <w:kern w:val="0"/>
          <w:sz w:val="30"/>
        </w:rPr>
        <w:t>,</w:t>
      </w:r>
      <w:r>
        <w:rPr>
          <w:rFonts w:hint="eastAsia" w:ascii="仿宋" w:hAnsi="仿宋" w:eastAsia="仿宋"/>
          <w:color w:val="auto"/>
          <w:kern w:val="0"/>
          <w:sz w:val="30"/>
        </w:rPr>
        <w:t>占本年支出合计的</w:t>
      </w:r>
      <w:r>
        <w:rPr>
          <w:rFonts w:hint="eastAsia" w:ascii="仿宋" w:hAnsi="仿宋" w:eastAsia="仿宋"/>
          <w:color w:val="auto"/>
          <w:sz w:val="30"/>
        </w:rPr>
        <w:t>91.04%</w:t>
      </w:r>
      <w:r>
        <w:rPr>
          <w:rFonts w:hint="eastAsia" w:ascii="仿宋" w:hAnsi="仿宋" w:eastAsia="仿宋"/>
          <w:color w:val="auto"/>
          <w:kern w:val="0"/>
          <w:sz w:val="30"/>
        </w:rPr>
        <w:t>。与上年对比</w:t>
      </w:r>
      <w:r>
        <w:rPr>
          <w:rFonts w:hint="eastAsia" w:ascii="仿宋" w:hAnsi="仿宋" w:eastAsia="仿宋"/>
          <w:color w:val="auto"/>
          <w:kern w:val="0"/>
          <w:sz w:val="30"/>
          <w:lang w:eastAsia="zh-CN"/>
        </w:rPr>
        <w:t>增加</w:t>
      </w:r>
      <w:r>
        <w:rPr>
          <w:rFonts w:hint="eastAsia" w:ascii="仿宋" w:hAnsi="仿宋" w:eastAsia="仿宋"/>
          <w:color w:val="auto"/>
          <w:kern w:val="0"/>
          <w:sz w:val="30"/>
          <w:lang w:val="en-US" w:eastAsia="zh-CN"/>
        </w:rPr>
        <w:t>16.98万元，</w:t>
      </w:r>
      <w:r>
        <w:rPr>
          <w:rFonts w:hint="eastAsia" w:ascii="仿宋" w:hAnsi="仿宋" w:eastAsia="仿宋"/>
          <w:color w:val="auto"/>
          <w:sz w:val="30"/>
        </w:rPr>
        <w:t>主要</w:t>
      </w:r>
      <w:r>
        <w:rPr>
          <w:rFonts w:hint="eastAsia" w:ascii="仿宋" w:hAnsi="仿宋" w:eastAsia="仿宋"/>
          <w:color w:val="auto"/>
          <w:kern w:val="0"/>
          <w:sz w:val="30"/>
        </w:rPr>
        <w:t>原因</w:t>
      </w:r>
      <w:r>
        <w:rPr>
          <w:rFonts w:hint="eastAsia" w:ascii="仿宋" w:hAnsi="仿宋" w:eastAsia="仿宋"/>
          <w:color w:val="auto"/>
          <w:kern w:val="0"/>
          <w:sz w:val="30"/>
          <w:lang w:eastAsia="zh-CN"/>
        </w:rPr>
        <w:t>是基本工资增加及项目支出增加。</w:t>
      </w:r>
    </w:p>
    <w:p>
      <w:pPr>
        <w:spacing w:before="100" w:after="100" w:line="600" w:lineRule="exact"/>
        <w:ind w:firstLine="600"/>
        <w:jc w:val="left"/>
        <w:rPr>
          <w:rFonts w:hint="default" w:eastAsia="Times New Roman"/>
          <w:color w:val="auto"/>
          <w:kern w:val="0"/>
          <w:sz w:val="30"/>
        </w:rPr>
      </w:pPr>
      <w:r>
        <w:rPr>
          <w:rFonts w:hint="eastAsia" w:ascii="楷体" w:hAnsi="楷体" w:eastAsia="楷体"/>
          <w:color w:val="auto"/>
          <w:sz w:val="30"/>
        </w:rPr>
        <w:t>（二）一般公共预算财政拨款支出决算具体情况</w:t>
      </w:r>
    </w:p>
    <w:p>
      <w:pPr>
        <w:spacing w:before="100" w:after="100" w:line="600" w:lineRule="exact"/>
        <w:ind w:firstLine="600"/>
        <w:jc w:val="left"/>
        <w:rPr>
          <w:rFonts w:hint="eastAsia" w:ascii="仿宋" w:hAnsi="仿宋" w:eastAsia="仿宋"/>
          <w:color w:val="auto"/>
          <w:kern w:val="0"/>
          <w:sz w:val="30"/>
          <w:lang w:val="en-US" w:eastAsia="zh-CN"/>
        </w:rPr>
      </w:pPr>
      <w:r>
        <w:rPr>
          <w:rFonts w:hint="eastAsia" w:ascii="仿宋_GB2312" w:hAnsi="仿宋_GB2312" w:eastAsia="仿宋_GB2312"/>
          <w:color w:val="auto"/>
          <w:kern w:val="0"/>
          <w:sz w:val="30"/>
        </w:rPr>
        <w:t xml:space="preserve"> </w:t>
      </w:r>
      <w:r>
        <w:rPr>
          <w:rFonts w:hint="eastAsia" w:ascii="仿宋" w:hAnsi="仿宋" w:eastAsia="仿宋"/>
          <w:color w:val="auto"/>
          <w:kern w:val="0"/>
          <w:sz w:val="30"/>
        </w:rPr>
        <w:t xml:space="preserve"> </w:t>
      </w:r>
      <w:r>
        <w:rPr>
          <w:rFonts w:hint="eastAsia" w:ascii="仿宋" w:hAnsi="仿宋" w:eastAsia="仿宋"/>
          <w:color w:val="auto"/>
          <w:kern w:val="0"/>
          <w:sz w:val="30"/>
          <w:lang w:val="en-US" w:eastAsia="zh-CN"/>
        </w:rPr>
        <w:t>1.</w:t>
      </w:r>
      <w:r>
        <w:rPr>
          <w:rFonts w:hint="eastAsia" w:ascii="仿宋" w:hAnsi="仿宋" w:eastAsia="仿宋"/>
          <w:color w:val="auto"/>
          <w:kern w:val="0"/>
          <w:sz w:val="30"/>
        </w:rPr>
        <w:t>科学技术（类）支出533.18万元，占一般公共预算财政拨款总支出的83.26%。主要用于</w:t>
      </w:r>
      <w:r>
        <w:rPr>
          <w:rFonts w:hint="eastAsia" w:ascii="仿宋" w:hAnsi="仿宋" w:eastAsia="仿宋"/>
          <w:color w:val="auto"/>
          <w:kern w:val="0"/>
          <w:sz w:val="30"/>
          <w:lang w:eastAsia="zh-CN"/>
        </w:rPr>
        <w:t>人员经费支出</w:t>
      </w:r>
      <w:r>
        <w:rPr>
          <w:rFonts w:hint="eastAsia" w:ascii="仿宋" w:hAnsi="仿宋" w:eastAsia="仿宋"/>
          <w:color w:val="auto"/>
          <w:kern w:val="0"/>
          <w:sz w:val="30"/>
          <w:lang w:val="en-US" w:eastAsia="zh-CN"/>
        </w:rPr>
        <w:t>509.30万元；公用经费支出22.30万元；项目经费支出1.58万元。</w:t>
      </w:r>
    </w:p>
    <w:p>
      <w:pPr>
        <w:spacing w:before="100" w:after="100" w:line="600" w:lineRule="exact"/>
        <w:ind w:firstLine="600"/>
        <w:jc w:val="left"/>
        <w:rPr>
          <w:rFonts w:hint="default" w:eastAsia="Times New Roman"/>
          <w:color w:val="auto"/>
          <w:kern w:val="0"/>
          <w:sz w:val="30"/>
        </w:rPr>
      </w:pPr>
      <w:r>
        <w:rPr>
          <w:rFonts w:hint="eastAsia" w:ascii="仿宋" w:hAnsi="仿宋" w:eastAsia="仿宋"/>
          <w:color w:val="auto"/>
          <w:kern w:val="0"/>
          <w:sz w:val="30"/>
        </w:rPr>
        <w:t xml:space="preserve">  </w:t>
      </w:r>
      <w:r>
        <w:rPr>
          <w:rFonts w:hint="eastAsia" w:ascii="仿宋" w:hAnsi="仿宋" w:eastAsia="仿宋"/>
          <w:color w:val="auto"/>
          <w:kern w:val="0"/>
          <w:sz w:val="30"/>
          <w:lang w:val="en-US" w:eastAsia="zh-CN"/>
        </w:rPr>
        <w:t>2</w:t>
      </w:r>
      <w:r>
        <w:rPr>
          <w:rFonts w:hint="eastAsia" w:ascii="仿宋" w:hAnsi="仿宋" w:eastAsia="仿宋"/>
          <w:color w:val="auto"/>
          <w:kern w:val="0"/>
          <w:sz w:val="30"/>
        </w:rPr>
        <w:t>.社会保障和就业（类）支出59.75万元，占一般公共预算财政拨款总支出的9.33%。主要用于</w:t>
      </w:r>
      <w:r>
        <w:rPr>
          <w:rFonts w:hint="eastAsia" w:ascii="仿宋" w:hAnsi="仿宋" w:eastAsia="仿宋"/>
          <w:color w:val="auto"/>
          <w:kern w:val="0"/>
          <w:sz w:val="30"/>
          <w:lang w:eastAsia="zh-CN"/>
        </w:rPr>
        <w:t>机关事业单位基本养老保险费支出</w:t>
      </w:r>
      <w:r>
        <w:rPr>
          <w:rFonts w:hint="eastAsia" w:ascii="仿宋" w:hAnsi="仿宋" w:eastAsia="仿宋"/>
          <w:color w:val="auto"/>
          <w:kern w:val="0"/>
          <w:sz w:val="30"/>
          <w:lang w:val="en-US" w:eastAsia="zh-CN"/>
        </w:rPr>
        <w:t>59.75万元。</w:t>
      </w:r>
    </w:p>
    <w:p>
      <w:pPr>
        <w:spacing w:before="100" w:after="100" w:line="600" w:lineRule="exact"/>
        <w:ind w:firstLine="600"/>
        <w:jc w:val="left"/>
        <w:rPr>
          <w:rFonts w:hint="default" w:eastAsia="Times New Roman"/>
          <w:color w:val="auto"/>
          <w:kern w:val="0"/>
          <w:sz w:val="30"/>
        </w:rPr>
      </w:pPr>
      <w:r>
        <w:rPr>
          <w:rFonts w:hint="eastAsia" w:ascii="仿宋" w:hAnsi="仿宋" w:eastAsia="仿宋"/>
          <w:color w:val="auto"/>
          <w:kern w:val="0"/>
          <w:sz w:val="30"/>
        </w:rPr>
        <w:t xml:space="preserve"> </w:t>
      </w:r>
      <w:r>
        <w:rPr>
          <w:rFonts w:hint="eastAsia" w:ascii="仿宋" w:hAnsi="仿宋" w:eastAsia="仿宋"/>
          <w:color w:val="auto"/>
          <w:kern w:val="0"/>
          <w:sz w:val="30"/>
          <w:lang w:val="en-US" w:eastAsia="zh-CN"/>
        </w:rPr>
        <w:t xml:space="preserve"> 3</w:t>
      </w:r>
      <w:r>
        <w:rPr>
          <w:rFonts w:hint="eastAsia" w:ascii="仿宋" w:hAnsi="仿宋" w:eastAsia="仿宋"/>
          <w:color w:val="auto"/>
          <w:kern w:val="0"/>
          <w:sz w:val="30"/>
        </w:rPr>
        <w:t>.农林水（类）支出10万元，占一般公共预算财政拨款总支出的1.56%。主要用于</w:t>
      </w:r>
      <w:r>
        <w:rPr>
          <w:rFonts w:hint="eastAsia" w:ascii="仿宋" w:hAnsi="仿宋" w:eastAsia="仿宋"/>
          <w:color w:val="auto"/>
          <w:kern w:val="0"/>
          <w:sz w:val="30"/>
          <w:lang w:eastAsia="zh-CN"/>
        </w:rPr>
        <w:t>开展科技培训、中耕管理农资费等支出</w:t>
      </w:r>
      <w:r>
        <w:rPr>
          <w:rFonts w:hint="eastAsia" w:ascii="仿宋" w:hAnsi="仿宋" w:eastAsia="仿宋"/>
          <w:color w:val="auto"/>
          <w:kern w:val="0"/>
          <w:sz w:val="30"/>
          <w:lang w:val="en-US" w:eastAsia="zh-CN"/>
        </w:rPr>
        <w:t>10万元。</w:t>
      </w:r>
    </w:p>
    <w:p>
      <w:pPr>
        <w:spacing w:before="100" w:after="100" w:line="600" w:lineRule="exact"/>
        <w:ind w:firstLine="600"/>
        <w:jc w:val="left"/>
        <w:rPr>
          <w:rFonts w:hint="default" w:eastAsia="Times New Roman"/>
          <w:color w:val="auto"/>
          <w:kern w:val="0"/>
          <w:sz w:val="30"/>
        </w:rPr>
      </w:pPr>
      <w:r>
        <w:rPr>
          <w:rFonts w:hint="eastAsia" w:ascii="仿宋" w:hAnsi="仿宋" w:eastAsia="仿宋"/>
          <w:color w:val="auto"/>
          <w:kern w:val="0"/>
          <w:sz w:val="30"/>
        </w:rPr>
        <w:t xml:space="preserve"> </w:t>
      </w:r>
      <w:r>
        <w:rPr>
          <w:rFonts w:hint="eastAsia" w:ascii="仿宋" w:hAnsi="仿宋" w:eastAsia="仿宋"/>
          <w:color w:val="auto"/>
          <w:kern w:val="0"/>
          <w:sz w:val="30"/>
          <w:lang w:val="en-US" w:eastAsia="zh-CN"/>
        </w:rPr>
        <w:t xml:space="preserve"> 4</w:t>
      </w:r>
      <w:r>
        <w:rPr>
          <w:rFonts w:hint="eastAsia" w:ascii="仿宋" w:hAnsi="仿宋" w:eastAsia="仿宋"/>
          <w:color w:val="auto"/>
          <w:kern w:val="0"/>
          <w:sz w:val="30"/>
        </w:rPr>
        <w:t>.住房保障（类）支出37.48万元，占一般公共预算财政拨款总支出的5.85%。主要用于</w:t>
      </w:r>
      <w:r>
        <w:rPr>
          <w:rFonts w:hint="eastAsia" w:ascii="仿宋" w:hAnsi="仿宋" w:eastAsia="仿宋"/>
          <w:color w:val="auto"/>
          <w:kern w:val="0"/>
          <w:sz w:val="30"/>
          <w:lang w:eastAsia="zh-CN"/>
        </w:rPr>
        <w:t>住房公积金</w:t>
      </w:r>
      <w:r>
        <w:rPr>
          <w:rFonts w:hint="eastAsia" w:ascii="仿宋" w:hAnsi="仿宋" w:eastAsia="仿宋"/>
          <w:color w:val="auto"/>
          <w:kern w:val="0"/>
          <w:sz w:val="30"/>
          <w:lang w:val="en-US" w:eastAsia="zh-CN"/>
        </w:rPr>
        <w:t>37.48万元。</w:t>
      </w:r>
    </w:p>
    <w:p>
      <w:pPr>
        <w:numPr>
          <w:ilvl w:val="0"/>
          <w:numId w:val="0"/>
        </w:numPr>
        <w:snapToGrid w:val="0"/>
        <w:spacing w:line="360" w:lineRule="auto"/>
        <w:outlineLvl w:val="0"/>
        <w:rPr>
          <w:rFonts w:hint="eastAsia" w:ascii="仿宋" w:hAnsi="仿宋" w:eastAsia="仿宋"/>
          <w:color w:val="auto"/>
          <w:sz w:val="30"/>
          <w:lang w:eastAsia="zh-CN"/>
        </w:rPr>
      </w:pPr>
    </w:p>
    <w:p>
      <w:pPr>
        <w:numPr>
          <w:ilvl w:val="0"/>
          <w:numId w:val="0"/>
        </w:numPr>
        <w:snapToGrid w:val="0"/>
        <w:spacing w:line="360" w:lineRule="auto"/>
        <w:outlineLvl w:val="0"/>
        <w:rPr>
          <w:rFonts w:hint="eastAsia" w:ascii="仿宋" w:hAnsi="仿宋" w:eastAsia="仿宋"/>
          <w:color w:val="auto"/>
          <w:sz w:val="30"/>
          <w:lang w:eastAsia="zh-CN"/>
        </w:rPr>
      </w:pPr>
    </w:p>
    <w:p>
      <w:pPr>
        <w:snapToGrid w:val="0"/>
        <w:spacing w:line="360" w:lineRule="auto"/>
        <w:ind w:firstLine="300" w:firstLineChars="100"/>
        <w:outlineLvl w:val="0"/>
        <w:rPr>
          <w:rFonts w:hint="eastAsia" w:ascii="仿宋" w:hAnsi="仿宋" w:eastAsia="仿宋" w:cs="仿宋"/>
          <w:sz w:val="30"/>
          <w:szCs w:val="30"/>
          <w:lang w:val="en-US" w:eastAsia="zh-CN"/>
        </w:rPr>
      </w:pPr>
    </w:p>
    <w:p>
      <w:pPr>
        <w:tabs>
          <w:tab w:val="left" w:pos="7303"/>
        </w:tabs>
        <w:jc w:val="left"/>
        <w:rPr>
          <w:rFonts w:hint="eastAsia"/>
          <w:kern w:val="2"/>
          <w:sz w:val="21"/>
          <w:szCs w:val="22"/>
          <w:lang w:eastAsia="zh-CN"/>
        </w:rPr>
      </w:pPr>
      <w:r>
        <w:rPr>
          <w:rFonts w:hint="eastAsia"/>
          <w:kern w:val="2"/>
          <w:sz w:val="21"/>
          <w:szCs w:val="22"/>
          <w:lang w:eastAsia="zh-CN"/>
        </w:rPr>
        <w:drawing>
          <wp:inline distT="0" distB="0" distL="114300" distR="114300">
            <wp:extent cx="4242435" cy="3133725"/>
            <wp:effectExtent l="4445" t="5080" r="20320" b="444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tabs>
          <w:tab w:val="left" w:pos="7303"/>
        </w:tabs>
        <w:jc w:val="left"/>
        <w:rPr>
          <w:rFonts w:hint="eastAsia"/>
          <w:kern w:val="2"/>
          <w:sz w:val="21"/>
          <w:szCs w:val="22"/>
          <w:lang w:eastAsia="zh-CN"/>
        </w:rPr>
      </w:pPr>
    </w:p>
    <w:p>
      <w:pPr>
        <w:tabs>
          <w:tab w:val="left" w:pos="7303"/>
        </w:tabs>
        <w:jc w:val="left"/>
        <w:rPr>
          <w:rFonts w:hint="eastAsia"/>
          <w:kern w:val="2"/>
          <w:sz w:val="21"/>
          <w:szCs w:val="22"/>
          <w:lang w:eastAsia="zh-CN"/>
        </w:rPr>
      </w:pPr>
    </w:p>
    <w:p>
      <w:pPr>
        <w:tabs>
          <w:tab w:val="left" w:pos="7303"/>
        </w:tabs>
        <w:jc w:val="left"/>
        <w:rPr>
          <w:rFonts w:hint="eastAsia"/>
          <w:kern w:val="2"/>
          <w:sz w:val="21"/>
          <w:szCs w:val="22"/>
          <w:lang w:eastAsia="zh-CN"/>
        </w:rPr>
      </w:pPr>
    </w:p>
    <w:p>
      <w:pPr>
        <w:spacing w:before="100" w:after="100" w:line="600" w:lineRule="exact"/>
        <w:ind w:firstLine="600"/>
        <w:jc w:val="left"/>
        <w:rPr>
          <w:rFonts w:hint="default" w:eastAsia="Times New Roman"/>
          <w:color w:val="auto"/>
          <w:sz w:val="30"/>
        </w:rPr>
      </w:pPr>
      <w:r>
        <w:rPr>
          <w:rFonts w:hint="eastAsia" w:ascii="黑体" w:hAnsi="黑体" w:eastAsia="黑体"/>
          <w:color w:val="auto"/>
          <w:sz w:val="30"/>
        </w:rPr>
        <w:t>四、一般公共预算财政拨款</w:t>
      </w:r>
      <w:r>
        <w:rPr>
          <w:rFonts w:hint="default" w:eastAsia="Times New Roman"/>
          <w:color w:val="auto"/>
          <w:sz w:val="30"/>
        </w:rPr>
        <w:t>“</w:t>
      </w:r>
      <w:r>
        <w:rPr>
          <w:rFonts w:hint="eastAsia" w:ascii="黑体" w:hAnsi="黑体" w:eastAsia="黑体"/>
          <w:color w:val="auto"/>
          <w:sz w:val="30"/>
        </w:rPr>
        <w:t>三公</w:t>
      </w:r>
      <w:r>
        <w:rPr>
          <w:rFonts w:hint="default" w:eastAsia="Times New Roman"/>
          <w:color w:val="auto"/>
          <w:sz w:val="30"/>
        </w:rPr>
        <w:t>”</w:t>
      </w:r>
      <w:r>
        <w:rPr>
          <w:rFonts w:hint="eastAsia" w:ascii="黑体" w:hAnsi="黑体" w:eastAsia="黑体"/>
          <w:color w:val="auto"/>
          <w:sz w:val="30"/>
        </w:rPr>
        <w:t>经费支出决算情况说明</w:t>
      </w:r>
    </w:p>
    <w:p>
      <w:pPr>
        <w:spacing w:before="100" w:after="100" w:line="600" w:lineRule="exact"/>
        <w:ind w:firstLine="600"/>
        <w:jc w:val="left"/>
        <w:rPr>
          <w:rFonts w:hint="default" w:eastAsia="Times New Roman"/>
          <w:color w:val="auto"/>
          <w:sz w:val="30"/>
        </w:rPr>
      </w:pPr>
      <w:r>
        <w:rPr>
          <w:rFonts w:hint="eastAsia" w:ascii="楷体" w:hAnsi="楷体" w:eastAsia="楷体"/>
          <w:color w:val="auto"/>
          <w:sz w:val="30"/>
        </w:rPr>
        <w:t>(一)</w:t>
      </w:r>
      <w:r>
        <w:rPr>
          <w:rFonts w:hint="eastAsia" w:ascii="黑体" w:hAnsi="黑体" w:eastAsia="黑体"/>
          <w:color w:val="auto"/>
          <w:sz w:val="30"/>
        </w:rPr>
        <w:t xml:space="preserve"> </w:t>
      </w:r>
      <w:r>
        <w:rPr>
          <w:rFonts w:hint="eastAsia" w:ascii="楷体" w:hAnsi="楷体" w:eastAsia="楷体"/>
          <w:color w:val="auto"/>
          <w:sz w:val="30"/>
        </w:rPr>
        <w:t>一般公共预算财政拨款</w:t>
      </w:r>
      <w:r>
        <w:rPr>
          <w:rFonts w:hint="default" w:eastAsia="Times New Roman"/>
          <w:color w:val="auto"/>
          <w:sz w:val="30"/>
        </w:rPr>
        <w:t>“</w:t>
      </w:r>
      <w:r>
        <w:rPr>
          <w:rFonts w:hint="eastAsia" w:ascii="楷体" w:hAnsi="楷体" w:eastAsia="楷体"/>
          <w:color w:val="auto"/>
          <w:sz w:val="30"/>
        </w:rPr>
        <w:t>三公</w:t>
      </w:r>
      <w:r>
        <w:rPr>
          <w:rFonts w:hint="default" w:eastAsia="Times New Roman"/>
          <w:color w:val="auto"/>
          <w:sz w:val="30"/>
        </w:rPr>
        <w:t>”</w:t>
      </w:r>
      <w:r>
        <w:rPr>
          <w:rFonts w:hint="eastAsia" w:ascii="楷体" w:hAnsi="楷体" w:eastAsia="楷体"/>
          <w:color w:val="auto"/>
          <w:sz w:val="30"/>
        </w:rPr>
        <w:t>经费支出决算总体情况</w:t>
      </w:r>
    </w:p>
    <w:p>
      <w:pPr>
        <w:snapToGrid w:val="0"/>
        <w:spacing w:before="100" w:beforeLines="0" w:after="100" w:afterLines="0" w:line="360" w:lineRule="auto"/>
        <w:ind w:firstLine="600" w:firstLineChars="200"/>
        <w:jc w:val="left"/>
        <w:rPr>
          <w:rFonts w:hint="eastAsia" w:ascii="仿宋_GB2312" w:eastAsia="仿宋_GB2312"/>
          <w:color w:val="auto"/>
          <w:sz w:val="30"/>
        </w:rPr>
      </w:pPr>
      <w:r>
        <w:rPr>
          <w:rFonts w:hint="eastAsia" w:ascii="仿宋" w:hAnsi="仿宋" w:eastAsia="仿宋"/>
          <w:color w:val="auto"/>
          <w:sz w:val="30"/>
        </w:rPr>
        <w:t>德宏傣族景颇族自治州甘蔗科学研究所2019年度一般公共预算财政拨款</w:t>
      </w:r>
      <w:r>
        <w:rPr>
          <w:rFonts w:hint="default" w:eastAsia="Times New Roman"/>
          <w:color w:val="auto"/>
          <w:sz w:val="30"/>
        </w:rPr>
        <w:t>“</w:t>
      </w:r>
      <w:r>
        <w:rPr>
          <w:rFonts w:hint="eastAsia" w:ascii="仿宋" w:hAnsi="仿宋" w:eastAsia="仿宋"/>
          <w:color w:val="auto"/>
          <w:sz w:val="30"/>
        </w:rPr>
        <w:t>三公</w:t>
      </w:r>
      <w:r>
        <w:rPr>
          <w:rFonts w:hint="default" w:eastAsia="Times New Roman"/>
          <w:color w:val="auto"/>
          <w:sz w:val="30"/>
        </w:rPr>
        <w:t>”</w:t>
      </w:r>
      <w:r>
        <w:rPr>
          <w:rFonts w:hint="eastAsia" w:ascii="仿宋" w:hAnsi="仿宋" w:eastAsia="仿宋"/>
          <w:color w:val="auto"/>
          <w:sz w:val="30"/>
        </w:rPr>
        <w:t>经费支出预算为</w:t>
      </w:r>
      <w:r>
        <w:rPr>
          <w:rFonts w:hint="eastAsia" w:ascii="仿宋" w:hAnsi="仿宋" w:eastAsia="仿宋"/>
          <w:color w:val="auto"/>
          <w:sz w:val="30"/>
          <w:lang w:val="en-US" w:eastAsia="zh-CN"/>
        </w:rPr>
        <w:t>8</w:t>
      </w:r>
      <w:r>
        <w:rPr>
          <w:rFonts w:hint="eastAsia" w:ascii="仿宋" w:hAnsi="仿宋" w:eastAsia="仿宋"/>
          <w:color w:val="auto"/>
          <w:sz w:val="30"/>
        </w:rPr>
        <w:t>万元，支出决算为3.78万元，完成预算的</w:t>
      </w:r>
      <w:r>
        <w:rPr>
          <w:rFonts w:hint="eastAsia" w:ascii="仿宋" w:hAnsi="仿宋" w:eastAsia="仿宋"/>
          <w:color w:val="auto"/>
          <w:sz w:val="30"/>
          <w:lang w:val="en-US" w:eastAsia="zh-CN"/>
        </w:rPr>
        <w:t>47.25</w:t>
      </w:r>
      <w:r>
        <w:rPr>
          <w:rFonts w:hint="eastAsia" w:ascii="仿宋" w:hAnsi="仿宋" w:eastAsia="仿宋"/>
          <w:color w:val="auto"/>
          <w:sz w:val="30"/>
        </w:rPr>
        <w:t>%。其中：因公出国（境）费支出决算为0万元，完成预算的</w:t>
      </w:r>
      <w:r>
        <w:rPr>
          <w:rFonts w:hint="eastAsia" w:ascii="仿宋" w:hAnsi="仿宋" w:eastAsia="仿宋"/>
          <w:color w:val="auto"/>
          <w:sz w:val="30"/>
          <w:lang w:val="en-US" w:eastAsia="zh-CN"/>
        </w:rPr>
        <w:t>0</w:t>
      </w:r>
      <w:r>
        <w:rPr>
          <w:rFonts w:hint="eastAsia" w:ascii="仿宋" w:hAnsi="仿宋" w:eastAsia="仿宋"/>
          <w:color w:val="auto"/>
          <w:sz w:val="30"/>
        </w:rPr>
        <w:t>%；公务用车购置及运行费支出决算为2.36万元，完成预算的</w:t>
      </w:r>
      <w:r>
        <w:rPr>
          <w:rFonts w:hint="eastAsia" w:ascii="仿宋" w:hAnsi="仿宋" w:eastAsia="仿宋"/>
          <w:color w:val="auto"/>
          <w:sz w:val="30"/>
          <w:lang w:val="en-US" w:eastAsia="zh-CN"/>
        </w:rPr>
        <w:t>78.66</w:t>
      </w:r>
      <w:r>
        <w:rPr>
          <w:rFonts w:hint="eastAsia" w:ascii="仿宋" w:hAnsi="仿宋" w:eastAsia="仿宋"/>
          <w:color w:val="auto"/>
          <w:sz w:val="30"/>
        </w:rPr>
        <w:t>%；公务接待费支出决算为1.43万元，完成预算的</w:t>
      </w:r>
      <w:r>
        <w:rPr>
          <w:rFonts w:hint="eastAsia" w:ascii="仿宋" w:hAnsi="仿宋" w:eastAsia="仿宋"/>
          <w:color w:val="auto"/>
          <w:sz w:val="30"/>
          <w:lang w:val="en-US" w:eastAsia="zh-CN"/>
        </w:rPr>
        <w:t>28.6</w:t>
      </w:r>
      <w:r>
        <w:rPr>
          <w:rFonts w:hint="eastAsia" w:ascii="仿宋" w:hAnsi="仿宋" w:eastAsia="仿宋"/>
          <w:color w:val="auto"/>
          <w:sz w:val="30"/>
        </w:rPr>
        <w:t>%。2019年度一般公共预算财政拨款</w:t>
      </w:r>
      <w:r>
        <w:rPr>
          <w:rFonts w:hint="default" w:eastAsia="Times New Roman"/>
          <w:color w:val="auto"/>
          <w:sz w:val="30"/>
        </w:rPr>
        <w:t>“</w:t>
      </w:r>
      <w:r>
        <w:rPr>
          <w:rFonts w:hint="eastAsia" w:ascii="仿宋" w:hAnsi="仿宋" w:eastAsia="仿宋"/>
          <w:color w:val="auto"/>
          <w:sz w:val="30"/>
        </w:rPr>
        <w:t>三公</w:t>
      </w:r>
      <w:r>
        <w:rPr>
          <w:rFonts w:hint="default" w:eastAsia="Times New Roman"/>
          <w:color w:val="auto"/>
          <w:sz w:val="30"/>
        </w:rPr>
        <w:t>”</w:t>
      </w:r>
      <w:r>
        <w:rPr>
          <w:rFonts w:hint="eastAsia" w:ascii="仿宋" w:hAnsi="仿宋" w:eastAsia="仿宋"/>
          <w:color w:val="auto"/>
          <w:sz w:val="30"/>
        </w:rPr>
        <w:t>经费支出决算数小于预算数的主要原因</w:t>
      </w:r>
      <w:r>
        <w:rPr>
          <w:rFonts w:hint="eastAsia" w:ascii="仿宋_GB2312" w:eastAsia="仿宋_GB2312"/>
          <w:color w:val="auto"/>
          <w:sz w:val="30"/>
          <w:lang w:eastAsia="zh-CN"/>
        </w:rPr>
        <w:t>是</w:t>
      </w:r>
      <w:r>
        <w:rPr>
          <w:rFonts w:hint="eastAsia" w:ascii="仿宋_GB2312" w:eastAsia="仿宋_GB2312"/>
          <w:color w:val="auto"/>
          <w:sz w:val="30"/>
          <w:lang w:val="en-US" w:eastAsia="zh-CN"/>
        </w:rPr>
        <w:t>根据中央八项规定2019年我单位本着厉行节约的原则，压缩各项经费开支</w:t>
      </w:r>
      <w:r>
        <w:rPr>
          <w:rFonts w:hint="eastAsia" w:ascii="仿宋_GB2312" w:eastAsia="仿宋_GB2312"/>
          <w:color w:val="auto"/>
          <w:sz w:val="30"/>
        </w:rPr>
        <w:t>。</w:t>
      </w:r>
    </w:p>
    <w:p>
      <w:pPr>
        <w:spacing w:line="600" w:lineRule="exact"/>
        <w:ind w:firstLine="600"/>
        <w:rPr>
          <w:rFonts w:hint="default" w:eastAsia="Times New Roman"/>
          <w:color w:val="FF0000"/>
          <w:sz w:val="30"/>
        </w:rPr>
      </w:pPr>
      <w:r>
        <w:rPr>
          <w:rFonts w:hint="eastAsia" w:ascii="仿宋" w:hAnsi="仿宋" w:eastAsia="仿宋"/>
          <w:color w:val="auto"/>
          <w:sz w:val="30"/>
        </w:rPr>
        <w:t>2019年度一般公共预算财政拨款</w:t>
      </w:r>
      <w:r>
        <w:rPr>
          <w:rFonts w:hint="default" w:eastAsia="Times New Roman"/>
          <w:color w:val="auto"/>
          <w:sz w:val="30"/>
        </w:rPr>
        <w:t>“</w:t>
      </w:r>
      <w:r>
        <w:rPr>
          <w:rFonts w:hint="eastAsia" w:ascii="仿宋" w:hAnsi="仿宋" w:eastAsia="仿宋"/>
          <w:color w:val="auto"/>
          <w:sz w:val="30"/>
        </w:rPr>
        <w:t>三公</w:t>
      </w:r>
      <w:r>
        <w:rPr>
          <w:rFonts w:hint="default" w:eastAsia="Times New Roman"/>
          <w:color w:val="auto"/>
          <w:sz w:val="30"/>
        </w:rPr>
        <w:t>”</w:t>
      </w:r>
      <w:r>
        <w:rPr>
          <w:rFonts w:hint="eastAsia" w:ascii="仿宋" w:hAnsi="仿宋" w:eastAsia="仿宋"/>
          <w:color w:val="auto"/>
          <w:sz w:val="30"/>
        </w:rPr>
        <w:t>经费支出决算数比2018年减少</w:t>
      </w:r>
      <w:r>
        <w:rPr>
          <w:rFonts w:hint="eastAsia" w:ascii="仿宋" w:hAnsi="仿宋" w:eastAsia="仿宋"/>
          <w:color w:val="auto"/>
          <w:sz w:val="30"/>
          <w:lang w:val="en-US" w:eastAsia="zh-CN"/>
        </w:rPr>
        <w:t>1.43</w:t>
      </w:r>
      <w:r>
        <w:rPr>
          <w:rFonts w:hint="eastAsia" w:ascii="仿宋" w:hAnsi="仿宋" w:eastAsia="仿宋"/>
          <w:color w:val="auto"/>
          <w:sz w:val="30"/>
        </w:rPr>
        <w:t>万元，下降</w:t>
      </w:r>
      <w:r>
        <w:rPr>
          <w:rFonts w:hint="eastAsia" w:ascii="仿宋" w:hAnsi="仿宋" w:eastAsia="仿宋"/>
          <w:color w:val="auto"/>
          <w:sz w:val="30"/>
          <w:lang w:val="en-US" w:eastAsia="zh-CN"/>
        </w:rPr>
        <w:t>27.39</w:t>
      </w:r>
      <w:r>
        <w:rPr>
          <w:rFonts w:hint="eastAsia" w:ascii="仿宋" w:hAnsi="仿宋" w:eastAsia="仿宋"/>
          <w:color w:val="auto"/>
          <w:sz w:val="30"/>
        </w:rPr>
        <w:t>%。其中：因公出国（境）费支出决算增加/减少0万元，增长/下降0%；公务用车购置及运行费支出决算减少</w:t>
      </w:r>
      <w:r>
        <w:rPr>
          <w:rFonts w:hint="eastAsia" w:ascii="仿宋" w:hAnsi="仿宋" w:eastAsia="仿宋"/>
          <w:color w:val="auto"/>
          <w:sz w:val="30"/>
          <w:lang w:val="en-US" w:eastAsia="zh-CN"/>
        </w:rPr>
        <w:t>0.71</w:t>
      </w:r>
      <w:r>
        <w:rPr>
          <w:rFonts w:hint="eastAsia" w:ascii="仿宋" w:hAnsi="仿宋" w:eastAsia="仿宋"/>
          <w:color w:val="auto"/>
          <w:sz w:val="30"/>
        </w:rPr>
        <w:t>万元，下降</w:t>
      </w:r>
      <w:r>
        <w:rPr>
          <w:rFonts w:hint="eastAsia" w:ascii="仿宋" w:hAnsi="仿宋" w:eastAsia="仿宋"/>
          <w:color w:val="auto"/>
          <w:sz w:val="30"/>
          <w:lang w:val="en-US" w:eastAsia="zh-CN"/>
        </w:rPr>
        <w:t>23.12</w:t>
      </w:r>
      <w:r>
        <w:rPr>
          <w:rFonts w:hint="eastAsia" w:ascii="仿宋" w:hAnsi="仿宋" w:eastAsia="仿宋"/>
          <w:color w:val="auto"/>
          <w:sz w:val="30"/>
        </w:rPr>
        <w:t>%；公务接待费支出决算减少</w:t>
      </w:r>
      <w:r>
        <w:rPr>
          <w:rFonts w:hint="eastAsia" w:ascii="仿宋" w:hAnsi="仿宋" w:eastAsia="仿宋"/>
          <w:color w:val="auto"/>
          <w:sz w:val="30"/>
          <w:lang w:val="en-US" w:eastAsia="zh-CN"/>
        </w:rPr>
        <w:t>0.72</w:t>
      </w:r>
      <w:r>
        <w:rPr>
          <w:rFonts w:hint="eastAsia" w:ascii="仿宋" w:hAnsi="仿宋" w:eastAsia="仿宋"/>
          <w:color w:val="auto"/>
          <w:sz w:val="30"/>
        </w:rPr>
        <w:t>万元，下降</w:t>
      </w:r>
      <w:r>
        <w:rPr>
          <w:rFonts w:hint="eastAsia" w:ascii="仿宋" w:hAnsi="仿宋" w:eastAsia="仿宋"/>
          <w:color w:val="auto"/>
          <w:sz w:val="30"/>
          <w:lang w:val="en-US" w:eastAsia="zh-CN"/>
        </w:rPr>
        <w:t>33.48</w:t>
      </w:r>
      <w:r>
        <w:rPr>
          <w:rFonts w:hint="eastAsia" w:ascii="仿宋" w:hAnsi="仿宋" w:eastAsia="仿宋"/>
          <w:color w:val="auto"/>
          <w:sz w:val="30"/>
        </w:rPr>
        <w:t>%。2019年度一般公共预算财政拨款</w:t>
      </w:r>
      <w:r>
        <w:rPr>
          <w:rFonts w:hint="default" w:eastAsia="Times New Roman"/>
          <w:color w:val="auto"/>
          <w:sz w:val="30"/>
        </w:rPr>
        <w:t>“</w:t>
      </w:r>
      <w:r>
        <w:rPr>
          <w:rFonts w:hint="eastAsia" w:ascii="仿宋" w:hAnsi="仿宋" w:eastAsia="仿宋"/>
          <w:color w:val="auto"/>
          <w:sz w:val="30"/>
        </w:rPr>
        <w:t>三公</w:t>
      </w:r>
      <w:r>
        <w:rPr>
          <w:rFonts w:hint="default" w:eastAsia="Times New Roman"/>
          <w:color w:val="auto"/>
          <w:sz w:val="30"/>
        </w:rPr>
        <w:t>”</w:t>
      </w:r>
      <w:r>
        <w:rPr>
          <w:rFonts w:hint="eastAsia" w:ascii="仿宋" w:hAnsi="仿宋" w:eastAsia="仿宋"/>
          <w:color w:val="auto"/>
          <w:sz w:val="30"/>
        </w:rPr>
        <w:t>经费支出决算减少的主要原因</w:t>
      </w:r>
      <w:r>
        <w:rPr>
          <w:rFonts w:hint="eastAsia" w:ascii="仿宋_GB2312" w:eastAsia="仿宋_GB2312"/>
          <w:sz w:val="30"/>
          <w:lang w:eastAsia="zh-CN"/>
        </w:rPr>
        <w:t>是</w:t>
      </w:r>
      <w:r>
        <w:rPr>
          <w:rFonts w:hint="eastAsia" w:ascii="仿宋_GB2312" w:eastAsia="仿宋_GB2312"/>
          <w:sz w:val="30"/>
          <w:lang w:val="en-US" w:eastAsia="zh-CN"/>
        </w:rPr>
        <w:t>根据中央八项规定2019年我单位本着厉行节约的原则，压缩各项经费开支。</w:t>
      </w:r>
    </w:p>
    <w:p>
      <w:pPr>
        <w:spacing w:before="100" w:after="100" w:line="600" w:lineRule="exact"/>
        <w:ind w:firstLine="600"/>
        <w:jc w:val="left"/>
        <w:rPr>
          <w:rFonts w:hint="default" w:eastAsia="Times New Roman"/>
          <w:color w:val="auto"/>
          <w:sz w:val="30"/>
        </w:rPr>
      </w:pPr>
      <w:r>
        <w:rPr>
          <w:rFonts w:hint="eastAsia" w:ascii="楷体" w:hAnsi="楷体" w:eastAsia="楷体"/>
          <w:color w:val="auto"/>
          <w:sz w:val="30"/>
        </w:rPr>
        <w:t>(二)</w:t>
      </w:r>
      <w:r>
        <w:rPr>
          <w:rFonts w:hint="eastAsia" w:ascii="仿宋_GB2312" w:hAnsi="仿宋_GB2312" w:eastAsia="仿宋_GB2312"/>
          <w:color w:val="auto"/>
          <w:sz w:val="30"/>
        </w:rPr>
        <w:t xml:space="preserve"> </w:t>
      </w:r>
      <w:r>
        <w:rPr>
          <w:rFonts w:hint="eastAsia" w:ascii="楷体" w:hAnsi="楷体" w:eastAsia="楷体"/>
          <w:color w:val="auto"/>
          <w:sz w:val="30"/>
        </w:rPr>
        <w:t>一般公共预算财政拨款</w:t>
      </w:r>
      <w:r>
        <w:rPr>
          <w:rFonts w:hint="default" w:eastAsia="Times New Roman"/>
          <w:color w:val="auto"/>
          <w:sz w:val="30"/>
        </w:rPr>
        <w:t>“</w:t>
      </w:r>
      <w:r>
        <w:rPr>
          <w:rFonts w:hint="eastAsia" w:ascii="楷体" w:hAnsi="楷体" w:eastAsia="楷体"/>
          <w:color w:val="auto"/>
          <w:sz w:val="30"/>
        </w:rPr>
        <w:t>三公</w:t>
      </w:r>
      <w:r>
        <w:rPr>
          <w:rFonts w:hint="default" w:eastAsia="Times New Roman"/>
          <w:color w:val="auto"/>
          <w:sz w:val="30"/>
        </w:rPr>
        <w:t>”</w:t>
      </w:r>
      <w:r>
        <w:rPr>
          <w:rFonts w:hint="eastAsia" w:ascii="楷体" w:hAnsi="楷体" w:eastAsia="楷体"/>
          <w:color w:val="auto"/>
          <w:sz w:val="30"/>
        </w:rPr>
        <w:t>经费支出决算具体情况</w:t>
      </w:r>
    </w:p>
    <w:p>
      <w:pPr>
        <w:spacing w:before="100" w:after="100" w:line="600" w:lineRule="exact"/>
        <w:ind w:firstLine="600"/>
        <w:jc w:val="left"/>
        <w:rPr>
          <w:rFonts w:hint="default" w:eastAsia="Times New Roman"/>
          <w:color w:val="auto"/>
          <w:sz w:val="30"/>
        </w:rPr>
      </w:pPr>
      <w:r>
        <w:rPr>
          <w:rFonts w:hint="eastAsia" w:ascii="仿宋" w:hAnsi="仿宋" w:eastAsia="仿宋"/>
          <w:color w:val="auto"/>
          <w:sz w:val="30"/>
        </w:rPr>
        <w:t>2019年度一般公共预算财政拨款</w:t>
      </w:r>
      <w:r>
        <w:rPr>
          <w:rFonts w:hint="default" w:eastAsia="Times New Roman"/>
          <w:color w:val="auto"/>
          <w:sz w:val="30"/>
        </w:rPr>
        <w:t>“</w:t>
      </w:r>
      <w:r>
        <w:rPr>
          <w:rFonts w:hint="eastAsia" w:ascii="仿宋" w:hAnsi="仿宋" w:eastAsia="仿宋"/>
          <w:color w:val="auto"/>
          <w:sz w:val="30"/>
        </w:rPr>
        <w:t>三公</w:t>
      </w:r>
      <w:r>
        <w:rPr>
          <w:rFonts w:hint="default" w:eastAsia="Times New Roman"/>
          <w:color w:val="auto"/>
          <w:sz w:val="30"/>
        </w:rPr>
        <w:t>”</w:t>
      </w:r>
      <w:r>
        <w:rPr>
          <w:rFonts w:hint="eastAsia" w:ascii="仿宋" w:hAnsi="仿宋" w:eastAsia="仿宋"/>
          <w:color w:val="auto"/>
          <w:sz w:val="30"/>
        </w:rPr>
        <w:t>经费支出决算中，因公出国（境）费支出0万元，占0%；公务用车购置及运行维护费支出2.36万元，占62.28%；公务接待费支出1.43万元，占37.72%。具体情况如下：</w:t>
      </w:r>
    </w:p>
    <w:p>
      <w:pPr>
        <w:spacing w:line="600" w:lineRule="exact"/>
        <w:ind w:firstLine="600"/>
        <w:rPr>
          <w:rFonts w:hint="default" w:eastAsia="Times New Roman"/>
          <w:color w:val="auto"/>
          <w:sz w:val="30"/>
        </w:rPr>
      </w:pPr>
      <w:r>
        <w:rPr>
          <w:rFonts w:hint="eastAsia" w:ascii="仿宋" w:hAnsi="仿宋" w:eastAsia="仿宋"/>
          <w:b/>
          <w:color w:val="auto"/>
          <w:sz w:val="30"/>
        </w:rPr>
        <w:t>1.因公出国（境）费</w:t>
      </w:r>
      <w:r>
        <w:rPr>
          <w:rFonts w:hint="eastAsia" w:ascii="仿宋" w:hAnsi="仿宋" w:eastAsia="仿宋"/>
          <w:color w:val="auto"/>
          <w:sz w:val="30"/>
        </w:rPr>
        <w:t>支出0万元，共安排因公出国（境）团组0个，累计0人次。</w:t>
      </w:r>
    </w:p>
    <w:p>
      <w:pPr>
        <w:spacing w:before="100" w:after="100" w:line="600" w:lineRule="exact"/>
        <w:ind w:firstLine="602"/>
        <w:jc w:val="left"/>
        <w:rPr>
          <w:rFonts w:hint="default" w:eastAsia="Times New Roman"/>
          <w:color w:val="auto"/>
          <w:sz w:val="30"/>
        </w:rPr>
      </w:pPr>
      <w:r>
        <w:rPr>
          <w:rFonts w:hint="eastAsia" w:ascii="仿宋" w:hAnsi="仿宋" w:eastAsia="仿宋"/>
          <w:b/>
          <w:color w:val="auto"/>
          <w:sz w:val="30"/>
        </w:rPr>
        <w:t>2. 公务用车购置及运行维护费</w:t>
      </w:r>
      <w:r>
        <w:rPr>
          <w:rFonts w:hint="eastAsia" w:ascii="仿宋" w:hAnsi="仿宋" w:eastAsia="仿宋"/>
          <w:color w:val="auto"/>
          <w:sz w:val="30"/>
        </w:rPr>
        <w:t>支出2.36万元。其中</w:t>
      </w:r>
    </w:p>
    <w:p>
      <w:pPr>
        <w:spacing w:beforeLines="0" w:afterLines="0" w:line="600" w:lineRule="exact"/>
        <w:ind w:firstLine="600"/>
        <w:rPr>
          <w:rFonts w:hint="default" w:eastAsia="Times New Roman"/>
          <w:color w:val="FF0000"/>
          <w:sz w:val="30"/>
        </w:rPr>
      </w:pPr>
      <w:r>
        <w:rPr>
          <w:rFonts w:hint="eastAsia" w:ascii="仿宋" w:hAnsi="仿宋" w:eastAsia="仿宋"/>
          <w:b/>
          <w:color w:val="auto"/>
          <w:sz w:val="30"/>
        </w:rPr>
        <w:t>公务用车购置</w:t>
      </w:r>
      <w:r>
        <w:rPr>
          <w:rFonts w:hint="eastAsia" w:ascii="仿宋" w:hAnsi="仿宋" w:eastAsia="仿宋"/>
          <w:color w:val="auto"/>
          <w:sz w:val="30"/>
        </w:rPr>
        <w:t>支出0万元，购置车辆0辆。</w:t>
      </w:r>
    </w:p>
    <w:p>
      <w:pPr>
        <w:spacing w:before="100" w:after="100" w:line="600" w:lineRule="exact"/>
        <w:ind w:firstLine="602"/>
        <w:jc w:val="left"/>
        <w:rPr>
          <w:rFonts w:hint="default" w:eastAsia="Times New Roman"/>
          <w:color w:val="auto"/>
          <w:sz w:val="30"/>
        </w:rPr>
      </w:pPr>
      <w:r>
        <w:rPr>
          <w:rFonts w:hint="eastAsia" w:ascii="仿宋" w:hAnsi="仿宋" w:eastAsia="仿宋"/>
          <w:b/>
          <w:color w:val="auto"/>
          <w:sz w:val="30"/>
        </w:rPr>
        <w:t>公务用车运行维护</w:t>
      </w:r>
      <w:r>
        <w:rPr>
          <w:rFonts w:hint="eastAsia" w:ascii="仿宋" w:hAnsi="仿宋" w:eastAsia="仿宋"/>
          <w:color w:val="auto"/>
          <w:sz w:val="30"/>
        </w:rPr>
        <w:t>支出2.36万元，开支财政拨款的公务用车保有量为2辆。主要用于</w:t>
      </w:r>
      <w:r>
        <w:rPr>
          <w:rFonts w:hint="eastAsia" w:ascii="仿宋" w:hAnsi="仿宋" w:eastAsia="仿宋"/>
          <w:color w:val="auto"/>
          <w:sz w:val="30"/>
          <w:lang w:eastAsia="zh-CN"/>
        </w:rPr>
        <w:t>单位</w:t>
      </w:r>
      <w:r>
        <w:rPr>
          <w:rFonts w:hint="eastAsia" w:ascii="仿宋" w:hAnsi="仿宋" w:eastAsia="仿宋"/>
          <w:color w:val="auto"/>
          <w:sz w:val="30"/>
        </w:rPr>
        <w:t>车辆燃</w:t>
      </w:r>
      <w:r>
        <w:rPr>
          <w:rFonts w:hint="eastAsia" w:ascii="仿宋" w:hAnsi="仿宋" w:eastAsia="仿宋"/>
          <w:color w:val="auto"/>
          <w:sz w:val="30"/>
          <w:lang w:eastAsia="zh-CN"/>
        </w:rPr>
        <w:t>油</w:t>
      </w:r>
      <w:r>
        <w:rPr>
          <w:rFonts w:hint="eastAsia" w:ascii="仿宋" w:hAnsi="仿宋" w:eastAsia="仿宋"/>
          <w:color w:val="auto"/>
          <w:sz w:val="30"/>
        </w:rPr>
        <w:t>费、维修费、过路过桥费、保险费等。</w:t>
      </w:r>
    </w:p>
    <w:p>
      <w:pPr>
        <w:spacing w:before="100" w:after="100" w:line="600" w:lineRule="exact"/>
        <w:ind w:firstLine="602"/>
        <w:jc w:val="left"/>
        <w:rPr>
          <w:rFonts w:hint="default" w:eastAsia="Times New Roman"/>
          <w:color w:val="auto"/>
          <w:sz w:val="30"/>
        </w:rPr>
      </w:pPr>
      <w:r>
        <w:rPr>
          <w:rFonts w:hint="eastAsia" w:ascii="仿宋" w:hAnsi="仿宋" w:eastAsia="仿宋"/>
          <w:b/>
          <w:color w:val="auto"/>
          <w:sz w:val="30"/>
        </w:rPr>
        <w:t>3.公务接待费</w:t>
      </w:r>
      <w:r>
        <w:rPr>
          <w:rFonts w:hint="eastAsia" w:ascii="仿宋" w:hAnsi="仿宋" w:eastAsia="仿宋"/>
          <w:color w:val="auto"/>
          <w:sz w:val="30"/>
        </w:rPr>
        <w:t>支出1.43万元。其中：</w:t>
      </w:r>
    </w:p>
    <w:p>
      <w:pPr>
        <w:numPr>
          <w:ilvl w:val="0"/>
          <w:numId w:val="2"/>
        </w:numPr>
        <w:snapToGrid w:val="0"/>
        <w:spacing w:line="360" w:lineRule="auto"/>
        <w:rPr>
          <w:rFonts w:ascii="宋体" w:hAnsi="宋体"/>
          <w:sz w:val="28"/>
          <w:szCs w:val="28"/>
        </w:rPr>
      </w:pPr>
      <w:r>
        <w:rPr>
          <w:rFonts w:hint="eastAsia" w:ascii="仿宋" w:hAnsi="仿宋" w:eastAsia="仿宋"/>
          <w:b/>
          <w:color w:val="auto"/>
          <w:sz w:val="30"/>
        </w:rPr>
        <w:t>国内接待费</w:t>
      </w:r>
      <w:r>
        <w:rPr>
          <w:rFonts w:hint="eastAsia" w:ascii="仿宋" w:hAnsi="仿宋" w:eastAsia="仿宋"/>
          <w:color w:val="auto"/>
          <w:sz w:val="30"/>
        </w:rPr>
        <w:t>支出1.43万元（其中：外事接待费支出0万元），共安排国内公务接待64批次（其中：外事接待0批次），接待人次617人（其中：外事接待人次0人）。主要用于</w:t>
      </w:r>
      <w:r>
        <w:rPr>
          <w:rFonts w:hint="eastAsia" w:ascii="宋体" w:hAnsi="宋体"/>
          <w:sz w:val="28"/>
          <w:szCs w:val="28"/>
        </w:rPr>
        <w:t>现代农业产业技术体系及国家体系专家到所调研指导工作接待费，举办陇川县、梁河县、盈江县、瑞丽市、潞西市5个示范县定期工作总结交流验收会议及全州甘蔗州区试会的召开以及</w:t>
      </w:r>
      <w:r>
        <w:rPr>
          <w:rFonts w:hint="eastAsia" w:ascii="宋体" w:hAnsi="宋体"/>
          <w:spacing w:val="6"/>
          <w:sz w:val="28"/>
          <w:szCs w:val="28"/>
        </w:rPr>
        <w:t>蔗糖系统相关单位到所调研工作交流</w:t>
      </w:r>
      <w:r>
        <w:rPr>
          <w:rFonts w:hint="eastAsia" w:ascii="宋体" w:hAnsi="宋体"/>
          <w:sz w:val="28"/>
          <w:szCs w:val="28"/>
        </w:rPr>
        <w:t>各级相关领导到所指导工作接待费等。</w:t>
      </w:r>
    </w:p>
    <w:p>
      <w:pPr>
        <w:spacing w:line="600" w:lineRule="exact"/>
        <w:ind w:firstLine="600"/>
        <w:rPr>
          <w:rFonts w:hint="default" w:eastAsia="Times New Roman"/>
          <w:color w:val="auto"/>
          <w:sz w:val="30"/>
        </w:rPr>
      </w:pPr>
      <w:r>
        <w:rPr>
          <w:rFonts w:hint="eastAsia" w:ascii="仿宋" w:hAnsi="仿宋" w:eastAsia="仿宋"/>
          <w:b/>
          <w:color w:val="auto"/>
          <w:sz w:val="30"/>
        </w:rPr>
        <w:t>国（境）外接待费</w:t>
      </w:r>
      <w:r>
        <w:rPr>
          <w:rFonts w:hint="eastAsia" w:ascii="仿宋" w:hAnsi="仿宋" w:eastAsia="仿宋"/>
          <w:color w:val="auto"/>
          <w:sz w:val="30"/>
        </w:rPr>
        <w:t>支出0万元，共安排国（境）外公务接待0批次，接待人次0人。</w:t>
      </w:r>
    </w:p>
    <w:p>
      <w:pPr>
        <w:spacing w:line="600" w:lineRule="exact"/>
        <w:ind w:firstLine="640"/>
        <w:jc w:val="center"/>
        <w:rPr>
          <w:rFonts w:hint="default" w:eastAsia="Times New Roman"/>
          <w:color w:val="auto"/>
          <w:sz w:val="32"/>
        </w:rPr>
      </w:pPr>
      <w:r>
        <w:rPr>
          <w:rFonts w:hint="eastAsia" w:ascii="黑体" w:hAnsi="黑体" w:eastAsia="黑体"/>
          <w:color w:val="auto"/>
          <w:sz w:val="32"/>
        </w:rPr>
        <w:t>第四部分  其他重要事项及相关口径情况说明</w:t>
      </w:r>
    </w:p>
    <w:p>
      <w:pPr>
        <w:spacing w:before="100" w:after="100" w:line="600" w:lineRule="exact"/>
        <w:ind w:firstLine="600"/>
        <w:jc w:val="left"/>
        <w:rPr>
          <w:rFonts w:hint="default" w:eastAsia="Times New Roman"/>
          <w:color w:val="auto"/>
          <w:sz w:val="30"/>
        </w:rPr>
      </w:pPr>
      <w:r>
        <w:rPr>
          <w:rFonts w:hint="eastAsia" w:ascii="黑体" w:hAnsi="黑体" w:eastAsia="黑体"/>
          <w:color w:val="auto"/>
          <w:sz w:val="30"/>
        </w:rPr>
        <w:t>一、机关运行经费支出情况</w:t>
      </w:r>
    </w:p>
    <w:p>
      <w:pPr>
        <w:spacing w:before="100" w:after="100" w:line="600" w:lineRule="exact"/>
        <w:ind w:firstLine="600"/>
        <w:jc w:val="left"/>
        <w:rPr>
          <w:rFonts w:hint="eastAsia" w:ascii="仿宋" w:hAnsi="仿宋" w:eastAsia="仿宋"/>
          <w:color w:val="auto"/>
          <w:sz w:val="30"/>
          <w:lang w:eastAsia="zh-CN"/>
        </w:rPr>
      </w:pPr>
      <w:r>
        <w:rPr>
          <w:rFonts w:hint="eastAsia" w:ascii="仿宋" w:hAnsi="仿宋" w:eastAsia="仿宋"/>
          <w:color w:val="auto"/>
          <w:sz w:val="30"/>
          <w:lang w:eastAsia="zh-CN"/>
        </w:rPr>
        <w:t>无</w:t>
      </w:r>
    </w:p>
    <w:p>
      <w:pPr>
        <w:spacing w:before="100" w:after="100" w:line="600" w:lineRule="exact"/>
        <w:ind w:firstLine="600"/>
        <w:jc w:val="left"/>
        <w:rPr>
          <w:rFonts w:hint="default" w:eastAsia="Times New Roman"/>
          <w:color w:val="auto"/>
          <w:sz w:val="30"/>
        </w:rPr>
      </w:pPr>
      <w:r>
        <w:rPr>
          <w:rFonts w:hint="eastAsia" w:ascii="黑体" w:hAnsi="黑体" w:eastAsia="黑体"/>
          <w:color w:val="auto"/>
          <w:sz w:val="30"/>
        </w:rPr>
        <w:t>二、国有资产占用情况</w:t>
      </w:r>
    </w:p>
    <w:p>
      <w:pPr>
        <w:widowControl/>
        <w:ind w:firstLine="600" w:firstLineChars="200"/>
        <w:rPr>
          <w:rFonts w:ascii="宋体" w:hAnsi="宋体" w:cs="宋体"/>
          <w:color w:val="000000"/>
          <w:kern w:val="0"/>
          <w:sz w:val="30"/>
          <w:szCs w:val="30"/>
        </w:rPr>
      </w:pPr>
      <w:r>
        <w:rPr>
          <w:rFonts w:hint="eastAsia" w:ascii="仿宋_GB2312" w:hAnsi="黑体" w:eastAsia="仿宋_GB2312" w:cs="方正小标宋简体"/>
          <w:color w:val="000000"/>
          <w:kern w:val="0"/>
          <w:sz w:val="30"/>
          <w:szCs w:val="30"/>
        </w:rPr>
        <w:t>截至</w:t>
      </w:r>
      <w:r>
        <w:rPr>
          <w:rFonts w:hint="eastAsia" w:ascii="仿宋_GB2312" w:hAnsi="黑体" w:eastAsia="仿宋_GB2312" w:cs="方正小标宋简体"/>
          <w:color w:val="000000"/>
          <w:kern w:val="0"/>
          <w:sz w:val="30"/>
          <w:szCs w:val="30"/>
          <w:lang w:val="en-US" w:eastAsia="zh-CN"/>
        </w:rPr>
        <w:t>2019</w:t>
      </w:r>
      <w:r>
        <w:rPr>
          <w:rFonts w:hint="eastAsia" w:ascii="仿宋_GB2312" w:hAnsi="黑体" w:eastAsia="仿宋_GB2312" w:cs="方正小标宋简体"/>
          <w:color w:val="000000"/>
          <w:kern w:val="0"/>
          <w:sz w:val="30"/>
          <w:szCs w:val="30"/>
        </w:rPr>
        <w:t>年</w:t>
      </w:r>
      <w:r>
        <w:rPr>
          <w:rFonts w:hint="eastAsia" w:ascii="仿宋_GB2312" w:hAnsi="黑体" w:eastAsia="仿宋_GB2312" w:cs="方正小标宋简体"/>
          <w:color w:val="000000"/>
          <w:kern w:val="0"/>
          <w:sz w:val="30"/>
          <w:szCs w:val="30"/>
          <w:lang w:val="en-US" w:eastAsia="zh-CN"/>
        </w:rPr>
        <w:t>12</w:t>
      </w:r>
      <w:r>
        <w:rPr>
          <w:rFonts w:hint="eastAsia" w:ascii="仿宋_GB2312" w:hAnsi="黑体" w:eastAsia="仿宋_GB2312" w:cs="方正小标宋简体"/>
          <w:color w:val="000000"/>
          <w:kern w:val="0"/>
          <w:sz w:val="30"/>
          <w:szCs w:val="30"/>
        </w:rPr>
        <w:t>月</w:t>
      </w:r>
      <w:r>
        <w:rPr>
          <w:rFonts w:hint="eastAsia" w:ascii="仿宋_GB2312" w:hAnsi="黑体" w:eastAsia="仿宋_GB2312" w:cs="方正小标宋简体"/>
          <w:color w:val="000000"/>
          <w:kern w:val="0"/>
          <w:sz w:val="30"/>
          <w:szCs w:val="30"/>
          <w:lang w:val="en-US" w:eastAsia="zh-CN"/>
        </w:rPr>
        <w:t>31</w:t>
      </w:r>
      <w:r>
        <w:rPr>
          <w:rFonts w:hint="eastAsia" w:ascii="仿宋_GB2312" w:hAnsi="黑体" w:eastAsia="仿宋_GB2312" w:cs="方正小标宋简体"/>
          <w:color w:val="000000"/>
          <w:kern w:val="0"/>
          <w:sz w:val="30"/>
          <w:szCs w:val="30"/>
        </w:rPr>
        <w:t>日，</w:t>
      </w:r>
      <w:r>
        <w:rPr>
          <w:rFonts w:hint="eastAsia" w:ascii="仿宋_GB2312" w:hAnsi="黑体" w:eastAsia="仿宋_GB2312" w:cs="方正小标宋简体"/>
          <w:color w:val="000000"/>
          <w:kern w:val="0"/>
          <w:sz w:val="30"/>
          <w:szCs w:val="30"/>
          <w:lang w:eastAsia="zh-CN"/>
        </w:rPr>
        <w:t>德宏州甘蔗科学研究所</w:t>
      </w:r>
      <w:r>
        <w:rPr>
          <w:rFonts w:hint="eastAsia" w:ascii="仿宋_GB2312" w:hAnsi="黑体" w:eastAsia="仿宋_GB2312" w:cs="方正小标宋简体"/>
          <w:color w:val="000000"/>
          <w:kern w:val="0"/>
          <w:sz w:val="30"/>
          <w:szCs w:val="30"/>
        </w:rPr>
        <w:t>资产总额</w:t>
      </w:r>
      <w:r>
        <w:rPr>
          <w:rFonts w:hint="eastAsia" w:ascii="仿宋_GB2312" w:hAnsi="黑体" w:eastAsia="仿宋_GB2312" w:cs="方正小标宋简体"/>
          <w:color w:val="000000"/>
          <w:kern w:val="0"/>
          <w:sz w:val="30"/>
          <w:szCs w:val="30"/>
          <w:lang w:val="en-US" w:eastAsia="zh-CN"/>
        </w:rPr>
        <w:t>297.27</w:t>
      </w:r>
      <w:r>
        <w:rPr>
          <w:rFonts w:hint="eastAsia" w:ascii="仿宋_GB2312" w:hAnsi="黑体" w:eastAsia="仿宋_GB2312" w:cs="方正小标宋简体"/>
          <w:color w:val="000000"/>
          <w:kern w:val="0"/>
          <w:sz w:val="30"/>
          <w:szCs w:val="30"/>
        </w:rPr>
        <w:t>万元，其中，流动资产</w:t>
      </w:r>
      <w:r>
        <w:rPr>
          <w:rFonts w:hint="eastAsia" w:ascii="仿宋_GB2312" w:hAnsi="黑体" w:eastAsia="仿宋_GB2312" w:cs="方正小标宋简体"/>
          <w:color w:val="000000"/>
          <w:kern w:val="0"/>
          <w:sz w:val="30"/>
          <w:szCs w:val="30"/>
          <w:lang w:val="en-US" w:eastAsia="zh-CN"/>
        </w:rPr>
        <w:t>60.18</w:t>
      </w:r>
      <w:r>
        <w:rPr>
          <w:rFonts w:hint="eastAsia" w:ascii="仿宋_GB2312" w:hAnsi="黑体" w:eastAsia="仿宋_GB2312" w:cs="方正小标宋简体"/>
          <w:color w:val="000000"/>
          <w:kern w:val="0"/>
          <w:sz w:val="30"/>
          <w:szCs w:val="30"/>
        </w:rPr>
        <w:t>万元，固定资产</w:t>
      </w:r>
      <w:r>
        <w:rPr>
          <w:rFonts w:hint="eastAsia" w:ascii="仿宋_GB2312" w:hAnsi="黑体" w:eastAsia="仿宋_GB2312" w:cs="方正小标宋简体"/>
          <w:color w:val="000000"/>
          <w:kern w:val="0"/>
          <w:sz w:val="30"/>
          <w:szCs w:val="30"/>
          <w:lang w:val="en-US" w:eastAsia="zh-CN"/>
        </w:rPr>
        <w:t>237.09</w:t>
      </w:r>
      <w:r>
        <w:rPr>
          <w:rFonts w:hint="eastAsia" w:ascii="仿宋_GB2312" w:hAnsi="黑体" w:eastAsia="仿宋_GB2312" w:cs="方正小标宋简体"/>
          <w:color w:val="000000"/>
          <w:kern w:val="0"/>
          <w:sz w:val="30"/>
          <w:szCs w:val="30"/>
        </w:rPr>
        <w:t>万元，对外投资及有价证券</w:t>
      </w:r>
      <w:r>
        <w:rPr>
          <w:rFonts w:hint="eastAsia" w:ascii="仿宋_GB2312" w:hAnsi="黑体" w:eastAsia="仿宋_GB2312" w:cs="方正小标宋简体"/>
          <w:color w:val="000000"/>
          <w:kern w:val="0"/>
          <w:sz w:val="30"/>
          <w:szCs w:val="30"/>
          <w:lang w:val="en-US" w:eastAsia="zh-CN"/>
        </w:rPr>
        <w:t>0</w:t>
      </w:r>
      <w:r>
        <w:rPr>
          <w:rFonts w:hint="eastAsia" w:ascii="仿宋_GB2312" w:hAnsi="黑体" w:eastAsia="仿宋_GB2312" w:cs="方正小标宋简体"/>
          <w:color w:val="000000"/>
          <w:kern w:val="0"/>
          <w:sz w:val="30"/>
          <w:szCs w:val="30"/>
        </w:rPr>
        <w:t>万元，在建工程</w:t>
      </w:r>
      <w:r>
        <w:rPr>
          <w:rFonts w:hint="eastAsia" w:ascii="仿宋_GB2312" w:hAnsi="黑体" w:eastAsia="仿宋_GB2312" w:cs="方正小标宋简体"/>
          <w:color w:val="000000"/>
          <w:kern w:val="0"/>
          <w:sz w:val="30"/>
          <w:szCs w:val="30"/>
          <w:lang w:val="en-US" w:eastAsia="zh-CN"/>
        </w:rPr>
        <w:t>0</w:t>
      </w:r>
      <w:r>
        <w:rPr>
          <w:rFonts w:hint="eastAsia" w:ascii="仿宋_GB2312" w:hAnsi="黑体" w:eastAsia="仿宋_GB2312" w:cs="方正小标宋简体"/>
          <w:color w:val="000000"/>
          <w:kern w:val="0"/>
          <w:sz w:val="30"/>
          <w:szCs w:val="30"/>
        </w:rPr>
        <w:t>万元，无形资产</w:t>
      </w:r>
      <w:r>
        <w:rPr>
          <w:rFonts w:hint="eastAsia" w:ascii="仿宋_GB2312" w:hAnsi="黑体" w:eastAsia="仿宋_GB2312" w:cs="方正小标宋简体"/>
          <w:color w:val="000000"/>
          <w:kern w:val="0"/>
          <w:sz w:val="30"/>
          <w:szCs w:val="30"/>
          <w:lang w:val="en-US" w:eastAsia="zh-CN"/>
        </w:rPr>
        <w:t>0</w:t>
      </w:r>
      <w:r>
        <w:rPr>
          <w:rFonts w:hint="eastAsia" w:ascii="仿宋_GB2312" w:hAnsi="黑体" w:eastAsia="仿宋_GB2312" w:cs="方正小标宋简体"/>
          <w:color w:val="000000"/>
          <w:kern w:val="0"/>
          <w:sz w:val="30"/>
          <w:szCs w:val="30"/>
        </w:rPr>
        <w:t>万元，其他资产</w:t>
      </w:r>
      <w:r>
        <w:rPr>
          <w:rFonts w:hint="eastAsia" w:ascii="仿宋_GB2312" w:hAnsi="黑体" w:eastAsia="仿宋_GB2312" w:cs="方正小标宋简体"/>
          <w:color w:val="000000"/>
          <w:kern w:val="0"/>
          <w:sz w:val="30"/>
          <w:szCs w:val="30"/>
          <w:lang w:val="en-US" w:eastAsia="zh-CN"/>
        </w:rPr>
        <w:t>0</w:t>
      </w:r>
      <w:r>
        <w:rPr>
          <w:rFonts w:hint="eastAsia" w:ascii="仿宋_GB2312" w:hAnsi="黑体" w:eastAsia="仿宋_GB2312" w:cs="方正小标宋简体"/>
          <w:color w:val="000000"/>
          <w:kern w:val="0"/>
          <w:sz w:val="30"/>
          <w:szCs w:val="30"/>
        </w:rPr>
        <w:t>万元（具体内容详见附表）。与上年相比，本年资产总额增加</w:t>
      </w:r>
      <w:r>
        <w:rPr>
          <w:rFonts w:hint="eastAsia" w:ascii="仿宋_GB2312" w:hAnsi="黑体" w:eastAsia="仿宋_GB2312" w:cs="方正小标宋简体"/>
          <w:color w:val="000000"/>
          <w:kern w:val="0"/>
          <w:sz w:val="30"/>
          <w:szCs w:val="30"/>
          <w:lang w:val="en-US" w:eastAsia="zh-CN"/>
        </w:rPr>
        <w:t>0.68</w:t>
      </w:r>
      <w:r>
        <w:rPr>
          <w:rFonts w:hint="eastAsia" w:ascii="仿宋_GB2312" w:hAnsi="黑体" w:eastAsia="仿宋_GB2312" w:cs="方正小标宋简体"/>
          <w:color w:val="000000"/>
          <w:kern w:val="0"/>
          <w:sz w:val="30"/>
          <w:szCs w:val="30"/>
        </w:rPr>
        <w:t>万元，其中固定资产增加</w:t>
      </w:r>
      <w:r>
        <w:rPr>
          <w:rFonts w:hint="eastAsia" w:ascii="仿宋_GB2312" w:hAnsi="黑体" w:eastAsia="仿宋_GB2312" w:cs="方正小标宋简体"/>
          <w:color w:val="000000"/>
          <w:kern w:val="0"/>
          <w:sz w:val="30"/>
          <w:szCs w:val="30"/>
          <w:lang w:val="en-US" w:eastAsia="zh-CN"/>
        </w:rPr>
        <w:t>1.81</w:t>
      </w:r>
      <w:r>
        <w:rPr>
          <w:rFonts w:hint="eastAsia" w:ascii="仿宋_GB2312" w:hAnsi="黑体" w:eastAsia="仿宋_GB2312" w:cs="方正小标宋简体"/>
          <w:color w:val="000000"/>
          <w:kern w:val="0"/>
          <w:sz w:val="30"/>
          <w:szCs w:val="30"/>
        </w:rPr>
        <w:t>万元。处置房屋建筑物</w:t>
      </w:r>
      <w:r>
        <w:rPr>
          <w:rFonts w:hint="eastAsia" w:ascii="仿宋_GB2312" w:hAnsi="黑体" w:eastAsia="仿宋_GB2312" w:cs="方正小标宋简体"/>
          <w:color w:val="000000"/>
          <w:kern w:val="0"/>
          <w:sz w:val="30"/>
          <w:szCs w:val="30"/>
          <w:lang w:val="en-US" w:eastAsia="zh-CN"/>
        </w:rPr>
        <w:t>0</w:t>
      </w:r>
      <w:r>
        <w:rPr>
          <w:rFonts w:hint="eastAsia" w:ascii="仿宋_GB2312" w:hAnsi="黑体" w:eastAsia="仿宋_GB2312" w:cs="方正小标宋简体"/>
          <w:color w:val="000000"/>
          <w:kern w:val="0"/>
          <w:sz w:val="30"/>
          <w:szCs w:val="30"/>
        </w:rPr>
        <w:t>平方米，账面原值</w:t>
      </w:r>
      <w:r>
        <w:rPr>
          <w:rFonts w:hint="eastAsia" w:ascii="仿宋_GB2312" w:hAnsi="黑体" w:eastAsia="仿宋_GB2312" w:cs="方正小标宋简体"/>
          <w:color w:val="000000"/>
          <w:kern w:val="0"/>
          <w:sz w:val="30"/>
          <w:szCs w:val="30"/>
          <w:lang w:val="en-US" w:eastAsia="zh-CN"/>
        </w:rPr>
        <w:t>0</w:t>
      </w:r>
      <w:r>
        <w:rPr>
          <w:rFonts w:hint="eastAsia" w:ascii="仿宋_GB2312" w:hAnsi="黑体" w:eastAsia="仿宋_GB2312" w:cs="方正小标宋简体"/>
          <w:color w:val="000000"/>
          <w:kern w:val="0"/>
          <w:sz w:val="30"/>
          <w:szCs w:val="30"/>
        </w:rPr>
        <w:t>万元；处置车辆</w:t>
      </w:r>
      <w:r>
        <w:rPr>
          <w:rFonts w:hint="eastAsia" w:ascii="仿宋_GB2312" w:hAnsi="黑体" w:eastAsia="仿宋_GB2312" w:cs="方正小标宋简体"/>
          <w:color w:val="000000"/>
          <w:kern w:val="0"/>
          <w:sz w:val="30"/>
          <w:szCs w:val="30"/>
          <w:lang w:val="en-US" w:eastAsia="zh-CN"/>
        </w:rPr>
        <w:t>0</w:t>
      </w:r>
      <w:r>
        <w:rPr>
          <w:rFonts w:hint="eastAsia" w:ascii="仿宋_GB2312" w:hAnsi="黑体" w:eastAsia="仿宋_GB2312" w:cs="方正小标宋简体"/>
          <w:color w:val="000000"/>
          <w:kern w:val="0"/>
          <w:sz w:val="30"/>
          <w:szCs w:val="30"/>
        </w:rPr>
        <w:t>辆，账面原值</w:t>
      </w:r>
      <w:r>
        <w:rPr>
          <w:rFonts w:hint="eastAsia" w:ascii="仿宋_GB2312" w:hAnsi="黑体" w:eastAsia="仿宋_GB2312" w:cs="方正小标宋简体"/>
          <w:color w:val="000000"/>
          <w:kern w:val="0"/>
          <w:sz w:val="30"/>
          <w:szCs w:val="30"/>
          <w:lang w:val="en-US" w:eastAsia="zh-CN"/>
        </w:rPr>
        <w:t>0</w:t>
      </w:r>
      <w:r>
        <w:rPr>
          <w:rFonts w:hint="eastAsia" w:ascii="仿宋_GB2312" w:hAnsi="黑体" w:eastAsia="仿宋_GB2312" w:cs="方正小标宋简体"/>
          <w:color w:val="000000"/>
          <w:kern w:val="0"/>
          <w:sz w:val="30"/>
          <w:szCs w:val="30"/>
        </w:rPr>
        <w:t>万元；报废报损资产</w:t>
      </w:r>
      <w:r>
        <w:rPr>
          <w:rFonts w:hint="eastAsia" w:ascii="仿宋_GB2312" w:hAnsi="黑体" w:eastAsia="仿宋_GB2312" w:cs="方正小标宋简体"/>
          <w:color w:val="000000"/>
          <w:kern w:val="0"/>
          <w:sz w:val="30"/>
          <w:szCs w:val="30"/>
          <w:lang w:val="en-US" w:eastAsia="zh-CN"/>
        </w:rPr>
        <w:t>0</w:t>
      </w:r>
      <w:r>
        <w:rPr>
          <w:rFonts w:hint="eastAsia" w:ascii="仿宋_GB2312" w:hAnsi="黑体" w:eastAsia="仿宋_GB2312" w:cs="方正小标宋简体"/>
          <w:color w:val="000000"/>
          <w:kern w:val="0"/>
          <w:sz w:val="30"/>
          <w:szCs w:val="30"/>
        </w:rPr>
        <w:t>项，账面原值</w:t>
      </w:r>
      <w:r>
        <w:rPr>
          <w:rFonts w:hint="eastAsia" w:ascii="仿宋_GB2312" w:hAnsi="黑体" w:eastAsia="仿宋_GB2312" w:cs="方正小标宋简体"/>
          <w:color w:val="000000"/>
          <w:kern w:val="0"/>
          <w:sz w:val="30"/>
          <w:szCs w:val="30"/>
          <w:lang w:val="en-US" w:eastAsia="zh-CN"/>
        </w:rPr>
        <w:t>0</w:t>
      </w:r>
      <w:r>
        <w:rPr>
          <w:rFonts w:hint="eastAsia" w:ascii="仿宋_GB2312" w:hAnsi="黑体" w:eastAsia="仿宋_GB2312" w:cs="方正小标宋简体"/>
          <w:color w:val="000000"/>
          <w:kern w:val="0"/>
          <w:sz w:val="30"/>
          <w:szCs w:val="30"/>
        </w:rPr>
        <w:t>万元，实现资产处置收入</w:t>
      </w:r>
      <w:r>
        <w:rPr>
          <w:rFonts w:hint="eastAsia" w:ascii="仿宋_GB2312" w:hAnsi="黑体" w:eastAsia="仿宋_GB2312" w:cs="方正小标宋简体"/>
          <w:color w:val="000000"/>
          <w:kern w:val="0"/>
          <w:sz w:val="30"/>
          <w:szCs w:val="30"/>
          <w:lang w:val="en-US" w:eastAsia="zh-CN"/>
        </w:rPr>
        <w:t>0</w:t>
      </w:r>
      <w:r>
        <w:rPr>
          <w:rFonts w:hint="eastAsia" w:ascii="仿宋_GB2312" w:hAnsi="黑体" w:eastAsia="仿宋_GB2312" w:cs="方正小标宋简体"/>
          <w:color w:val="000000"/>
          <w:kern w:val="0"/>
          <w:sz w:val="30"/>
          <w:szCs w:val="30"/>
        </w:rPr>
        <w:t>万元；出租房屋</w:t>
      </w:r>
      <w:r>
        <w:rPr>
          <w:rFonts w:hint="eastAsia" w:ascii="仿宋_GB2312" w:hAnsi="黑体" w:eastAsia="仿宋_GB2312" w:cs="方正小标宋简体"/>
          <w:color w:val="000000"/>
          <w:kern w:val="0"/>
          <w:sz w:val="30"/>
          <w:szCs w:val="30"/>
          <w:lang w:val="en-US" w:eastAsia="zh-CN"/>
        </w:rPr>
        <w:t>0</w:t>
      </w:r>
      <w:r>
        <w:rPr>
          <w:rFonts w:hint="eastAsia" w:ascii="仿宋_GB2312" w:hAnsi="黑体" w:eastAsia="仿宋_GB2312" w:cs="方正小标宋简体"/>
          <w:color w:val="000000"/>
          <w:kern w:val="0"/>
          <w:sz w:val="30"/>
          <w:szCs w:val="30"/>
        </w:rPr>
        <w:t>平方米，账面原值</w:t>
      </w:r>
      <w:r>
        <w:rPr>
          <w:rFonts w:hint="eastAsia" w:ascii="仿宋_GB2312" w:hAnsi="黑体" w:eastAsia="仿宋_GB2312" w:cs="方正小标宋简体"/>
          <w:color w:val="000000"/>
          <w:kern w:val="0"/>
          <w:sz w:val="30"/>
          <w:szCs w:val="30"/>
          <w:lang w:val="en-US" w:eastAsia="zh-CN"/>
        </w:rPr>
        <w:t>0</w:t>
      </w:r>
      <w:r>
        <w:rPr>
          <w:rFonts w:hint="eastAsia" w:ascii="仿宋_GB2312" w:hAnsi="黑体" w:eastAsia="仿宋_GB2312" w:cs="方正小标宋简体"/>
          <w:color w:val="000000"/>
          <w:kern w:val="0"/>
          <w:sz w:val="30"/>
          <w:szCs w:val="30"/>
        </w:rPr>
        <w:t>万元，实现资产使用收入</w:t>
      </w:r>
      <w:r>
        <w:rPr>
          <w:rFonts w:hint="eastAsia" w:ascii="仿宋_GB2312" w:hAnsi="黑体" w:eastAsia="仿宋_GB2312" w:cs="方正小标宋简体"/>
          <w:color w:val="000000"/>
          <w:kern w:val="0"/>
          <w:sz w:val="30"/>
          <w:szCs w:val="30"/>
          <w:lang w:val="en-US" w:eastAsia="zh-CN"/>
        </w:rPr>
        <w:t>0</w:t>
      </w:r>
      <w:r>
        <w:rPr>
          <w:rFonts w:hint="eastAsia" w:ascii="仿宋_GB2312" w:hAnsi="黑体" w:eastAsia="仿宋_GB2312" w:cs="方正小标宋简体"/>
          <w:color w:val="000000"/>
          <w:kern w:val="0"/>
          <w:sz w:val="30"/>
          <w:szCs w:val="30"/>
        </w:rPr>
        <w:t>万元。</w:t>
      </w:r>
    </w:p>
    <w:tbl>
      <w:tblPr>
        <w:tblStyle w:val="3"/>
        <w:tblpPr w:leftFromText="180" w:rightFromText="180" w:topFromText="100" w:bottomFromText="100" w:vertAnchor="text" w:horzAnchor="page" w:tblpX="534" w:tblpY="490"/>
        <w:tblOverlap w:val="never"/>
        <w:tblW w:w="10770" w:type="dxa"/>
        <w:tblInd w:w="0" w:type="dxa"/>
        <w:tblLayout w:type="fixed"/>
        <w:tblCellMar>
          <w:top w:w="0" w:type="dxa"/>
          <w:left w:w="0" w:type="dxa"/>
          <w:bottom w:w="0" w:type="dxa"/>
          <w:right w:w="0" w:type="dxa"/>
        </w:tblCellMar>
      </w:tblPr>
      <w:tblGrid>
        <w:gridCol w:w="715"/>
        <w:gridCol w:w="546"/>
        <w:gridCol w:w="700"/>
        <w:gridCol w:w="684"/>
        <w:gridCol w:w="780"/>
        <w:gridCol w:w="720"/>
        <w:gridCol w:w="468"/>
        <w:gridCol w:w="67"/>
        <w:gridCol w:w="865"/>
        <w:gridCol w:w="331"/>
        <w:gridCol w:w="643"/>
        <w:gridCol w:w="196"/>
        <w:gridCol w:w="978"/>
        <w:gridCol w:w="979"/>
        <w:gridCol w:w="360"/>
        <w:gridCol w:w="618"/>
        <w:gridCol w:w="360"/>
        <w:gridCol w:w="142"/>
        <w:gridCol w:w="476"/>
        <w:gridCol w:w="142"/>
      </w:tblGrid>
      <w:tr>
        <w:tblPrEx>
          <w:tblCellMar>
            <w:top w:w="0" w:type="dxa"/>
            <w:left w:w="0" w:type="dxa"/>
            <w:bottom w:w="0" w:type="dxa"/>
            <w:right w:w="0" w:type="dxa"/>
          </w:tblCellMar>
        </w:tblPrEx>
        <w:trPr>
          <w:trHeight w:val="495" w:hRule="atLeast"/>
        </w:trPr>
        <w:tc>
          <w:tcPr>
            <w:tcW w:w="10628" w:type="dxa"/>
            <w:gridSpan w:val="19"/>
            <w:tcBorders>
              <w:top w:val="nil"/>
              <w:left w:val="nil"/>
              <w:bottom w:val="nil"/>
              <w:right w:val="nil"/>
            </w:tcBorders>
            <w:shd w:val="clear" w:color="auto" w:fill="FFFFFF"/>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仿宋_GB2312" w:hAnsi="方正小标宋_GBK" w:eastAsia="仿宋_GB2312" w:cs="方正小标宋_GBK"/>
                <w:b/>
                <w:color w:val="000000"/>
                <w:kern w:val="0"/>
                <w:sz w:val="30"/>
                <w:szCs w:val="30"/>
                <w:lang w:bidi="ar"/>
              </w:rPr>
              <w:t>国有资产占有使用情况表</w:t>
            </w:r>
          </w:p>
        </w:tc>
        <w:tc>
          <w:tcPr>
            <w:tcW w:w="142" w:type="dxa"/>
            <w:tcBorders>
              <w:top w:val="nil"/>
              <w:left w:val="nil"/>
              <w:bottom w:val="nil"/>
              <w:right w:val="nil"/>
            </w:tcBorders>
            <w:vAlign w:val="center"/>
          </w:tcPr>
          <w:p>
            <w:pPr>
              <w:widowControl/>
              <w:jc w:val="left"/>
              <w:rPr>
                <w:rFonts w:ascii="宋体" w:hAnsi="宋体" w:cs="宋体"/>
                <w:color w:val="000000"/>
                <w:kern w:val="0"/>
                <w:sz w:val="17"/>
                <w:szCs w:val="17"/>
              </w:rPr>
            </w:pPr>
          </w:p>
        </w:tc>
      </w:tr>
      <w:tr>
        <w:tblPrEx>
          <w:tblCellMar>
            <w:top w:w="0" w:type="dxa"/>
            <w:left w:w="0" w:type="dxa"/>
            <w:bottom w:w="0" w:type="dxa"/>
            <w:right w:w="0" w:type="dxa"/>
          </w:tblCellMar>
        </w:tblPrEx>
        <w:trPr>
          <w:trHeight w:val="347" w:hRule="atLeast"/>
        </w:trPr>
        <w:tc>
          <w:tcPr>
            <w:tcW w:w="4680" w:type="dxa"/>
            <w:gridSpan w:val="8"/>
            <w:tcBorders>
              <w:top w:val="nil"/>
              <w:left w:val="nil"/>
              <w:bottom w:val="single" w:color="808080" w:sz="4" w:space="0"/>
              <w:right w:val="nil"/>
            </w:tcBorders>
            <w:shd w:val="clear" w:color="auto" w:fill="FFFFFF"/>
            <w:tcMar>
              <w:top w:w="15" w:type="dxa"/>
              <w:left w:w="15" w:type="dxa"/>
              <w:bottom w:w="15" w:type="dxa"/>
              <w:right w:w="15" w:type="dxa"/>
            </w:tcMar>
            <w:vAlign w:val="center"/>
          </w:tcPr>
          <w:p>
            <w:pPr>
              <w:widowControl/>
              <w:jc w:val="left"/>
              <w:textAlignment w:val="center"/>
              <w:rPr>
                <w:rFonts w:ascii="宋体" w:hAnsi="宋体" w:cs="宋体"/>
                <w:color w:val="000000"/>
                <w:kern w:val="0"/>
                <w:sz w:val="24"/>
                <w:szCs w:val="24"/>
              </w:rPr>
            </w:pPr>
            <w:r>
              <w:rPr>
                <w:rFonts w:hint="eastAsia" w:ascii="宋体" w:hAnsi="宋体" w:cs="宋体"/>
                <w:color w:val="000000"/>
                <w:kern w:val="0"/>
                <w:sz w:val="20"/>
                <w:szCs w:val="20"/>
              </w:rPr>
              <w:t> </w:t>
            </w:r>
          </w:p>
        </w:tc>
        <w:tc>
          <w:tcPr>
            <w:tcW w:w="865" w:type="dxa"/>
            <w:tcBorders>
              <w:top w:val="nil"/>
              <w:left w:val="nil"/>
              <w:bottom w:val="single" w:color="808080" w:sz="4" w:space="0"/>
              <w:right w:val="nil"/>
            </w:tcBorders>
            <w:shd w:val="clear" w:color="auto" w:fill="FFFFFF"/>
            <w:tcMar>
              <w:top w:w="15" w:type="dxa"/>
              <w:left w:w="15" w:type="dxa"/>
              <w:bottom w:w="15" w:type="dxa"/>
              <w:right w:w="15" w:type="dxa"/>
            </w:tcMar>
            <w:vAlign w:val="center"/>
          </w:tcPr>
          <w:p>
            <w:pPr>
              <w:widowControl/>
              <w:jc w:val="left"/>
              <w:rPr>
                <w:rFonts w:ascii="宋体" w:hAnsi="宋体" w:cs="宋体"/>
                <w:color w:val="000000"/>
                <w:kern w:val="0"/>
                <w:sz w:val="24"/>
                <w:szCs w:val="24"/>
              </w:rPr>
            </w:pPr>
            <w:r>
              <w:rPr>
                <w:rFonts w:hint="eastAsia" w:ascii="宋体" w:hAnsi="宋体" w:cs="宋体"/>
                <w:color w:val="000000"/>
                <w:kern w:val="0"/>
                <w:sz w:val="20"/>
                <w:szCs w:val="20"/>
              </w:rPr>
              <w:t> </w:t>
            </w:r>
          </w:p>
        </w:tc>
        <w:tc>
          <w:tcPr>
            <w:tcW w:w="974" w:type="dxa"/>
            <w:gridSpan w:val="2"/>
            <w:tcBorders>
              <w:top w:val="nil"/>
              <w:left w:val="nil"/>
              <w:bottom w:val="single" w:color="808080" w:sz="4" w:space="0"/>
              <w:right w:val="nil"/>
            </w:tcBorders>
            <w:shd w:val="clear" w:color="auto" w:fill="FFFFFF"/>
            <w:tcMar>
              <w:top w:w="15" w:type="dxa"/>
              <w:left w:w="15" w:type="dxa"/>
              <w:bottom w:w="15" w:type="dxa"/>
              <w:right w:w="15" w:type="dxa"/>
            </w:tcMar>
            <w:vAlign w:val="center"/>
          </w:tcPr>
          <w:p>
            <w:pPr>
              <w:widowControl/>
              <w:jc w:val="left"/>
              <w:rPr>
                <w:rFonts w:ascii="宋体" w:hAnsi="宋体" w:cs="宋体"/>
                <w:color w:val="000000"/>
                <w:kern w:val="0"/>
                <w:sz w:val="24"/>
                <w:szCs w:val="24"/>
              </w:rPr>
            </w:pPr>
            <w:r>
              <w:rPr>
                <w:rFonts w:hint="eastAsia" w:ascii="宋体" w:hAnsi="宋体" w:cs="宋体"/>
                <w:color w:val="000000"/>
                <w:kern w:val="0"/>
                <w:sz w:val="20"/>
                <w:szCs w:val="20"/>
              </w:rPr>
              <w:t> </w:t>
            </w:r>
          </w:p>
        </w:tc>
        <w:tc>
          <w:tcPr>
            <w:tcW w:w="196" w:type="dxa"/>
            <w:tcBorders>
              <w:top w:val="nil"/>
              <w:left w:val="nil"/>
              <w:bottom w:val="single" w:color="808080" w:sz="4" w:space="0"/>
              <w:right w:val="nil"/>
            </w:tcBorders>
            <w:shd w:val="clear" w:color="auto" w:fill="FFFFFF"/>
            <w:tcMar>
              <w:top w:w="15" w:type="dxa"/>
              <w:left w:w="15" w:type="dxa"/>
              <w:bottom w:w="15" w:type="dxa"/>
              <w:right w:w="15" w:type="dxa"/>
            </w:tcMar>
            <w:vAlign w:val="center"/>
          </w:tcPr>
          <w:p>
            <w:pPr>
              <w:widowControl/>
              <w:jc w:val="left"/>
              <w:rPr>
                <w:rFonts w:ascii="宋体" w:hAnsi="宋体" w:cs="宋体"/>
                <w:color w:val="000000"/>
                <w:kern w:val="0"/>
                <w:sz w:val="24"/>
                <w:szCs w:val="24"/>
              </w:rPr>
            </w:pPr>
            <w:r>
              <w:rPr>
                <w:rFonts w:hint="eastAsia" w:ascii="宋体" w:hAnsi="宋体" w:cs="宋体"/>
                <w:color w:val="000000"/>
                <w:kern w:val="0"/>
                <w:sz w:val="20"/>
                <w:szCs w:val="20"/>
              </w:rPr>
              <w:t> </w:t>
            </w:r>
          </w:p>
        </w:tc>
        <w:tc>
          <w:tcPr>
            <w:tcW w:w="978" w:type="dxa"/>
            <w:tcBorders>
              <w:top w:val="nil"/>
              <w:left w:val="nil"/>
              <w:bottom w:val="single" w:color="808080" w:sz="4" w:space="0"/>
              <w:right w:val="nil"/>
            </w:tcBorders>
            <w:shd w:val="clear" w:color="auto" w:fill="FFFFFF"/>
            <w:tcMar>
              <w:top w:w="15" w:type="dxa"/>
              <w:left w:w="15" w:type="dxa"/>
              <w:bottom w:w="15" w:type="dxa"/>
              <w:right w:w="15" w:type="dxa"/>
            </w:tcMar>
            <w:vAlign w:val="center"/>
          </w:tcPr>
          <w:p>
            <w:pPr>
              <w:widowControl/>
              <w:jc w:val="left"/>
              <w:rPr>
                <w:rFonts w:ascii="宋体" w:hAnsi="宋体" w:cs="宋体"/>
                <w:color w:val="000000"/>
                <w:kern w:val="0"/>
                <w:sz w:val="24"/>
                <w:szCs w:val="24"/>
              </w:rPr>
            </w:pPr>
            <w:r>
              <w:rPr>
                <w:rFonts w:hint="eastAsia" w:ascii="宋体" w:hAnsi="宋体" w:cs="宋体"/>
                <w:color w:val="000000"/>
                <w:kern w:val="0"/>
                <w:sz w:val="20"/>
                <w:szCs w:val="20"/>
              </w:rPr>
              <w:t> </w:t>
            </w:r>
          </w:p>
        </w:tc>
        <w:tc>
          <w:tcPr>
            <w:tcW w:w="979" w:type="dxa"/>
            <w:tcBorders>
              <w:top w:val="nil"/>
              <w:left w:val="nil"/>
              <w:bottom w:val="single" w:color="808080" w:sz="4" w:space="0"/>
              <w:right w:val="nil"/>
            </w:tcBorders>
            <w:shd w:val="clear" w:color="auto" w:fill="FFFFFF"/>
            <w:tcMar>
              <w:top w:w="15" w:type="dxa"/>
              <w:left w:w="15" w:type="dxa"/>
              <w:bottom w:w="15" w:type="dxa"/>
              <w:right w:w="15" w:type="dxa"/>
            </w:tcMar>
            <w:vAlign w:val="center"/>
          </w:tcPr>
          <w:p>
            <w:pPr>
              <w:widowControl/>
              <w:jc w:val="left"/>
              <w:rPr>
                <w:rFonts w:ascii="宋体" w:hAnsi="宋体" w:cs="宋体"/>
                <w:color w:val="000000"/>
                <w:kern w:val="0"/>
                <w:sz w:val="24"/>
                <w:szCs w:val="24"/>
              </w:rPr>
            </w:pPr>
            <w:r>
              <w:rPr>
                <w:rFonts w:hint="eastAsia" w:ascii="宋体" w:hAnsi="宋体" w:cs="宋体"/>
                <w:color w:val="000000"/>
                <w:kern w:val="0"/>
                <w:sz w:val="20"/>
                <w:szCs w:val="20"/>
              </w:rPr>
              <w:t> </w:t>
            </w:r>
          </w:p>
        </w:tc>
        <w:tc>
          <w:tcPr>
            <w:tcW w:w="1956" w:type="dxa"/>
            <w:gridSpan w:val="5"/>
            <w:tcBorders>
              <w:top w:val="nil"/>
              <w:left w:val="nil"/>
              <w:bottom w:val="single" w:color="808080" w:sz="4" w:space="0"/>
              <w:right w:val="nil"/>
            </w:tcBorders>
            <w:shd w:val="clear" w:color="auto" w:fill="FFFFFF"/>
            <w:tcMar>
              <w:top w:w="15" w:type="dxa"/>
              <w:left w:w="15" w:type="dxa"/>
              <w:bottom w:w="15" w:type="dxa"/>
              <w:right w:w="15" w:type="dxa"/>
            </w:tcMar>
            <w:vAlign w:val="center"/>
          </w:tcPr>
          <w:p>
            <w:pPr>
              <w:widowControl/>
              <w:jc w:val="right"/>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单位：万元</w:t>
            </w:r>
          </w:p>
        </w:tc>
        <w:tc>
          <w:tcPr>
            <w:tcW w:w="142" w:type="dxa"/>
            <w:tcBorders>
              <w:top w:val="nil"/>
              <w:left w:val="nil"/>
              <w:bottom w:val="nil"/>
              <w:right w:val="nil"/>
            </w:tcBorders>
            <w:vAlign w:val="center"/>
          </w:tcPr>
          <w:p>
            <w:pPr>
              <w:widowControl/>
              <w:jc w:val="left"/>
              <w:rPr>
                <w:rFonts w:ascii="宋体" w:hAnsi="宋体" w:cs="宋体"/>
                <w:color w:val="000000"/>
                <w:kern w:val="0"/>
                <w:sz w:val="17"/>
                <w:szCs w:val="17"/>
              </w:rPr>
            </w:pPr>
          </w:p>
        </w:tc>
      </w:tr>
      <w:tr>
        <w:tblPrEx>
          <w:tblCellMar>
            <w:top w:w="0" w:type="dxa"/>
            <w:left w:w="0" w:type="dxa"/>
            <w:bottom w:w="0" w:type="dxa"/>
            <w:right w:w="0" w:type="dxa"/>
          </w:tblCellMar>
        </w:tblPrEx>
        <w:trPr>
          <w:trHeight w:val="415" w:hRule="atLeast"/>
        </w:trPr>
        <w:tc>
          <w:tcPr>
            <w:tcW w:w="71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项目</w:t>
            </w:r>
          </w:p>
        </w:tc>
        <w:tc>
          <w:tcPr>
            <w:tcW w:w="546"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行次</w:t>
            </w:r>
          </w:p>
        </w:tc>
        <w:tc>
          <w:tcPr>
            <w:tcW w:w="70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资产总额</w:t>
            </w:r>
          </w:p>
        </w:tc>
        <w:tc>
          <w:tcPr>
            <w:tcW w:w="68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流动资产</w:t>
            </w:r>
          </w:p>
        </w:tc>
        <w:tc>
          <w:tcPr>
            <w:tcW w:w="4070" w:type="dxa"/>
            <w:gridSpan w:val="8"/>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固定资产</w:t>
            </w:r>
          </w:p>
        </w:tc>
        <w:tc>
          <w:tcPr>
            <w:tcW w:w="978"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对外投资/有价证券</w:t>
            </w:r>
          </w:p>
        </w:tc>
        <w:tc>
          <w:tcPr>
            <w:tcW w:w="979"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在建工程</w:t>
            </w:r>
          </w:p>
        </w:tc>
        <w:tc>
          <w:tcPr>
            <w:tcW w:w="978" w:type="dxa"/>
            <w:gridSpan w:val="2"/>
            <w:vMerge w:val="restart"/>
            <w:tcBorders>
              <w:top w:val="nil"/>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无形资产</w:t>
            </w:r>
          </w:p>
        </w:tc>
        <w:tc>
          <w:tcPr>
            <w:tcW w:w="978" w:type="dxa"/>
            <w:gridSpan w:val="3"/>
            <w:vMerge w:val="restart"/>
            <w:tcBorders>
              <w:top w:val="nil"/>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其他资产</w:t>
            </w:r>
          </w:p>
        </w:tc>
        <w:tc>
          <w:tcPr>
            <w:tcW w:w="142" w:type="dxa"/>
            <w:tcBorders>
              <w:top w:val="nil"/>
              <w:left w:val="nil"/>
              <w:bottom w:val="nil"/>
              <w:right w:val="nil"/>
            </w:tcBorders>
            <w:vAlign w:val="center"/>
          </w:tcPr>
          <w:p>
            <w:pPr>
              <w:widowControl/>
              <w:jc w:val="left"/>
              <w:rPr>
                <w:rFonts w:ascii="宋体" w:hAnsi="宋体" w:cs="宋体"/>
                <w:color w:val="000000"/>
                <w:kern w:val="0"/>
                <w:sz w:val="17"/>
                <w:szCs w:val="17"/>
              </w:rPr>
            </w:pPr>
          </w:p>
        </w:tc>
      </w:tr>
      <w:tr>
        <w:tblPrEx>
          <w:tblCellMar>
            <w:top w:w="0" w:type="dxa"/>
            <w:left w:w="0" w:type="dxa"/>
            <w:bottom w:w="0" w:type="dxa"/>
            <w:right w:w="0" w:type="dxa"/>
          </w:tblCellMar>
        </w:tblPrEx>
        <w:trPr>
          <w:trHeight w:val="345" w:hRule="atLeast"/>
        </w:trPr>
        <w:tc>
          <w:tcPr>
            <w:tcW w:w="7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5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7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78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小计</w:t>
            </w:r>
          </w:p>
        </w:tc>
        <w:tc>
          <w:tcPr>
            <w:tcW w:w="72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房屋构筑物</w:t>
            </w:r>
          </w:p>
        </w:tc>
        <w:tc>
          <w:tcPr>
            <w:tcW w:w="468"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车辆</w:t>
            </w:r>
          </w:p>
        </w:tc>
        <w:tc>
          <w:tcPr>
            <w:tcW w:w="1263" w:type="dxa"/>
            <w:gridSpan w:val="3"/>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单价200万以上大型设备</w:t>
            </w:r>
          </w:p>
        </w:tc>
        <w:tc>
          <w:tcPr>
            <w:tcW w:w="839"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其他固定资产</w:t>
            </w:r>
          </w:p>
        </w:tc>
        <w:tc>
          <w:tcPr>
            <w:tcW w:w="97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97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978"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978"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142" w:type="dxa"/>
            <w:tcBorders>
              <w:top w:val="nil"/>
              <w:left w:val="nil"/>
              <w:bottom w:val="nil"/>
              <w:right w:val="nil"/>
            </w:tcBorders>
            <w:vAlign w:val="center"/>
          </w:tcPr>
          <w:p>
            <w:pPr>
              <w:widowControl/>
              <w:jc w:val="left"/>
              <w:rPr>
                <w:rFonts w:ascii="宋体" w:hAnsi="宋体" w:cs="宋体"/>
                <w:color w:val="000000"/>
                <w:kern w:val="0"/>
                <w:sz w:val="17"/>
                <w:szCs w:val="17"/>
              </w:rPr>
            </w:pPr>
          </w:p>
        </w:tc>
      </w:tr>
      <w:tr>
        <w:tblPrEx>
          <w:tblCellMar>
            <w:top w:w="0" w:type="dxa"/>
            <w:left w:w="0" w:type="dxa"/>
            <w:bottom w:w="0" w:type="dxa"/>
            <w:right w:w="0" w:type="dxa"/>
          </w:tblCellMar>
        </w:tblPrEx>
        <w:trPr>
          <w:trHeight w:val="395" w:hRule="atLeast"/>
        </w:trPr>
        <w:tc>
          <w:tcPr>
            <w:tcW w:w="7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5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7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4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1263"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839"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97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97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978"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978"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142" w:type="dxa"/>
            <w:tcBorders>
              <w:top w:val="nil"/>
              <w:left w:val="nil"/>
              <w:bottom w:val="nil"/>
              <w:right w:val="nil"/>
            </w:tcBorders>
            <w:vAlign w:val="center"/>
          </w:tcPr>
          <w:p>
            <w:pPr>
              <w:widowControl/>
              <w:jc w:val="left"/>
              <w:rPr>
                <w:rFonts w:ascii="宋体" w:hAnsi="宋体" w:cs="宋体"/>
                <w:color w:val="000000"/>
                <w:kern w:val="0"/>
                <w:sz w:val="17"/>
                <w:szCs w:val="17"/>
              </w:rPr>
            </w:pPr>
          </w:p>
        </w:tc>
      </w:tr>
      <w:tr>
        <w:tblPrEx>
          <w:tblCellMar>
            <w:top w:w="0" w:type="dxa"/>
            <w:left w:w="0" w:type="dxa"/>
            <w:bottom w:w="0" w:type="dxa"/>
            <w:right w:w="0" w:type="dxa"/>
          </w:tblCellMar>
        </w:tblPrEx>
        <w:trPr>
          <w:trHeight w:val="358" w:hRule="atLeast"/>
        </w:trPr>
        <w:tc>
          <w:tcPr>
            <w:tcW w:w="71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栏次</w:t>
            </w:r>
          </w:p>
        </w:tc>
        <w:tc>
          <w:tcPr>
            <w:tcW w:w="54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rPr>
                <w:rFonts w:ascii="宋体" w:hAnsi="宋体" w:cs="宋体"/>
                <w:color w:val="000000"/>
                <w:kern w:val="0"/>
                <w:sz w:val="24"/>
                <w:szCs w:val="24"/>
              </w:rPr>
            </w:pPr>
            <w:r>
              <w:rPr>
                <w:rFonts w:hint="eastAsia" w:ascii="宋体" w:hAnsi="宋体" w:cs="宋体"/>
                <w:color w:val="000000"/>
                <w:kern w:val="0"/>
                <w:sz w:val="20"/>
                <w:szCs w:val="20"/>
              </w:rPr>
              <w:t> </w:t>
            </w:r>
          </w:p>
        </w:tc>
        <w:tc>
          <w:tcPr>
            <w:tcW w:w="70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1</w:t>
            </w:r>
          </w:p>
        </w:tc>
        <w:tc>
          <w:tcPr>
            <w:tcW w:w="68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2</w:t>
            </w:r>
          </w:p>
        </w:tc>
        <w:tc>
          <w:tcPr>
            <w:tcW w:w="7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3</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4</w:t>
            </w:r>
          </w:p>
        </w:tc>
        <w:tc>
          <w:tcPr>
            <w:tcW w:w="4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5</w:t>
            </w:r>
          </w:p>
        </w:tc>
        <w:tc>
          <w:tcPr>
            <w:tcW w:w="1263"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6</w:t>
            </w:r>
          </w:p>
        </w:tc>
        <w:tc>
          <w:tcPr>
            <w:tcW w:w="839"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7</w:t>
            </w:r>
          </w:p>
        </w:tc>
        <w:tc>
          <w:tcPr>
            <w:tcW w:w="97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8</w:t>
            </w:r>
          </w:p>
        </w:tc>
        <w:tc>
          <w:tcPr>
            <w:tcW w:w="97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9</w:t>
            </w:r>
          </w:p>
        </w:tc>
        <w:tc>
          <w:tcPr>
            <w:tcW w:w="97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10</w:t>
            </w:r>
          </w:p>
        </w:tc>
        <w:tc>
          <w:tcPr>
            <w:tcW w:w="9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11</w:t>
            </w:r>
          </w:p>
        </w:tc>
        <w:tc>
          <w:tcPr>
            <w:tcW w:w="142" w:type="dxa"/>
            <w:tcBorders>
              <w:top w:val="nil"/>
              <w:left w:val="nil"/>
              <w:bottom w:val="nil"/>
              <w:right w:val="nil"/>
            </w:tcBorders>
            <w:vAlign w:val="center"/>
          </w:tcPr>
          <w:p>
            <w:pPr>
              <w:widowControl/>
              <w:jc w:val="left"/>
              <w:rPr>
                <w:rFonts w:ascii="宋体" w:hAnsi="宋体" w:cs="宋体"/>
                <w:color w:val="000000"/>
                <w:kern w:val="0"/>
                <w:sz w:val="17"/>
                <w:szCs w:val="17"/>
              </w:rPr>
            </w:pPr>
          </w:p>
        </w:tc>
      </w:tr>
      <w:tr>
        <w:tblPrEx>
          <w:tblCellMar>
            <w:top w:w="0" w:type="dxa"/>
            <w:left w:w="0" w:type="dxa"/>
            <w:bottom w:w="0" w:type="dxa"/>
            <w:right w:w="0" w:type="dxa"/>
          </w:tblCellMar>
        </w:tblPrEx>
        <w:trPr>
          <w:trHeight w:val="563" w:hRule="atLeast"/>
        </w:trPr>
        <w:tc>
          <w:tcPr>
            <w:tcW w:w="71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合计</w:t>
            </w:r>
          </w:p>
        </w:tc>
        <w:tc>
          <w:tcPr>
            <w:tcW w:w="54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hint="eastAsia" w:ascii="宋体" w:hAnsi="宋体" w:cs="宋体"/>
                <w:color w:val="000000"/>
                <w:kern w:val="0"/>
                <w:sz w:val="20"/>
                <w:szCs w:val="20"/>
                <w:lang w:bidi="ar"/>
              </w:rPr>
              <w:t>1</w:t>
            </w:r>
          </w:p>
        </w:tc>
        <w:tc>
          <w:tcPr>
            <w:tcW w:w="70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lang w:val="en-US" w:eastAsia="zh-CN"/>
              </w:rPr>
              <w:t>297.27</w:t>
            </w:r>
          </w:p>
        </w:tc>
        <w:tc>
          <w:tcPr>
            <w:tcW w:w="68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lang w:val="en-US" w:eastAsia="zh-CN"/>
              </w:rPr>
              <w:t>60.18</w:t>
            </w:r>
          </w:p>
        </w:tc>
        <w:tc>
          <w:tcPr>
            <w:tcW w:w="78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lang w:val="en-US" w:eastAsia="zh-CN"/>
              </w:rPr>
              <w:t>237.09</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0"/>
                <w:szCs w:val="20"/>
                <w:lang w:val="en-US" w:eastAsia="zh-CN"/>
              </w:rPr>
              <w:t>213.79</w:t>
            </w:r>
          </w:p>
        </w:tc>
        <w:tc>
          <w:tcPr>
            <w:tcW w:w="46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rPr>
                <w:rFonts w:ascii="宋体" w:hAnsi="宋体" w:cs="宋体"/>
                <w:color w:val="000000"/>
                <w:kern w:val="0"/>
                <w:sz w:val="24"/>
                <w:szCs w:val="24"/>
              </w:rPr>
            </w:pPr>
          </w:p>
        </w:tc>
        <w:tc>
          <w:tcPr>
            <w:tcW w:w="1263"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rPr>
                <w:rFonts w:ascii="宋体" w:hAnsi="宋体" w:cs="宋体"/>
                <w:color w:val="000000"/>
                <w:kern w:val="0"/>
                <w:sz w:val="24"/>
                <w:szCs w:val="24"/>
              </w:rPr>
            </w:pPr>
            <w:r>
              <w:rPr>
                <w:rFonts w:hint="eastAsia" w:ascii="宋体" w:hAnsi="宋体" w:cs="宋体"/>
                <w:color w:val="000000"/>
                <w:kern w:val="0"/>
                <w:sz w:val="20"/>
                <w:szCs w:val="20"/>
              </w:rPr>
              <w:t> </w:t>
            </w:r>
          </w:p>
        </w:tc>
        <w:tc>
          <w:tcPr>
            <w:tcW w:w="839"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rPr>
                <w:rFonts w:ascii="宋体" w:hAnsi="宋体" w:cs="宋体"/>
                <w:color w:val="000000"/>
                <w:kern w:val="0"/>
                <w:sz w:val="24"/>
                <w:szCs w:val="24"/>
              </w:rPr>
            </w:pPr>
            <w:r>
              <w:rPr>
                <w:rFonts w:hint="eastAsia" w:ascii="宋体" w:hAnsi="宋体" w:cs="宋体"/>
                <w:color w:val="000000"/>
                <w:kern w:val="0"/>
                <w:sz w:val="20"/>
                <w:szCs w:val="20"/>
                <w:lang w:val="en-US" w:eastAsia="zh-CN"/>
              </w:rPr>
              <w:t>23.30</w:t>
            </w:r>
            <w:r>
              <w:rPr>
                <w:rFonts w:hint="eastAsia" w:ascii="宋体" w:hAnsi="宋体" w:cs="宋体"/>
                <w:color w:val="000000"/>
                <w:kern w:val="0"/>
                <w:sz w:val="20"/>
                <w:szCs w:val="20"/>
              </w:rPr>
              <w:t> </w:t>
            </w:r>
          </w:p>
        </w:tc>
        <w:tc>
          <w:tcPr>
            <w:tcW w:w="97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rPr>
                <w:rFonts w:ascii="宋体" w:hAnsi="宋体" w:cs="宋体"/>
                <w:color w:val="000000"/>
                <w:kern w:val="0"/>
                <w:sz w:val="24"/>
                <w:szCs w:val="24"/>
              </w:rPr>
            </w:pPr>
            <w:r>
              <w:rPr>
                <w:rFonts w:hint="eastAsia" w:ascii="宋体" w:hAnsi="宋体" w:cs="宋体"/>
                <w:color w:val="000000"/>
                <w:kern w:val="0"/>
                <w:sz w:val="20"/>
                <w:szCs w:val="20"/>
              </w:rPr>
              <w:t> </w:t>
            </w:r>
          </w:p>
        </w:tc>
        <w:tc>
          <w:tcPr>
            <w:tcW w:w="97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rPr>
                <w:rFonts w:ascii="宋体" w:hAnsi="宋体" w:cs="宋体"/>
                <w:color w:val="000000"/>
                <w:kern w:val="0"/>
                <w:sz w:val="24"/>
                <w:szCs w:val="24"/>
              </w:rPr>
            </w:pPr>
            <w:r>
              <w:rPr>
                <w:rFonts w:hint="eastAsia" w:ascii="宋体" w:hAnsi="宋体" w:cs="宋体"/>
                <w:color w:val="000000"/>
                <w:kern w:val="0"/>
                <w:sz w:val="20"/>
                <w:szCs w:val="20"/>
              </w:rPr>
              <w:t> </w:t>
            </w:r>
          </w:p>
        </w:tc>
        <w:tc>
          <w:tcPr>
            <w:tcW w:w="97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rPr>
                <w:rFonts w:ascii="宋体" w:hAnsi="宋体" w:cs="宋体"/>
                <w:color w:val="000000"/>
                <w:kern w:val="0"/>
                <w:sz w:val="24"/>
                <w:szCs w:val="24"/>
              </w:rPr>
            </w:pPr>
            <w:r>
              <w:rPr>
                <w:rFonts w:hint="eastAsia" w:ascii="宋体" w:hAnsi="宋体" w:cs="宋体"/>
                <w:color w:val="000000"/>
                <w:kern w:val="0"/>
                <w:sz w:val="20"/>
                <w:szCs w:val="20"/>
              </w:rPr>
              <w:t> </w:t>
            </w:r>
          </w:p>
        </w:tc>
        <w:tc>
          <w:tcPr>
            <w:tcW w:w="9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right"/>
              <w:rPr>
                <w:rFonts w:ascii="宋体" w:hAnsi="宋体" w:cs="宋体"/>
                <w:color w:val="000000"/>
                <w:kern w:val="0"/>
                <w:sz w:val="24"/>
                <w:szCs w:val="24"/>
              </w:rPr>
            </w:pPr>
            <w:r>
              <w:rPr>
                <w:rFonts w:hint="eastAsia" w:ascii="宋体" w:hAnsi="宋体" w:cs="宋体"/>
                <w:color w:val="000000"/>
                <w:kern w:val="0"/>
                <w:sz w:val="20"/>
                <w:szCs w:val="20"/>
              </w:rPr>
              <w:t> </w:t>
            </w:r>
          </w:p>
        </w:tc>
        <w:tc>
          <w:tcPr>
            <w:tcW w:w="142" w:type="dxa"/>
            <w:tcBorders>
              <w:top w:val="nil"/>
              <w:left w:val="nil"/>
              <w:bottom w:val="nil"/>
              <w:right w:val="nil"/>
            </w:tcBorders>
            <w:vAlign w:val="center"/>
          </w:tcPr>
          <w:p>
            <w:pPr>
              <w:widowControl/>
              <w:jc w:val="left"/>
              <w:rPr>
                <w:rFonts w:ascii="宋体" w:hAnsi="宋体" w:cs="宋体"/>
                <w:color w:val="000000"/>
                <w:kern w:val="0"/>
                <w:sz w:val="17"/>
                <w:szCs w:val="17"/>
              </w:rPr>
            </w:pPr>
          </w:p>
        </w:tc>
      </w:tr>
      <w:tr>
        <w:tblPrEx>
          <w:tblCellMar>
            <w:top w:w="0" w:type="dxa"/>
            <w:left w:w="0" w:type="dxa"/>
            <w:bottom w:w="0" w:type="dxa"/>
            <w:right w:w="0" w:type="dxa"/>
          </w:tblCellMar>
        </w:tblPrEx>
        <w:trPr>
          <w:gridAfter w:val="2"/>
          <w:wAfter w:w="618" w:type="dxa"/>
          <w:trHeight w:val="259" w:hRule="atLeast"/>
        </w:trPr>
        <w:tc>
          <w:tcPr>
            <w:tcW w:w="8672" w:type="dxa"/>
            <w:gridSpan w:val="14"/>
            <w:tcBorders>
              <w:top w:val="nil"/>
              <w:left w:val="nil"/>
              <w:bottom w:val="nil"/>
              <w:right w:val="nil"/>
            </w:tcBorders>
            <w:tcMar>
              <w:top w:w="15" w:type="dxa"/>
              <w:left w:w="15" w:type="dxa"/>
              <w:bottom w:w="15" w:type="dxa"/>
              <w:right w:w="15" w:type="dxa"/>
            </w:tcMar>
            <w:vAlign w:val="bottom"/>
          </w:tcPr>
          <w:p>
            <w:pPr>
              <w:widowControl/>
              <w:rPr>
                <w:rFonts w:ascii="宋体" w:hAnsi="宋体" w:cs="宋体"/>
                <w:color w:val="000000"/>
                <w:kern w:val="0"/>
                <w:sz w:val="24"/>
                <w:szCs w:val="24"/>
              </w:rPr>
            </w:pPr>
          </w:p>
        </w:tc>
        <w:tc>
          <w:tcPr>
            <w:tcW w:w="360" w:type="dxa"/>
            <w:tcBorders>
              <w:top w:val="nil"/>
              <w:left w:val="nil"/>
              <w:bottom w:val="nil"/>
              <w:right w:val="nil"/>
            </w:tcBorders>
            <w:tcMar>
              <w:top w:w="15" w:type="dxa"/>
              <w:left w:w="15" w:type="dxa"/>
              <w:bottom w:w="15" w:type="dxa"/>
              <w:right w:w="15" w:type="dxa"/>
            </w:tcMar>
            <w:vAlign w:val="bottom"/>
          </w:tcPr>
          <w:p>
            <w:pPr>
              <w:widowControl/>
              <w:rPr>
                <w:rFonts w:ascii="宋体" w:hAnsi="宋体" w:cs="宋体"/>
                <w:color w:val="000000"/>
                <w:kern w:val="0"/>
                <w:sz w:val="20"/>
                <w:lang w:bidi="ar"/>
              </w:rPr>
            </w:pPr>
          </w:p>
        </w:tc>
        <w:tc>
          <w:tcPr>
            <w:tcW w:w="978" w:type="dxa"/>
            <w:gridSpan w:val="2"/>
            <w:tcBorders>
              <w:top w:val="nil"/>
              <w:left w:val="nil"/>
              <w:bottom w:val="nil"/>
              <w:right w:val="nil"/>
            </w:tcBorders>
            <w:tcMar>
              <w:top w:w="15" w:type="dxa"/>
              <w:left w:w="15" w:type="dxa"/>
              <w:bottom w:w="15" w:type="dxa"/>
              <w:right w:w="15" w:type="dxa"/>
            </w:tcMar>
            <w:vAlign w:val="bottom"/>
          </w:tcPr>
          <w:p>
            <w:pPr>
              <w:widowControl/>
              <w:jc w:val="left"/>
              <w:rPr>
                <w:rFonts w:ascii="宋体" w:hAnsi="宋体" w:cs="宋体"/>
                <w:color w:val="000000"/>
                <w:kern w:val="0"/>
                <w:sz w:val="24"/>
                <w:szCs w:val="24"/>
              </w:rPr>
            </w:pPr>
          </w:p>
        </w:tc>
        <w:tc>
          <w:tcPr>
            <w:tcW w:w="142" w:type="dxa"/>
            <w:tcBorders>
              <w:top w:val="nil"/>
              <w:left w:val="nil"/>
              <w:bottom w:val="nil"/>
              <w:right w:val="nil"/>
            </w:tcBorders>
            <w:vAlign w:val="center"/>
          </w:tcPr>
          <w:p>
            <w:pPr>
              <w:widowControl/>
              <w:jc w:val="left"/>
              <w:rPr>
                <w:rFonts w:ascii="宋体" w:hAnsi="宋体" w:cs="宋体"/>
                <w:color w:val="000000"/>
                <w:kern w:val="0"/>
                <w:sz w:val="17"/>
                <w:szCs w:val="17"/>
              </w:rPr>
            </w:pPr>
          </w:p>
        </w:tc>
      </w:tr>
      <w:tr>
        <w:tblPrEx>
          <w:tblCellMar>
            <w:top w:w="0" w:type="dxa"/>
            <w:left w:w="0" w:type="dxa"/>
            <w:bottom w:w="0" w:type="dxa"/>
            <w:right w:w="0" w:type="dxa"/>
          </w:tblCellMar>
        </w:tblPrEx>
        <w:trPr>
          <w:trHeight w:val="495" w:hRule="atLeast"/>
        </w:trPr>
        <w:tc>
          <w:tcPr>
            <w:tcW w:w="9650" w:type="dxa"/>
            <w:gridSpan w:val="16"/>
            <w:tcBorders>
              <w:top w:val="nil"/>
              <w:left w:val="nil"/>
              <w:bottom w:val="nil"/>
              <w:right w:val="nil"/>
            </w:tcBorders>
            <w:tcMar>
              <w:top w:w="15" w:type="dxa"/>
              <w:left w:w="15" w:type="dxa"/>
              <w:bottom w:w="15" w:type="dxa"/>
              <w:right w:w="15" w:type="dxa"/>
            </w:tcMar>
            <w:vAlign w:val="bottom"/>
          </w:tcPr>
          <w:p>
            <w:pPr>
              <w:widowControl/>
              <w:rPr>
                <w:rFonts w:hint="eastAsia" w:ascii="宋体" w:hAnsi="宋体" w:cs="宋体"/>
                <w:color w:val="000000"/>
                <w:kern w:val="0"/>
                <w:sz w:val="20"/>
                <w:szCs w:val="20"/>
              </w:rPr>
            </w:pPr>
            <w:r>
              <w:rPr>
                <w:rFonts w:hint="eastAsia" w:ascii="宋体" w:hAnsi="宋体" w:cs="宋体"/>
                <w:color w:val="000000"/>
                <w:kern w:val="0"/>
                <w:sz w:val="20"/>
                <w:szCs w:val="20"/>
              </w:rPr>
              <w:t>填报说明：1.资产总额＝流动资产＋固定资产＋对外投资</w:t>
            </w:r>
            <w:r>
              <w:rPr>
                <w:rFonts w:hint="eastAsia" w:ascii="宋体" w:hAnsi="宋体" w:cs="宋体"/>
                <w:color w:val="000000"/>
                <w:kern w:val="0"/>
                <w:sz w:val="20"/>
                <w:szCs w:val="20"/>
                <w:lang w:val="en-US" w:eastAsia="zh-CN"/>
              </w:rPr>
              <w:t>+</w:t>
            </w:r>
            <w:r>
              <w:rPr>
                <w:rFonts w:hint="eastAsia" w:ascii="宋体" w:hAnsi="宋体" w:cs="宋体"/>
                <w:color w:val="000000"/>
                <w:kern w:val="0"/>
                <w:sz w:val="20"/>
                <w:szCs w:val="20"/>
              </w:rPr>
              <w:t>有价证券＋在建工程＋无形资产＋其他资产</w:t>
            </w:r>
          </w:p>
          <w:p>
            <w:pPr>
              <w:widowControl/>
              <w:ind w:firstLine="1000" w:firstLineChars="500"/>
              <w:rPr>
                <w:rFonts w:ascii="宋体" w:hAnsi="宋体" w:cs="宋体"/>
                <w:color w:val="000000"/>
                <w:kern w:val="0"/>
                <w:sz w:val="20"/>
                <w:szCs w:val="20"/>
              </w:rPr>
            </w:pPr>
            <w:r>
              <w:rPr>
                <w:rFonts w:hint="eastAsia" w:ascii="宋体" w:hAnsi="宋体" w:cs="宋体"/>
                <w:color w:val="000000"/>
                <w:kern w:val="0"/>
                <w:sz w:val="20"/>
                <w:szCs w:val="20"/>
              </w:rPr>
              <w:t>2.固定资产＝房屋构筑物＋车辆＋单价200万元以上大型设备＋其他固定资产</w:t>
            </w:r>
          </w:p>
        </w:tc>
        <w:tc>
          <w:tcPr>
            <w:tcW w:w="978" w:type="dxa"/>
            <w:gridSpan w:val="3"/>
            <w:tcBorders>
              <w:top w:val="nil"/>
              <w:left w:val="nil"/>
              <w:bottom w:val="nil"/>
              <w:right w:val="nil"/>
            </w:tcBorders>
            <w:tcMar>
              <w:top w:w="15" w:type="dxa"/>
              <w:left w:w="15" w:type="dxa"/>
              <w:bottom w:w="15" w:type="dxa"/>
              <w:right w:w="15" w:type="dxa"/>
            </w:tcMar>
            <w:vAlign w:val="bottom"/>
          </w:tcPr>
          <w:p>
            <w:pPr>
              <w:widowControl/>
              <w:jc w:val="left"/>
              <w:rPr>
                <w:rFonts w:ascii="宋体" w:hAnsi="宋体" w:cs="宋体"/>
                <w:color w:val="000000"/>
                <w:kern w:val="0"/>
                <w:sz w:val="24"/>
                <w:szCs w:val="24"/>
              </w:rPr>
            </w:pPr>
            <w:r>
              <w:rPr>
                <w:rFonts w:ascii="Arial" w:hAnsi="Arial" w:cs="Arial"/>
                <w:color w:val="000000"/>
                <w:kern w:val="0"/>
                <w:sz w:val="20"/>
                <w:szCs w:val="20"/>
              </w:rPr>
              <w:t> </w:t>
            </w:r>
          </w:p>
        </w:tc>
        <w:tc>
          <w:tcPr>
            <w:tcW w:w="142" w:type="dxa"/>
            <w:vAlign w:val="center"/>
          </w:tcPr>
          <w:p>
            <w:pPr>
              <w:widowControl/>
              <w:jc w:val="left"/>
              <w:rPr>
                <w:rFonts w:ascii="Times New Roman" w:hAnsi="Times New Roman" w:eastAsia="Times New Roman"/>
                <w:kern w:val="0"/>
                <w:sz w:val="20"/>
                <w:szCs w:val="20"/>
              </w:rPr>
            </w:pPr>
          </w:p>
        </w:tc>
      </w:tr>
    </w:tbl>
    <w:p>
      <w:pPr>
        <w:ind w:firstLine="600"/>
        <w:jc w:val="both"/>
        <w:rPr>
          <w:rFonts w:hint="default" w:eastAsia="Times New Roman"/>
          <w:color w:val="auto"/>
          <w:sz w:val="30"/>
          <w:lang w:val="en-US"/>
        </w:rPr>
      </w:pPr>
      <w:r>
        <w:rPr>
          <w:rFonts w:hint="eastAsia" w:ascii="黑体" w:hAnsi="黑体" w:eastAsia="黑体"/>
          <w:color w:val="auto"/>
          <w:sz w:val="30"/>
          <w:lang w:val="en-US"/>
        </w:rPr>
        <w:t>三、政府采购支出情况</w:t>
      </w:r>
    </w:p>
    <w:p>
      <w:pPr>
        <w:spacing w:line="600" w:lineRule="exact"/>
        <w:ind w:firstLine="600"/>
        <w:jc w:val="left"/>
        <w:rPr>
          <w:rFonts w:hint="default" w:eastAsia="Times New Roman"/>
          <w:color w:val="auto"/>
          <w:sz w:val="30"/>
          <w:lang w:val="en-US"/>
        </w:rPr>
      </w:pPr>
      <w:r>
        <w:rPr>
          <w:rFonts w:hint="eastAsia" w:ascii="仿宋" w:hAnsi="仿宋" w:eastAsia="仿宋"/>
          <w:color w:val="auto"/>
          <w:sz w:val="30"/>
          <w:lang w:val="en-US"/>
        </w:rPr>
        <w:t>2019年度，部门政府采购支出总额</w:t>
      </w:r>
      <w:r>
        <w:rPr>
          <w:rFonts w:hint="eastAsia" w:ascii="仿宋" w:hAnsi="仿宋" w:eastAsia="仿宋"/>
          <w:color w:val="auto"/>
          <w:sz w:val="30"/>
          <w:lang w:val="en-US" w:eastAsia="zh-CN"/>
        </w:rPr>
        <w:t>0</w:t>
      </w:r>
      <w:r>
        <w:rPr>
          <w:rFonts w:hint="eastAsia" w:ascii="仿宋" w:hAnsi="仿宋" w:eastAsia="仿宋"/>
          <w:color w:val="auto"/>
          <w:sz w:val="30"/>
          <w:lang w:val="en-US"/>
        </w:rPr>
        <w:t>万元</w:t>
      </w:r>
      <w:r>
        <w:rPr>
          <w:rFonts w:hint="default" w:eastAsia="Times New Roman"/>
          <w:color w:val="auto"/>
          <w:sz w:val="30"/>
          <w:lang w:val="en-US"/>
        </w:rPr>
        <w:t>,</w:t>
      </w:r>
      <w:r>
        <w:rPr>
          <w:rFonts w:hint="eastAsia" w:ascii="仿宋" w:hAnsi="仿宋" w:eastAsia="仿宋"/>
          <w:color w:val="auto"/>
          <w:sz w:val="30"/>
          <w:lang w:val="en-US"/>
        </w:rPr>
        <w:t>其中：政府采购货物支出</w:t>
      </w:r>
      <w:r>
        <w:rPr>
          <w:rFonts w:hint="eastAsia" w:ascii="仿宋" w:hAnsi="仿宋" w:eastAsia="仿宋"/>
          <w:color w:val="auto"/>
          <w:sz w:val="30"/>
          <w:lang w:val="en-US" w:eastAsia="zh-CN"/>
        </w:rPr>
        <w:t>0</w:t>
      </w:r>
      <w:r>
        <w:rPr>
          <w:rFonts w:hint="eastAsia" w:ascii="仿宋" w:hAnsi="仿宋" w:eastAsia="仿宋"/>
          <w:color w:val="auto"/>
          <w:sz w:val="30"/>
          <w:lang w:val="en-US"/>
        </w:rPr>
        <w:t>万元;政府采购工程支出</w:t>
      </w:r>
      <w:r>
        <w:rPr>
          <w:rFonts w:hint="eastAsia" w:ascii="仿宋" w:hAnsi="仿宋" w:eastAsia="仿宋"/>
          <w:color w:val="auto"/>
          <w:sz w:val="30"/>
          <w:lang w:val="en-US" w:eastAsia="zh-CN"/>
        </w:rPr>
        <w:t>0</w:t>
      </w:r>
      <w:r>
        <w:rPr>
          <w:rFonts w:hint="eastAsia" w:ascii="仿宋" w:hAnsi="仿宋" w:eastAsia="仿宋"/>
          <w:color w:val="auto"/>
          <w:sz w:val="30"/>
          <w:lang w:val="en-US"/>
        </w:rPr>
        <w:t>万元;政府采购服务支出</w:t>
      </w:r>
      <w:r>
        <w:rPr>
          <w:rFonts w:hint="eastAsia" w:ascii="仿宋" w:hAnsi="仿宋" w:eastAsia="仿宋"/>
          <w:color w:val="auto"/>
          <w:sz w:val="30"/>
          <w:lang w:val="en-US" w:eastAsia="zh-CN"/>
        </w:rPr>
        <w:t>0</w:t>
      </w:r>
      <w:r>
        <w:rPr>
          <w:rFonts w:hint="eastAsia" w:ascii="仿宋" w:hAnsi="仿宋" w:eastAsia="仿宋"/>
          <w:color w:val="auto"/>
          <w:sz w:val="30"/>
          <w:lang w:val="en-US"/>
        </w:rPr>
        <w:t>万元;授予中小企业合同金额</w:t>
      </w:r>
      <w:r>
        <w:rPr>
          <w:rFonts w:hint="eastAsia" w:ascii="仿宋" w:hAnsi="仿宋" w:eastAsia="仿宋"/>
          <w:color w:val="auto"/>
          <w:sz w:val="30"/>
          <w:lang w:val="en-US" w:eastAsia="zh-CN"/>
        </w:rPr>
        <w:t>0</w:t>
      </w:r>
      <w:r>
        <w:rPr>
          <w:rFonts w:hint="eastAsia" w:ascii="仿宋" w:hAnsi="仿宋" w:eastAsia="仿宋"/>
          <w:color w:val="auto"/>
          <w:sz w:val="30"/>
          <w:lang w:val="en-US"/>
        </w:rPr>
        <w:t>万元，占政府采购支出总额的</w:t>
      </w:r>
      <w:r>
        <w:rPr>
          <w:rFonts w:hint="eastAsia" w:ascii="仿宋" w:hAnsi="仿宋" w:eastAsia="仿宋"/>
          <w:color w:val="auto"/>
          <w:sz w:val="30"/>
          <w:lang w:val="en-US" w:eastAsia="zh-CN"/>
        </w:rPr>
        <w:t>0</w:t>
      </w:r>
      <w:r>
        <w:rPr>
          <w:rFonts w:hint="eastAsia" w:ascii="仿宋" w:hAnsi="仿宋" w:eastAsia="仿宋"/>
          <w:color w:val="auto"/>
          <w:sz w:val="30"/>
          <w:lang w:val="en-US"/>
        </w:rPr>
        <w:t>%。</w:t>
      </w:r>
    </w:p>
    <w:p>
      <w:pPr>
        <w:spacing w:before="100" w:after="100" w:line="600" w:lineRule="exact"/>
        <w:ind w:firstLine="600"/>
        <w:jc w:val="left"/>
        <w:rPr>
          <w:rFonts w:hint="default" w:eastAsia="Times New Roman"/>
          <w:color w:val="auto"/>
          <w:sz w:val="30"/>
          <w:lang w:val="en-US"/>
        </w:rPr>
      </w:pPr>
      <w:r>
        <w:rPr>
          <w:rFonts w:hint="eastAsia" w:ascii="黑体" w:hAnsi="黑体" w:eastAsia="黑体"/>
          <w:color w:val="000000"/>
          <w:sz w:val="30"/>
          <w:lang w:val="en-US"/>
        </w:rPr>
        <w:t>四、部门绩效自评情况</w:t>
      </w:r>
    </w:p>
    <w:p>
      <w:pPr>
        <w:spacing w:beforeLines="0" w:afterLines="0" w:line="600" w:lineRule="exact"/>
        <w:ind w:firstLine="600"/>
        <w:jc w:val="left"/>
        <w:rPr>
          <w:rFonts w:hint="default" w:eastAsia="Times New Roman"/>
          <w:color w:val="0000FF"/>
          <w:sz w:val="30"/>
          <w:lang w:val="en-US"/>
        </w:rPr>
      </w:pPr>
      <w:r>
        <w:rPr>
          <w:rFonts w:hint="eastAsia" w:ascii="仿宋" w:hAnsi="仿宋" w:eastAsia="仿宋"/>
          <w:color w:val="000000"/>
          <w:sz w:val="30"/>
          <w:lang w:val="en-US" w:eastAsia="zh-CN"/>
        </w:rPr>
        <w:t>本年度我单位没有做过相关绩效自评工作，公开空表。</w:t>
      </w:r>
      <w:r>
        <w:rPr>
          <w:rFonts w:hint="eastAsia" w:ascii="仿宋" w:hAnsi="仿宋" w:eastAsia="仿宋"/>
          <w:color w:val="000000"/>
          <w:sz w:val="30"/>
          <w:lang w:val="en-US"/>
        </w:rPr>
        <w:t>（附表9-附表1</w:t>
      </w:r>
      <w:r>
        <w:rPr>
          <w:rFonts w:hint="eastAsia" w:ascii="仿宋" w:hAnsi="仿宋" w:eastAsia="仿宋"/>
          <w:color w:val="000000"/>
          <w:sz w:val="30"/>
          <w:lang w:val="en-US" w:eastAsia="zh-CN"/>
        </w:rPr>
        <w:t>2</w:t>
      </w:r>
      <w:r>
        <w:rPr>
          <w:rFonts w:hint="eastAsia" w:ascii="仿宋" w:hAnsi="仿宋" w:eastAsia="仿宋"/>
          <w:color w:val="000000"/>
          <w:sz w:val="30"/>
          <w:lang w:val="en-US"/>
        </w:rPr>
        <w:t>）</w:t>
      </w:r>
    </w:p>
    <w:p>
      <w:pPr>
        <w:numPr>
          <w:ilvl w:val="0"/>
          <w:numId w:val="3"/>
        </w:numPr>
        <w:spacing w:before="100" w:after="100" w:line="600" w:lineRule="exact"/>
        <w:ind w:firstLine="600"/>
        <w:jc w:val="left"/>
        <w:rPr>
          <w:rFonts w:hint="eastAsia" w:ascii="黑体" w:hAnsi="黑体" w:eastAsia="黑体"/>
          <w:color w:val="auto"/>
          <w:sz w:val="30"/>
          <w:lang w:val="en-US"/>
        </w:rPr>
      </w:pPr>
      <w:r>
        <w:rPr>
          <w:rFonts w:hint="eastAsia" w:ascii="黑体" w:hAnsi="黑体" w:eastAsia="黑体"/>
          <w:color w:val="auto"/>
          <w:sz w:val="30"/>
          <w:lang w:val="en-US"/>
        </w:rPr>
        <w:t>其他重要事项情况说明</w:t>
      </w:r>
    </w:p>
    <w:p>
      <w:pPr>
        <w:numPr>
          <w:ilvl w:val="0"/>
          <w:numId w:val="0"/>
        </w:numPr>
        <w:spacing w:before="100" w:after="100" w:line="600" w:lineRule="exact"/>
        <w:ind w:firstLine="1800" w:firstLineChars="600"/>
        <w:jc w:val="left"/>
        <w:rPr>
          <w:rFonts w:hint="eastAsia" w:ascii="黑体" w:hAnsi="黑体" w:eastAsia="黑体"/>
          <w:color w:val="auto"/>
          <w:sz w:val="30"/>
          <w:lang w:val="en-US" w:eastAsia="zh-CN"/>
        </w:rPr>
      </w:pPr>
      <w:r>
        <w:rPr>
          <w:rFonts w:hint="eastAsia" w:ascii="黑体" w:hAnsi="黑体" w:eastAsia="黑体"/>
          <w:color w:val="auto"/>
          <w:sz w:val="30"/>
          <w:lang w:val="en-US" w:eastAsia="zh-CN"/>
        </w:rPr>
        <w:t>无</w:t>
      </w:r>
    </w:p>
    <w:p>
      <w:pPr>
        <w:spacing w:before="100" w:after="100" w:line="600" w:lineRule="exact"/>
        <w:ind w:firstLine="600"/>
        <w:jc w:val="left"/>
        <w:rPr>
          <w:rFonts w:hint="default" w:eastAsia="Times New Roman"/>
          <w:color w:val="auto"/>
          <w:sz w:val="30"/>
          <w:lang w:val="en-US"/>
        </w:rPr>
      </w:pPr>
      <w:r>
        <w:rPr>
          <w:rFonts w:hint="eastAsia" w:ascii="黑体" w:hAnsi="黑体" w:eastAsia="黑体"/>
          <w:color w:val="auto"/>
          <w:sz w:val="30"/>
          <w:lang w:val="en-US"/>
        </w:rPr>
        <w:t>六、相关口径说明</w:t>
      </w:r>
    </w:p>
    <w:p>
      <w:pPr>
        <w:spacing w:line="600" w:lineRule="exact"/>
        <w:ind w:firstLine="600"/>
        <w:jc w:val="left"/>
        <w:rPr>
          <w:rFonts w:hint="default" w:eastAsia="Times New Roman"/>
          <w:color w:val="auto"/>
          <w:sz w:val="30"/>
          <w:lang w:val="en-US"/>
        </w:rPr>
      </w:pPr>
      <w:r>
        <w:rPr>
          <w:rFonts w:hint="eastAsia" w:ascii="仿宋" w:hAnsi="仿宋" w:eastAsia="仿宋"/>
          <w:color w:val="auto"/>
          <w:sz w:val="30"/>
          <w:lang w:val="en-US"/>
        </w:rPr>
        <w:t>（一）基本支出中人员经费包括工资福利支出和对个人和家庭的补助，日常公用支出包括商品和服务支出、资本性支出等人员经费以外的支出。</w:t>
      </w:r>
    </w:p>
    <w:p>
      <w:pPr>
        <w:spacing w:line="600" w:lineRule="exact"/>
        <w:ind w:firstLine="600"/>
        <w:jc w:val="left"/>
        <w:rPr>
          <w:rFonts w:hint="default" w:eastAsia="Times New Roman"/>
          <w:color w:val="auto"/>
          <w:sz w:val="30"/>
          <w:lang w:val="en-US"/>
        </w:rPr>
      </w:pPr>
      <w:r>
        <w:rPr>
          <w:rFonts w:hint="eastAsia" w:ascii="仿宋" w:hAnsi="仿宋" w:eastAsia="仿宋"/>
          <w:color w:val="auto"/>
          <w:sz w:val="30"/>
          <w:lang w:val="en-US"/>
        </w:rPr>
        <w:t>（二）机关运行经费指行政单位和参照公务员法管理的事业单位使用一般公共预算财政拨款安排的基本支出中的日常公用经费支出。</w:t>
      </w:r>
    </w:p>
    <w:p>
      <w:pPr>
        <w:spacing w:line="600" w:lineRule="exact"/>
        <w:ind w:firstLine="600"/>
        <w:jc w:val="left"/>
        <w:rPr>
          <w:rFonts w:hint="default" w:eastAsia="Times New Roman"/>
          <w:color w:val="auto"/>
          <w:sz w:val="30"/>
          <w:lang w:val="en-US"/>
        </w:rPr>
      </w:pPr>
      <w:r>
        <w:rPr>
          <w:rFonts w:hint="eastAsia" w:ascii="仿宋" w:hAnsi="仿宋" w:eastAsia="仿宋"/>
          <w:color w:val="auto"/>
          <w:sz w:val="30"/>
          <w:lang w:val="en-US"/>
        </w:rPr>
        <w:t>（三）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牌照费）；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p>
    <w:p>
      <w:pPr>
        <w:spacing w:line="600" w:lineRule="exact"/>
        <w:ind w:firstLine="600"/>
        <w:jc w:val="left"/>
        <w:rPr>
          <w:rFonts w:hint="default" w:eastAsia="Times New Roman"/>
          <w:color w:val="auto"/>
          <w:sz w:val="30"/>
          <w:lang w:val="en-US"/>
        </w:rPr>
      </w:pPr>
      <w:r>
        <w:rPr>
          <w:rFonts w:hint="eastAsia" w:ascii="仿宋" w:hAnsi="仿宋" w:eastAsia="仿宋"/>
          <w:color w:val="auto"/>
          <w:sz w:val="30"/>
          <w:lang w:val="en-US"/>
        </w:rPr>
        <w:t>（四）“三公”经费决算数：指各部门（含下属单位）当年通过本级财政一般公共预算财政拨款和以前年度一般公共预算财政拨款结转结余资金安排的因公出国（境）费、公务用车购置及运行维护费和公务接待费支出数（包括基本支出和项目支出）。</w:t>
      </w:r>
    </w:p>
    <w:p>
      <w:pPr>
        <w:spacing w:line="600" w:lineRule="exact"/>
        <w:ind w:firstLine="640"/>
        <w:jc w:val="center"/>
        <w:rPr>
          <w:rFonts w:hint="default" w:eastAsia="Times New Roman"/>
          <w:color w:val="auto"/>
          <w:sz w:val="32"/>
          <w:lang w:val="en-US"/>
        </w:rPr>
      </w:pPr>
      <w:r>
        <w:rPr>
          <w:rFonts w:hint="eastAsia" w:ascii="黑体" w:hAnsi="黑体" w:eastAsia="黑体"/>
          <w:color w:val="auto"/>
          <w:sz w:val="32"/>
          <w:lang w:val="en-US"/>
        </w:rPr>
        <w:t>第五部分  名词解释</w:t>
      </w:r>
    </w:p>
    <w:p>
      <w:pPr>
        <w:tabs>
          <w:tab w:val="left" w:pos="7303"/>
        </w:tabs>
        <w:jc w:val="left"/>
        <w:rPr>
          <w:rFonts w:hint="eastAsia"/>
          <w:kern w:val="2"/>
          <w:sz w:val="21"/>
          <w:szCs w:val="22"/>
          <w:lang w:eastAsia="zh-CN"/>
        </w:rPr>
      </w:pPr>
    </w:p>
    <w:p>
      <w:pPr>
        <w:numPr>
          <w:ilvl w:val="0"/>
          <w:numId w:val="4"/>
        </w:numPr>
        <w:spacing w:beforeLines="0" w:afterLines="0" w:line="360" w:lineRule="auto"/>
        <w:ind w:firstLine="600" w:firstLineChars="200"/>
        <w:jc w:val="left"/>
        <w:rPr>
          <w:rFonts w:hint="eastAsia" w:ascii="仿宋_GB2312" w:hAnsi="黑体" w:eastAsia="仿宋_GB2312"/>
          <w:sz w:val="30"/>
        </w:rPr>
      </w:pPr>
      <w:r>
        <w:rPr>
          <w:rFonts w:hint="eastAsia" w:ascii="仿宋_GB2312" w:hAnsi="黑体" w:eastAsia="仿宋_GB2312"/>
          <w:sz w:val="30"/>
        </w:rPr>
        <w:t>机关运行经费指行政单位和参照公务员法管理的事业单位使用一般公共预算财政拨款安排的基本支出中的日常公用经费支出。</w:t>
      </w:r>
    </w:p>
    <w:p>
      <w:pPr>
        <w:spacing w:beforeLines="0" w:afterLines="0" w:line="360" w:lineRule="auto"/>
        <w:ind w:firstLine="600" w:firstLineChars="200"/>
        <w:jc w:val="left"/>
        <w:rPr>
          <w:rFonts w:hint="eastAsia" w:ascii="仿宋_GB2312" w:hAnsi="黑体" w:eastAsia="仿宋_GB2312"/>
          <w:sz w:val="30"/>
        </w:rPr>
      </w:pPr>
      <w:r>
        <w:rPr>
          <w:rFonts w:hint="eastAsia" w:ascii="仿宋_GB2312" w:hAnsi="黑体" w:eastAsia="仿宋_GB2312"/>
          <w:sz w:val="30"/>
        </w:rPr>
        <w:t>2、“三公”经费决算数：指各部门（含下属单位）当年通过本级财政一般公共预算财政拨款和以前年度一般公共预算财政拨款结转结余资金安排的因公出国（境）费、公务用车购置及运行维护费和公务接待费支出数（包括基本支出和项目支出）。</w:t>
      </w:r>
    </w:p>
    <w:p>
      <w:pPr>
        <w:spacing w:beforeLines="0" w:afterLines="0" w:line="360" w:lineRule="auto"/>
        <w:jc w:val="left"/>
        <w:rPr>
          <w:rFonts w:hint="eastAsia" w:ascii="仿宋_GB2312" w:hAnsi="仿宋_GB2312" w:eastAsia="仿宋_GB2312"/>
          <w:spacing w:val="17"/>
          <w:sz w:val="30"/>
        </w:rPr>
      </w:pPr>
      <w:r>
        <w:rPr>
          <w:rFonts w:hint="eastAsia" w:ascii="仿宋_GB2312" w:hAnsi="黑体" w:eastAsia="仿宋_GB2312"/>
          <w:sz w:val="30"/>
        </w:rPr>
        <w:t xml:space="preserve">   3、</w:t>
      </w:r>
      <w:r>
        <w:rPr>
          <w:rFonts w:hint="eastAsia" w:ascii="仿宋_GB2312" w:hAnsi="仿宋_GB2312" w:eastAsia="仿宋_GB2312"/>
          <w:spacing w:val="17"/>
          <w:sz w:val="30"/>
        </w:rPr>
        <w:t>基本支出:是指行政事业单位为保障其机构正常运转、完成日常工作任务而编制的年度经费支出。</w:t>
      </w:r>
    </w:p>
    <w:p>
      <w:pPr>
        <w:spacing w:beforeLines="0" w:afterLines="0" w:line="360" w:lineRule="auto"/>
        <w:jc w:val="left"/>
        <w:rPr>
          <w:rFonts w:hint="eastAsia" w:ascii="仿宋_GB2312" w:hAnsi="仿宋_GB2312" w:eastAsia="仿宋_GB2312"/>
          <w:spacing w:val="17"/>
          <w:sz w:val="30"/>
        </w:rPr>
      </w:pPr>
      <w:r>
        <w:rPr>
          <w:rFonts w:hint="eastAsia" w:ascii="仿宋_GB2312" w:hAnsi="仿宋_GB2312" w:eastAsia="仿宋_GB2312"/>
          <w:spacing w:val="17"/>
          <w:sz w:val="30"/>
        </w:rPr>
        <w:t xml:space="preserve">  4、项目支出：是指行政事业单位为完成其特定的行政工作任务或事业发展目标，并依据具体工作内容编制的年度经费支出。</w:t>
      </w:r>
    </w:p>
    <w:p>
      <w:pPr>
        <w:spacing w:beforeLines="0" w:afterLines="0" w:line="360" w:lineRule="auto"/>
        <w:jc w:val="left"/>
        <w:rPr>
          <w:rFonts w:hint="eastAsia" w:ascii="仿宋_GB2312" w:hAnsi="仿宋_GB2312" w:eastAsia="仿宋_GB2312"/>
          <w:spacing w:val="17"/>
          <w:sz w:val="30"/>
        </w:rPr>
      </w:pPr>
      <w:r>
        <w:rPr>
          <w:rFonts w:hint="eastAsia" w:ascii="仿宋_GB2312" w:hAnsi="仿宋_GB2312" w:eastAsia="仿宋_GB2312"/>
          <w:spacing w:val="17"/>
          <w:sz w:val="30"/>
        </w:rPr>
        <w:t xml:space="preserve">   </w:t>
      </w:r>
    </w:p>
    <w:p>
      <w:pPr>
        <w:spacing w:beforeLines="0" w:afterLines="0" w:line="360" w:lineRule="auto"/>
        <w:jc w:val="left"/>
        <w:rPr>
          <w:rFonts w:hint="eastAsia" w:ascii="仿宋_GB2312" w:hAnsi="黑体" w:eastAsia="仿宋_GB2312"/>
          <w:sz w:val="30"/>
        </w:rPr>
      </w:pPr>
    </w:p>
    <w:p>
      <w:pPr>
        <w:spacing w:beforeLines="0" w:afterLines="0" w:line="360" w:lineRule="auto"/>
        <w:ind w:firstLine="600"/>
        <w:jc w:val="left"/>
        <w:rPr>
          <w:rFonts w:hint="eastAsia" w:ascii="仿宋" w:hAnsi="仿宋" w:eastAsia="仿宋"/>
          <w:color w:val="auto"/>
          <w:sz w:val="30"/>
          <w:lang w:val="en-US"/>
        </w:rPr>
      </w:pPr>
    </w:p>
    <w:p>
      <w:pPr>
        <w:tabs>
          <w:tab w:val="left" w:pos="7303"/>
        </w:tabs>
        <w:jc w:val="left"/>
        <w:rPr>
          <w:rFonts w:hint="eastAsia"/>
          <w:kern w:val="2"/>
          <w:sz w:val="21"/>
          <w:szCs w:val="2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00"/>
    <w:family w:val="auto"/>
    <w:pitch w:val="default"/>
    <w:sig w:usb0="00000000" w:usb1="00000000" w:usb2="00000000" w:usb3="00000000" w:csb0="00000001" w:csb1="00000000"/>
  </w:font>
  <w:font w:name="方正小标宋简体">
    <w:altName w:val="微软雅黑"/>
    <w:panose1 w:val="00000000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roma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36170"/>
    <w:multiLevelType w:val="multilevel"/>
    <w:tmpl w:val="01F36170"/>
    <w:lvl w:ilvl="0" w:tentative="0">
      <w:start w:val="1"/>
      <w:numFmt w:val="decimal"/>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1">
    <w:nsid w:val="4A7E112C"/>
    <w:multiLevelType w:val="multilevel"/>
    <w:tmpl w:val="4A7E112C"/>
    <w:lvl w:ilvl="0" w:tentative="0">
      <w:start w:val="1"/>
      <w:numFmt w:val="decimalEnclosedCircle"/>
      <w:lvlText w:val="%1"/>
      <w:lvlJc w:val="left"/>
      <w:pPr>
        <w:ind w:left="798" w:hanging="360"/>
      </w:pPr>
      <w:rPr>
        <w:rFonts w:hint="default" w:ascii="仿宋_GB2312" w:hAnsi="仿宋" w:eastAsia="仿宋_GB2312"/>
        <w:sz w:val="28"/>
      </w:rPr>
    </w:lvl>
    <w:lvl w:ilvl="1" w:tentative="0">
      <w:start w:val="1"/>
      <w:numFmt w:val="lowerLetter"/>
      <w:lvlText w:val="%2)"/>
      <w:lvlJc w:val="left"/>
      <w:pPr>
        <w:ind w:left="1278" w:hanging="420"/>
      </w:pPr>
    </w:lvl>
    <w:lvl w:ilvl="2" w:tentative="0">
      <w:start w:val="1"/>
      <w:numFmt w:val="lowerRoman"/>
      <w:lvlText w:val="%3."/>
      <w:lvlJc w:val="right"/>
      <w:pPr>
        <w:ind w:left="1698" w:hanging="420"/>
      </w:pPr>
    </w:lvl>
    <w:lvl w:ilvl="3" w:tentative="0">
      <w:start w:val="1"/>
      <w:numFmt w:val="decimal"/>
      <w:lvlText w:val="%4."/>
      <w:lvlJc w:val="left"/>
      <w:pPr>
        <w:ind w:left="2118" w:hanging="420"/>
      </w:pPr>
    </w:lvl>
    <w:lvl w:ilvl="4" w:tentative="0">
      <w:start w:val="1"/>
      <w:numFmt w:val="lowerLetter"/>
      <w:lvlText w:val="%5)"/>
      <w:lvlJc w:val="left"/>
      <w:pPr>
        <w:ind w:left="2538" w:hanging="420"/>
      </w:pPr>
    </w:lvl>
    <w:lvl w:ilvl="5" w:tentative="0">
      <w:start w:val="1"/>
      <w:numFmt w:val="lowerRoman"/>
      <w:lvlText w:val="%6."/>
      <w:lvlJc w:val="right"/>
      <w:pPr>
        <w:ind w:left="2958" w:hanging="420"/>
      </w:pPr>
    </w:lvl>
    <w:lvl w:ilvl="6" w:tentative="0">
      <w:start w:val="1"/>
      <w:numFmt w:val="decimal"/>
      <w:lvlText w:val="%7."/>
      <w:lvlJc w:val="left"/>
      <w:pPr>
        <w:ind w:left="3378" w:hanging="420"/>
      </w:pPr>
    </w:lvl>
    <w:lvl w:ilvl="7" w:tentative="0">
      <w:start w:val="1"/>
      <w:numFmt w:val="lowerLetter"/>
      <w:lvlText w:val="%8)"/>
      <w:lvlJc w:val="left"/>
      <w:pPr>
        <w:ind w:left="3798" w:hanging="420"/>
      </w:pPr>
    </w:lvl>
    <w:lvl w:ilvl="8" w:tentative="0">
      <w:start w:val="1"/>
      <w:numFmt w:val="lowerRoman"/>
      <w:lvlText w:val="%9."/>
      <w:lvlJc w:val="right"/>
      <w:pPr>
        <w:ind w:left="4218" w:hanging="420"/>
      </w:pPr>
    </w:lvl>
  </w:abstractNum>
  <w:abstractNum w:abstractNumId="2">
    <w:nsid w:val="5F59B795"/>
    <w:multiLevelType w:val="singleLevel"/>
    <w:tmpl w:val="5F59B795"/>
    <w:lvl w:ilvl="0" w:tentative="0">
      <w:start w:val="1"/>
      <w:numFmt w:val="decimal"/>
      <w:suff w:val="nothing"/>
      <w:lvlText w:val="%1、"/>
      <w:lvlJc w:val="left"/>
    </w:lvl>
  </w:abstractNum>
  <w:abstractNum w:abstractNumId="3">
    <w:nsid w:val="5F59F40E"/>
    <w:multiLevelType w:val="singleLevel"/>
    <w:tmpl w:val="5F59F40E"/>
    <w:lvl w:ilvl="0" w:tentative="0">
      <w:start w:val="5"/>
      <w:numFmt w:val="chineseCounting"/>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0414BE"/>
    <w:rsid w:val="02C92C30"/>
    <w:rsid w:val="03C35F26"/>
    <w:rsid w:val="04EE6649"/>
    <w:rsid w:val="05762342"/>
    <w:rsid w:val="0789253A"/>
    <w:rsid w:val="0BCC33E4"/>
    <w:rsid w:val="12CF34AD"/>
    <w:rsid w:val="13F2315A"/>
    <w:rsid w:val="171131E3"/>
    <w:rsid w:val="17590340"/>
    <w:rsid w:val="1A201AD5"/>
    <w:rsid w:val="1E79662F"/>
    <w:rsid w:val="1FED7031"/>
    <w:rsid w:val="22D30716"/>
    <w:rsid w:val="22D71F5A"/>
    <w:rsid w:val="23227DFC"/>
    <w:rsid w:val="27934E71"/>
    <w:rsid w:val="2A612E35"/>
    <w:rsid w:val="2BF06320"/>
    <w:rsid w:val="2D4019D0"/>
    <w:rsid w:val="2DF46595"/>
    <w:rsid w:val="2E731283"/>
    <w:rsid w:val="33890C79"/>
    <w:rsid w:val="36743FD8"/>
    <w:rsid w:val="387F04E3"/>
    <w:rsid w:val="39B0778F"/>
    <w:rsid w:val="40835B2A"/>
    <w:rsid w:val="410414BE"/>
    <w:rsid w:val="425C0945"/>
    <w:rsid w:val="45BF4586"/>
    <w:rsid w:val="47300E78"/>
    <w:rsid w:val="4A587DFA"/>
    <w:rsid w:val="4DC45536"/>
    <w:rsid w:val="4F3D23CD"/>
    <w:rsid w:val="55E84181"/>
    <w:rsid w:val="5A9048B5"/>
    <w:rsid w:val="5BDC528B"/>
    <w:rsid w:val="5C680FC5"/>
    <w:rsid w:val="650B11DB"/>
    <w:rsid w:val="65B90D79"/>
    <w:rsid w:val="6B9124FB"/>
    <w:rsid w:val="6C7F2634"/>
    <w:rsid w:val="6F5B127D"/>
    <w:rsid w:val="724C7E1F"/>
    <w:rsid w:val="745773B8"/>
    <w:rsid w:val="773C140C"/>
    <w:rsid w:val="77B05B50"/>
    <w:rsid w:val="77EB1E89"/>
    <w:rsid w:val="7A50234A"/>
    <w:rsid w:val="7B4D55FA"/>
    <w:rsid w:val="7B4F69FA"/>
    <w:rsid w:val="7C9B4077"/>
    <w:rsid w:val="7D1B79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Lines="0" w:afterLines="0"/>
      <w:jc w:val="both"/>
    </w:pPr>
    <w:rPr>
      <w:rFonts w:hint="default" w:ascii="Times New Roman" w:hAnsi="Times New Roman" w:eastAsia="宋体" w:cstheme="minorBidi"/>
      <w:kern w:val="2"/>
      <w:sz w:val="21"/>
      <w:szCs w:val="2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93" w:beforeLines="30" w:afterLines="0"/>
      <w:jc w:val="left"/>
    </w:pPr>
    <w:rPr>
      <w:rFonts w:hint="default" w:ascii="仿宋_GB2312" w:hAnsi="宋体" w:eastAsia="仿宋_GB2312"/>
      <w:kern w:val="0"/>
      <w:sz w:val="30"/>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6.xml"/><Relationship Id="rId8" Type="http://schemas.openxmlformats.org/officeDocument/2006/relationships/chart" Target="charts/chart5.xml"/><Relationship Id="rId7" Type="http://schemas.openxmlformats.org/officeDocument/2006/relationships/chart" Target="charts/chart4.xml"/><Relationship Id="rId6" Type="http://schemas.openxmlformats.org/officeDocument/2006/relationships/chart" Target="charts/chart3.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在职人员</c:v>
                </c:pt>
              </c:strCache>
            </c:strRef>
          </c:tx>
          <c:spPr>
            <a:solidFill>
              <a:schemeClr val="accent1"/>
            </a:solidFill>
            <a:ln>
              <a:noFill/>
            </a:ln>
            <a:effectLst/>
          </c:spPr>
          <c:invertIfNegative val="0"/>
          <c:dPt>
            <c:idx val="0"/>
            <c:invertIfNegative val="0"/>
            <c:bubble3D val="0"/>
            <c:spPr>
              <a:solidFill>
                <a:schemeClr val="accent1"/>
              </a:solidFill>
              <a:ln>
                <a:noFill/>
              </a:ln>
              <a:effectLst/>
            </c:spPr>
          </c:dPt>
          <c:dPt>
            <c:idx val="1"/>
            <c:invertIfNegative val="0"/>
            <c:bubble3D val="0"/>
            <c:spPr>
              <a:solidFill>
                <a:schemeClr val="accent1"/>
              </a:solidFill>
              <a:ln>
                <a:noFill/>
              </a:ln>
              <a:effectLst/>
            </c:spPr>
          </c:dPt>
          <c:dPt>
            <c:idx val="2"/>
            <c:invertIfNegative val="0"/>
            <c:bubble3D val="0"/>
            <c:spPr>
              <a:solidFill>
                <a:schemeClr val="accent1"/>
              </a:solidFill>
              <a:ln>
                <a:noFill/>
              </a:ln>
              <a:effectLst/>
            </c:spPr>
          </c:dPt>
          <c:dPt>
            <c:idx val="3"/>
            <c:invertIfNegative val="0"/>
            <c:bubble3D val="0"/>
            <c:spPr>
              <a:solidFill>
                <a:schemeClr val="accent1"/>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在职人员</c:v>
                </c:pt>
                <c:pt idx="1">
                  <c:v>退休人员</c:v>
                </c:pt>
              </c:strCache>
            </c:strRef>
          </c:cat>
          <c:val>
            <c:numRef>
              <c:f>Sheet1!$B$2:$B$5</c:f>
              <c:numCache>
                <c:formatCode>General</c:formatCode>
                <c:ptCount val="4"/>
                <c:pt idx="0">
                  <c:v>42</c:v>
                </c:pt>
              </c:numCache>
            </c:numRef>
          </c:val>
        </c:ser>
        <c:ser>
          <c:idx val="1"/>
          <c:order val="1"/>
          <c:tx>
            <c:strRef>
              <c:f>Sheet1!$C$1</c:f>
              <c:strCache>
                <c:ptCount val="1"/>
                <c:pt idx="0">
                  <c:v>退休人员</c:v>
                </c:pt>
              </c:strCache>
            </c:strRef>
          </c:tx>
          <c:spPr>
            <a:solidFill>
              <a:schemeClr val="accent2"/>
            </a:solidFill>
            <a:ln>
              <a:noFill/>
            </a:ln>
            <a:effectLst/>
          </c:spPr>
          <c:invertIfNegative val="0"/>
          <c:dPt>
            <c:idx val="0"/>
            <c:invertIfNegative val="0"/>
            <c:bubble3D val="0"/>
            <c:spPr>
              <a:solidFill>
                <a:schemeClr val="accent2"/>
              </a:solidFill>
              <a:ln>
                <a:noFill/>
              </a:ln>
              <a:effectLst/>
            </c:spPr>
          </c:dPt>
          <c:dPt>
            <c:idx val="1"/>
            <c:invertIfNegative val="0"/>
            <c:bubble3D val="0"/>
            <c:spPr>
              <a:solidFill>
                <a:schemeClr val="accent2"/>
              </a:solidFill>
              <a:ln>
                <a:noFill/>
              </a:ln>
              <a:effectLst/>
            </c:spPr>
          </c:dPt>
          <c:dPt>
            <c:idx val="2"/>
            <c:invertIfNegative val="0"/>
            <c:bubble3D val="0"/>
            <c:spPr>
              <a:solidFill>
                <a:schemeClr val="accent2"/>
              </a:solidFill>
              <a:ln>
                <a:noFill/>
              </a:ln>
              <a:effectLst/>
            </c:spPr>
          </c:dPt>
          <c:dPt>
            <c:idx val="3"/>
            <c:invertIfNegative val="0"/>
            <c:bubble3D val="0"/>
            <c:spPr>
              <a:solidFill>
                <a:schemeClr val="accent2"/>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在职人员</c:v>
                </c:pt>
                <c:pt idx="1">
                  <c:v>退休人员</c:v>
                </c:pt>
              </c:strCache>
            </c:strRef>
          </c:cat>
          <c:val>
            <c:numRef>
              <c:f>Sheet1!$C$2:$C$5</c:f>
              <c:numCache>
                <c:formatCode>General</c:formatCode>
                <c:ptCount val="4"/>
                <c:pt idx="1">
                  <c:v>19</c:v>
                </c:pt>
              </c:numCache>
            </c:numRef>
          </c:val>
        </c:ser>
        <c:ser>
          <c:idx val="2"/>
          <c:order val="2"/>
          <c:tx>
            <c:strRef>
              <c:f>Sheet1!$D$1</c:f>
              <c:strCache>
                <c:ptCount val="1"/>
                <c:pt idx="0">
                  <c:v/>
                </c:pt>
              </c:strCache>
            </c:strRef>
          </c:tx>
          <c:spPr>
            <a:solidFill>
              <a:schemeClr val="accent3"/>
            </a:solidFill>
            <a:ln>
              <a:noFill/>
            </a:ln>
            <a:effectLst/>
          </c:spPr>
          <c:invertIfNegative val="0"/>
          <c:dPt>
            <c:idx val="0"/>
            <c:invertIfNegative val="0"/>
            <c:bubble3D val="0"/>
            <c:spPr>
              <a:solidFill>
                <a:schemeClr val="accent3"/>
              </a:solidFill>
              <a:ln>
                <a:noFill/>
              </a:ln>
              <a:effectLst/>
            </c:spPr>
          </c:dPt>
          <c:dPt>
            <c:idx val="1"/>
            <c:invertIfNegative val="0"/>
            <c:bubble3D val="0"/>
            <c:spPr>
              <a:solidFill>
                <a:schemeClr val="accent3"/>
              </a:solidFill>
              <a:ln>
                <a:noFill/>
              </a:ln>
              <a:effectLst/>
            </c:spPr>
          </c:dPt>
          <c:dPt>
            <c:idx val="2"/>
            <c:invertIfNegative val="0"/>
            <c:bubble3D val="0"/>
            <c:spPr>
              <a:solidFill>
                <a:schemeClr val="accent3"/>
              </a:solidFill>
              <a:ln>
                <a:noFill/>
              </a:ln>
              <a:effectLst/>
            </c:spPr>
          </c:dPt>
          <c:dPt>
            <c:idx val="3"/>
            <c:invertIfNegative val="0"/>
            <c:bubble3D val="0"/>
            <c:spPr>
              <a:solidFill>
                <a:schemeClr val="accent3"/>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在职人员</c:v>
                </c:pt>
                <c:pt idx="1">
                  <c:v>退休人员</c:v>
                </c:pt>
              </c:strCache>
            </c:strRef>
          </c:cat>
          <c:val>
            <c:numRef>
              <c:f>Sheet1!$D$2:$D$5</c:f>
              <c:numCache>
                <c:formatCode>General</c:formatCode>
                <c:ptCount val="4"/>
              </c:numCache>
            </c:numRef>
          </c:val>
        </c:ser>
        <c:dLbls>
          <c:showLegendKey val="0"/>
          <c:showVal val="1"/>
          <c:showCatName val="0"/>
          <c:showSerName val="0"/>
          <c:showPercent val="0"/>
          <c:showBubbleSize val="0"/>
        </c:dLbls>
        <c:gapWidth val="75"/>
        <c:overlap val="100"/>
        <c:axId val="981668686"/>
        <c:axId val="833948736"/>
      </c:barChart>
      <c:catAx>
        <c:axId val="981668686"/>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33948736"/>
        <c:crosses val="autoZero"/>
        <c:auto val="1"/>
        <c:lblAlgn val="ctr"/>
        <c:lblOffset val="100"/>
        <c:noMultiLvlLbl val="0"/>
      </c:catAx>
      <c:valAx>
        <c:axId val="8339487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8166868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2019年收入各项占比</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财政拨款收入</c:v>
                </c:pt>
                <c:pt idx="1">
                  <c:v>其他收入</c:v>
                </c:pt>
              </c:strCache>
            </c:strRef>
          </c:cat>
          <c:val>
            <c:numRef>
              <c:f>Sheet1!$B$2:$B$5</c:f>
              <c:numCache>
                <c:formatCode>General</c:formatCode>
                <c:ptCount val="4"/>
                <c:pt idx="0">
                  <c:v>89.54</c:v>
                </c:pt>
                <c:pt idx="1">
                  <c:v>10.46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4"/>
    </mc:Choice>
    <mc:Fallback>
      <c:style val="4"/>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2019年各项支出占比</c:v>
                </c:pt>
              </c:strCache>
            </c:strRef>
          </c:tx>
          <c:spPr/>
          <c:explosion val="0"/>
          <c:dPt>
            <c:idx val="0"/>
            <c:bubble3D val="0"/>
            <c:spPr>
              <a:solidFill>
                <a:schemeClr val="accent2">
                  <a:shade val="58000"/>
                </a:schemeClr>
              </a:solidFill>
              <a:ln w="19050">
                <a:solidFill>
                  <a:schemeClr val="lt1"/>
                </a:solidFill>
              </a:ln>
              <a:effectLst/>
            </c:spPr>
          </c:dPt>
          <c:dPt>
            <c:idx val="1"/>
            <c:bubble3D val="0"/>
            <c:spPr>
              <a:solidFill>
                <a:schemeClr val="accent2">
                  <a:shade val="86000"/>
                </a:schemeClr>
              </a:solidFill>
              <a:ln w="19050">
                <a:solidFill>
                  <a:schemeClr val="lt1"/>
                </a:solidFill>
              </a:ln>
              <a:effectLst/>
            </c:spPr>
          </c:dPt>
          <c:dPt>
            <c:idx val="2"/>
            <c:bubble3D val="0"/>
            <c:spPr>
              <a:solidFill>
                <a:schemeClr val="accent2">
                  <a:tint val="86000"/>
                </a:schemeClr>
              </a:solidFill>
              <a:ln w="19050">
                <a:solidFill>
                  <a:schemeClr val="lt1"/>
                </a:solidFill>
              </a:ln>
              <a:effectLst/>
            </c:spPr>
          </c:dPt>
          <c:dPt>
            <c:idx val="3"/>
            <c:bubble3D val="0"/>
            <c:spPr>
              <a:solidFill>
                <a:schemeClr val="accent2">
                  <a:tint val="58000"/>
                </a:schemeClr>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基本支出</c:v>
                </c:pt>
                <c:pt idx="1">
                  <c:v>项目支出</c:v>
                </c:pt>
              </c:strCache>
            </c:strRef>
          </c:cat>
          <c:val>
            <c:numRef>
              <c:f>Sheet1!$B$2:$B$5</c:f>
              <c:numCache>
                <c:formatCode>General</c:formatCode>
                <c:ptCount val="4"/>
                <c:pt idx="0">
                  <c:v>89.4</c:v>
                </c:pt>
                <c:pt idx="1">
                  <c:v>10.6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2019年各项基本支出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基本工资、津贴</c:v>
                </c:pt>
                <c:pt idx="1">
                  <c:v>养老保险</c:v>
                </c:pt>
                <c:pt idx="2">
                  <c:v>住房公积金</c:v>
                </c:pt>
                <c:pt idx="3">
                  <c:v>公用经费支出</c:v>
                </c:pt>
              </c:strCache>
            </c:strRef>
          </c:cat>
          <c:val>
            <c:numRef>
              <c:f>Sheet1!$B$2:$B$5</c:f>
              <c:numCache>
                <c:formatCode>General</c:formatCode>
                <c:ptCount val="4"/>
                <c:pt idx="0">
                  <c:v>508.9</c:v>
                </c:pt>
                <c:pt idx="1">
                  <c:v>58.54</c:v>
                </c:pt>
                <c:pt idx="2">
                  <c:v>37.47</c:v>
                </c:pt>
                <c:pt idx="3">
                  <c:v>23.86</c:v>
                </c:pt>
              </c:numCache>
            </c:numRef>
          </c:val>
        </c:ser>
        <c:dLbls>
          <c:showLegendKey val="0"/>
          <c:showVal val="1"/>
          <c:showCatName val="0"/>
          <c:showSerName val="0"/>
          <c:showPercent val="0"/>
          <c:showBubbleSize val="0"/>
          <c:showLeaderLines val="1"/>
        </c:dLbls>
        <c:firstSliceAng val="0"/>
        <c:extLst>
          <c:ext xmlns:c15="http://schemas.microsoft.com/office/drawing/2012/chart" uri="{02D57815-91ED-43cb-92C2-25804820EDAC}">
            <c15:filteredPieSeries>
              <c15:ser>
                <c:idx val="1"/>
                <c:order val="1"/>
                <c:tx>
                  <c:strRef>
                    <c:extLst>
                      <c:ext uri="{02D57815-91ED-43cb-92C2-25804820EDAC}">
                        <c15:formulaRef>
                          <c15:sqref>Sheet1!$C$1</c15:sqref>
                        </c15:formulaRef>
                      </c:ext>
                    </c:extLst>
                    <c:strCache>
                      <c:ptCount val="1"/>
                      <c:pt idx="0">
                        <c:v>占基本支出各项比</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
                        </c15:fullRef>
                        <c15:formulaRef>
                          <c15:sqref>Sheet1!$A$2:$A$5</c15:sqref>
                        </c15:formulaRef>
                      </c:ext>
                    </c:extLst>
                    <c:strCache>
                      <c:ptCount val="4"/>
                      <c:pt idx="0">
                        <c:v>基本工资、津贴</c:v>
                      </c:pt>
                      <c:pt idx="1">
                        <c:v>养老保险</c:v>
                      </c:pt>
                      <c:pt idx="2">
                        <c:v>住房公积金</c:v>
                      </c:pt>
                      <c:pt idx="3">
                        <c:v>公用经费支出</c:v>
                      </c:pt>
                    </c:strCache>
                  </c:strRef>
                </c:cat>
                <c:val>
                  <c:numRef>
                    <c:extLst>
                      <c:ext uri="{02D57815-91ED-43cb-92C2-25804820EDAC}">
                        <c15:formulaRef>
                          <c15:sqref>Sheet1!$C$2:$C$5</c15:sqref>
                        </c15:formulaRef>
                      </c:ext>
                    </c:extLst>
                    <c:numCache>
                      <c:formatCode>General</c:formatCode>
                      <c:ptCount val="4"/>
                      <c:pt idx="0">
                        <c:v>80.93</c:v>
                      </c:pt>
                      <c:pt idx="1">
                        <c:v>9.3</c:v>
                      </c:pt>
                      <c:pt idx="2">
                        <c:v>5.96</c:v>
                      </c:pt>
                      <c:pt idx="3">
                        <c:v>3.79</c:v>
                      </c:pt>
                    </c:numCache>
                  </c:numRef>
                </c:val>
              </c15:ser>
            </c15:filteredPieSeries>
          </c:ext>
        </c:extLst>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0"/>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项目支出情况</c:v>
                </c:pt>
              </c:strCache>
            </c:strRef>
          </c:tx>
          <c:spPr/>
          <c:explosion val="0"/>
          <c:dPt>
            <c:idx val="0"/>
            <c:bubble3D val="0"/>
            <c:spPr>
              <a:solidFill>
                <a:schemeClr val="accent1"/>
              </a:solidFill>
              <a:ln>
                <a:noFill/>
              </a:ln>
              <a:effectLst/>
            </c:spPr>
          </c:dPt>
          <c:dPt>
            <c:idx val="1"/>
            <c:bubble3D val="0"/>
            <c:spPr>
              <a:solidFill>
                <a:schemeClr val="accent2"/>
              </a:solidFill>
              <a:ln>
                <a:noFill/>
              </a:ln>
              <a:effectLst/>
            </c:spPr>
          </c:dPt>
          <c:dPt>
            <c:idx val="2"/>
            <c:bubble3D val="0"/>
            <c:spPr>
              <a:solidFill>
                <a:schemeClr val="accent3"/>
              </a:solidFill>
              <a:ln>
                <a:noFill/>
              </a:ln>
              <a:effectLst/>
            </c:spPr>
          </c:dPt>
          <c:dPt>
            <c:idx val="3"/>
            <c:bubble3D val="0"/>
            <c:spPr>
              <a:solidFill>
                <a:schemeClr val="accent4"/>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其他基础研究</c:v>
                </c:pt>
                <c:pt idx="1">
                  <c:v>其他科学技术</c:v>
                </c:pt>
                <c:pt idx="2">
                  <c:v>社会公益研究</c:v>
                </c:pt>
                <c:pt idx="3">
                  <c:v>科技转化与推广服务</c:v>
                </c:pt>
              </c:strCache>
            </c:strRef>
          </c:cat>
          <c:val>
            <c:numRef>
              <c:f>Sheet1!$B$2:$B$5</c:f>
              <c:numCache>
                <c:formatCode>General</c:formatCode>
                <c:ptCount val="4"/>
                <c:pt idx="0">
                  <c:v>19.58</c:v>
                </c:pt>
                <c:pt idx="1">
                  <c:v>1.58</c:v>
                </c:pt>
                <c:pt idx="2">
                  <c:v>43.41</c:v>
                </c:pt>
                <c:pt idx="3">
                  <c:v>10</c:v>
                </c:pt>
              </c:numCache>
            </c:numRef>
          </c:val>
        </c:ser>
        <c:ser>
          <c:idx val="1"/>
          <c:order val="1"/>
          <c:tx>
            <c:strRef>
              <c:f>Sheet1!$C$1</c:f>
              <c:strCache>
                <c:ptCount val="1"/>
                <c:pt idx="0">
                  <c:v/>
                </c:pt>
              </c:strCache>
            </c:strRef>
          </c:tx>
          <c:spPr/>
          <c:explosion val="0"/>
          <c:dPt>
            <c:idx val="0"/>
            <c:bubble3D val="0"/>
            <c:spPr>
              <a:solidFill>
                <a:schemeClr val="accent1"/>
              </a:solidFill>
              <a:ln>
                <a:noFill/>
              </a:ln>
              <a:effectLst/>
            </c:spPr>
          </c:dPt>
          <c:dPt>
            <c:idx val="1"/>
            <c:bubble3D val="0"/>
            <c:spPr>
              <a:solidFill>
                <a:schemeClr val="accent2"/>
              </a:solidFill>
              <a:ln>
                <a:noFill/>
              </a:ln>
              <a:effectLst/>
            </c:spPr>
          </c:dPt>
          <c:dPt>
            <c:idx val="2"/>
            <c:bubble3D val="0"/>
            <c:spPr>
              <a:solidFill>
                <a:schemeClr val="accent3"/>
              </a:solidFill>
              <a:ln>
                <a:noFill/>
              </a:ln>
              <a:effectLst/>
            </c:spPr>
          </c:dPt>
          <c:dPt>
            <c:idx val="3"/>
            <c:bubble3D val="0"/>
            <c:spPr>
              <a:solidFill>
                <a:schemeClr val="accent4"/>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其他基础研究</c:v>
                </c:pt>
                <c:pt idx="1">
                  <c:v>其他科学技术</c:v>
                </c:pt>
                <c:pt idx="2">
                  <c:v>社会公益研究</c:v>
                </c:pt>
                <c:pt idx="3">
                  <c:v>科技转化与推广服务</c:v>
                </c:pt>
              </c:strCache>
            </c:strRef>
          </c:cat>
          <c:val>
            <c:numRef>
              <c:f>Sheet1!$C$2:$C$5</c:f>
              <c:numCache>
                <c:formatCode>General</c:formatCode>
                <c:ptCount val="4"/>
              </c:numCache>
            </c:numRef>
          </c:val>
        </c:ser>
        <c:ser>
          <c:idx val="2"/>
          <c:order val="2"/>
          <c:tx>
            <c:strRef>
              <c:f>Sheet1!$D$1</c:f>
              <c:strCache>
                <c:ptCount val="1"/>
                <c:pt idx="0">
                  <c:v/>
                </c:pt>
              </c:strCache>
            </c:strRef>
          </c:tx>
          <c:spPr/>
          <c:explosion val="0"/>
          <c:dPt>
            <c:idx val="0"/>
            <c:bubble3D val="0"/>
            <c:spPr>
              <a:solidFill>
                <a:schemeClr val="accent1"/>
              </a:solidFill>
              <a:ln>
                <a:noFill/>
              </a:ln>
              <a:effectLst/>
            </c:spPr>
          </c:dPt>
          <c:dPt>
            <c:idx val="1"/>
            <c:bubble3D val="0"/>
            <c:spPr>
              <a:solidFill>
                <a:schemeClr val="accent2"/>
              </a:solidFill>
              <a:ln>
                <a:noFill/>
              </a:ln>
              <a:effectLst/>
            </c:spPr>
          </c:dPt>
          <c:dPt>
            <c:idx val="2"/>
            <c:bubble3D val="0"/>
            <c:spPr>
              <a:solidFill>
                <a:schemeClr val="accent3"/>
              </a:solidFill>
              <a:ln>
                <a:noFill/>
              </a:ln>
              <a:effectLst/>
            </c:spPr>
          </c:dPt>
          <c:dPt>
            <c:idx val="3"/>
            <c:bubble3D val="0"/>
            <c:spPr>
              <a:solidFill>
                <a:schemeClr val="accent4"/>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其他基础研究</c:v>
                </c:pt>
                <c:pt idx="1">
                  <c:v>其他科学技术</c:v>
                </c:pt>
                <c:pt idx="2">
                  <c:v>社会公益研究</c:v>
                </c:pt>
                <c:pt idx="3">
                  <c:v>科技转化与推广服务</c:v>
                </c:pt>
              </c:strCache>
            </c:strRef>
          </c:cat>
          <c:val>
            <c:numRef>
              <c:f>Sheet1!$D$2:$D$5</c:f>
              <c:numCache>
                <c:formatCode>General</c:formatCode>
                <c:ptCount val="4"/>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7787903893952"/>
          <c:y val="0.4267531819316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一般公共预算财政拨款支出占比</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科学技术</c:v>
                </c:pt>
                <c:pt idx="1">
                  <c:v>社会保障和就业</c:v>
                </c:pt>
                <c:pt idx="2">
                  <c:v>农林水</c:v>
                </c:pt>
                <c:pt idx="3">
                  <c:v>住房保障</c:v>
                </c:pt>
              </c:strCache>
            </c:strRef>
          </c:cat>
          <c:val>
            <c:numRef>
              <c:f>Sheet1!$B$2:$B$5</c:f>
              <c:numCache>
                <c:formatCode>General</c:formatCode>
                <c:ptCount val="4"/>
                <c:pt idx="0">
                  <c:v>83.25</c:v>
                </c:pt>
                <c:pt idx="1">
                  <c:v>8.4</c:v>
                </c:pt>
                <c:pt idx="2">
                  <c:v>1.56</c:v>
                </c:pt>
                <c:pt idx="3">
                  <c:v>5.85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 id="15">
  <a:schemeClr val="accent2"/>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德宏州国家重点开发开放试验区</Company>
  <Pages>1</Pages>
  <Words>0</Words>
  <Characters>0</Characters>
  <Lines>0</Lines>
  <Paragraphs>0</Paragraphs>
  <TotalTime>2</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2020-09-09T02:11:00Z</dcterms:created>
  <dc:creator>Administrator</dc:creator>
  <cp:lastModifiedBy>NYJCWS</cp:lastModifiedBy>
  <dcterms:modified xsi:type="dcterms:W3CDTF">2020-09-11T08:45:11Z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