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方正小标宋简体" w:eastAsia="方正小标宋简体"/>
          <w:b/>
          <w:bCs/>
          <w:kern w:val="0"/>
          <w:sz w:val="36"/>
          <w:szCs w:val="36"/>
        </w:rPr>
      </w:pPr>
      <w:r>
        <w:rPr>
          <w:rFonts w:hint="eastAsia" w:ascii="宋体" w:hAnsi="宋体"/>
          <w:b/>
          <w:bCs/>
          <w:kern w:val="0"/>
          <w:sz w:val="36"/>
          <w:szCs w:val="36"/>
        </w:rPr>
        <w:t>德宏州植保植检站</w:t>
      </w: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  <w:t>20</w:t>
      </w: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  <w:lang w:val="en-US" w:eastAsia="zh-CN"/>
        </w:rPr>
        <w:t>20</w:t>
      </w:r>
      <w:r>
        <w:rPr>
          <w:rFonts w:hint="eastAsia" w:asciiTheme="majorEastAsia" w:hAnsiTheme="majorEastAsia" w:eastAsiaTheme="majorEastAsia"/>
          <w:b/>
          <w:bCs/>
          <w:kern w:val="0"/>
          <w:sz w:val="36"/>
          <w:szCs w:val="36"/>
        </w:rPr>
        <w:t>年部门预算编制说明</w:t>
      </w:r>
    </w:p>
    <w:p>
      <w:pPr>
        <w:widowControl/>
        <w:jc w:val="left"/>
        <w:rPr>
          <w:rFonts w:ascii="黑体" w:hAnsi="黑体" w:eastAsia="黑体"/>
          <w:kern w:val="0"/>
          <w:sz w:val="30"/>
          <w:szCs w:val="30"/>
        </w:rPr>
      </w:pPr>
    </w:p>
    <w:p>
      <w:pPr>
        <w:widowControl/>
        <w:ind w:firstLine="450" w:firstLineChars="15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一、基本职能及主要工作</w:t>
      </w:r>
    </w:p>
    <w:p>
      <w:pPr>
        <w:widowControl/>
        <w:ind w:firstLine="300" w:firstLineChars="100"/>
        <w:jc w:val="left"/>
        <w:rPr>
          <w:rFonts w:ascii="楷体_GB2312" w:eastAsia="楷体_GB2312"/>
          <w:b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（一）部门主要职责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为控制农业植物病虫害提供检测防治保障，农业植物病虫监测；农业植物重大病虫害监测，病虫抗药性监测、测报技术开发，农业植物检疫。农业植物病虫害防治；农业植物病虫害灾情分析、治理、综合防治技术开发，防治新技术试验示范，项目实施，农用药械管理；农用药械登记管理，广告审查，质量检测，安全使用指导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（二）机构设置情况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德宏州植保植检站内设5个办公室，分别是：办公室、预警控制室、植物检疫室、药械推广室、农药管理室。</w:t>
      </w:r>
    </w:p>
    <w:p>
      <w:pPr>
        <w:widowControl/>
        <w:ind w:firstLine="300" w:firstLineChars="1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</w:t>
      </w:r>
      <w:r>
        <w:rPr>
          <w:rFonts w:hint="eastAsia" w:ascii="楷体_GB2312" w:eastAsia="楷体_GB2312"/>
          <w:kern w:val="0"/>
          <w:sz w:val="30"/>
          <w:szCs w:val="30"/>
        </w:rPr>
        <w:t>三</w:t>
      </w:r>
      <w:r>
        <w:rPr>
          <w:rFonts w:ascii="楷体_GB2312" w:eastAsia="楷体_GB2312"/>
          <w:kern w:val="0"/>
          <w:sz w:val="30"/>
          <w:szCs w:val="30"/>
        </w:rPr>
        <w:t>）重点工作概述</w:t>
      </w:r>
    </w:p>
    <w:p>
      <w:pPr>
        <w:widowControl/>
        <w:ind w:firstLine="450" w:firstLineChars="1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为控制农业植物病虫害提供检测防治保障，农业植物病虫监测；农业植物重大病虫害监测，病虫抗药性监测、测报技术开发，农业植物检疫。农业植物病虫害防治；农业植物病虫害灾情分析、治理、综合防治技术开发，防治新技术试验示范，项目实施，农用药械管理；农用药械登记管理，广告审查，质量检测，安全使用指导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二、预算单位基本情况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我部门编制</w:t>
      </w: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年部门预算单位共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个。其中：财政全供给单位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个；部分供给单位/个；特殊供给单位/个；自收自支单位/个。财政全供给单位中行政单位/个；参公管理事业单位/个；非参公管理事业单位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eastAsia="仿宋_GB2312"/>
          <w:kern w:val="0"/>
          <w:sz w:val="30"/>
          <w:szCs w:val="30"/>
        </w:rPr>
        <w:t>个。截止201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</w:t>
      </w:r>
      <w:r>
        <w:rPr>
          <w:rFonts w:eastAsia="仿宋_GB2312"/>
          <w:kern w:val="0"/>
          <w:sz w:val="30"/>
          <w:szCs w:val="30"/>
        </w:rPr>
        <w:t>年11月统计，部门基本情况如下：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在职人员编制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人</w:t>
      </w:r>
      <w:r>
        <w:rPr>
          <w:rFonts w:hint="eastAsia" w:eastAsia="仿宋_GB2312"/>
          <w:kern w:val="0"/>
          <w:sz w:val="30"/>
          <w:szCs w:val="30"/>
          <w:lang w:eastAsia="zh-CN"/>
        </w:rPr>
        <w:t>（编制人员数中未包括离岗创业人员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2人</w:t>
      </w:r>
      <w:r>
        <w:rPr>
          <w:rFonts w:hint="eastAsia" w:eastAsia="仿宋_GB2312"/>
          <w:kern w:val="0"/>
          <w:sz w:val="30"/>
          <w:szCs w:val="30"/>
          <w:lang w:eastAsia="zh-CN"/>
        </w:rPr>
        <w:t>）</w:t>
      </w:r>
      <w:r>
        <w:rPr>
          <w:rFonts w:eastAsia="仿宋_GB2312"/>
          <w:kern w:val="0"/>
          <w:sz w:val="30"/>
          <w:szCs w:val="30"/>
        </w:rPr>
        <w:t>，其中：行政编制 /人，事业编制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人。在职实有</w:t>
      </w:r>
      <w:r>
        <w:rPr>
          <w:rFonts w:hint="eastAsia" w:eastAsia="仿宋_GB2312"/>
          <w:kern w:val="0"/>
          <w:sz w:val="30"/>
          <w:szCs w:val="30"/>
        </w:rPr>
        <w:t>人数1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 xml:space="preserve">人，其中： 财政全供养 </w:t>
      </w:r>
      <w:r>
        <w:rPr>
          <w:rFonts w:hint="eastAsia" w:eastAsia="仿宋_GB2312"/>
          <w:kern w:val="0"/>
          <w:sz w:val="30"/>
          <w:szCs w:val="30"/>
        </w:rPr>
        <w:t>1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4</w:t>
      </w:r>
      <w:r>
        <w:rPr>
          <w:rFonts w:eastAsia="仿宋_GB2312"/>
          <w:kern w:val="0"/>
          <w:sz w:val="30"/>
          <w:szCs w:val="30"/>
        </w:rPr>
        <w:t>人，财政部分供养/人，非财政供养/人。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离退休人员</w:t>
      </w:r>
      <w:r>
        <w:rPr>
          <w:rFonts w:hint="eastAsia"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 xml:space="preserve">人，其中： 离休 /人，退休 </w:t>
      </w:r>
      <w:r>
        <w:rPr>
          <w:rFonts w:hint="eastAsia" w:eastAsia="仿宋_GB2312"/>
          <w:kern w:val="0"/>
          <w:sz w:val="30"/>
          <w:szCs w:val="30"/>
        </w:rPr>
        <w:t>5</w:t>
      </w:r>
      <w:r>
        <w:rPr>
          <w:rFonts w:eastAsia="仿宋_GB2312"/>
          <w:kern w:val="0"/>
          <w:sz w:val="30"/>
          <w:szCs w:val="30"/>
        </w:rPr>
        <w:t>人。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车辆编制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辆，实有车辆</w:t>
      </w:r>
      <w:r>
        <w:rPr>
          <w:rFonts w:hint="eastAsia" w:eastAsia="仿宋_GB2312"/>
          <w:kern w:val="0"/>
          <w:sz w:val="30"/>
          <w:szCs w:val="30"/>
        </w:rPr>
        <w:t>2</w:t>
      </w:r>
      <w:r>
        <w:rPr>
          <w:rFonts w:eastAsia="仿宋_GB2312"/>
          <w:kern w:val="0"/>
          <w:sz w:val="30"/>
          <w:szCs w:val="30"/>
        </w:rPr>
        <w:t>辆。</w:t>
      </w:r>
    </w:p>
    <w:p>
      <w:pPr>
        <w:widowControl/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三、预算单位收入情况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（一）部门财务收入情况</w:t>
      </w:r>
    </w:p>
    <w:p>
      <w:pPr>
        <w:widowControl/>
        <w:ind w:firstLine="750" w:firstLineChars="25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 xml:space="preserve">年部门财务总收入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万元，其中：一般公共预算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万元，政府性基金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/万元，国有资本经营</w:t>
      </w:r>
      <w:r>
        <w:rPr>
          <w:rFonts w:hint="eastAsia" w:eastAsia="仿宋_GB2312"/>
          <w:kern w:val="0"/>
          <w:sz w:val="30"/>
          <w:szCs w:val="30"/>
        </w:rPr>
        <w:t>预算财政拨款</w:t>
      </w:r>
      <w:r>
        <w:rPr>
          <w:rFonts w:eastAsia="仿宋_GB2312"/>
          <w:kern w:val="0"/>
          <w:sz w:val="30"/>
          <w:szCs w:val="30"/>
        </w:rPr>
        <w:t>/万元，事业收入/万元，事业单位经营收入/万元，其他收入/万元</w:t>
      </w:r>
      <w:r>
        <w:rPr>
          <w:rFonts w:hint="eastAsia" w:eastAsia="仿宋_GB2312"/>
          <w:kern w:val="0"/>
          <w:sz w:val="30"/>
          <w:szCs w:val="30"/>
        </w:rPr>
        <w:t>，上年结转</w:t>
      </w:r>
      <w:r>
        <w:rPr>
          <w:rFonts w:eastAsia="仿宋_GB2312"/>
          <w:kern w:val="0"/>
          <w:sz w:val="30"/>
          <w:szCs w:val="30"/>
        </w:rPr>
        <w:t>/</w:t>
      </w:r>
      <w:r>
        <w:rPr>
          <w:rFonts w:hint="eastAsia" w:eastAsia="仿宋_GB2312"/>
          <w:kern w:val="0"/>
          <w:sz w:val="30"/>
          <w:szCs w:val="30"/>
        </w:rPr>
        <w:t>万元</w:t>
      </w:r>
      <w:r>
        <w:rPr>
          <w:rFonts w:eastAsia="仿宋_GB2312"/>
          <w:kern w:val="0"/>
          <w:sz w:val="30"/>
          <w:szCs w:val="30"/>
        </w:rPr>
        <w:t>。</w:t>
      </w:r>
    </w:p>
    <w:p>
      <w:pPr>
        <w:widowControl/>
        <w:ind w:firstLine="750" w:firstLineChars="250"/>
        <w:jc w:val="left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与上年对比，部门预算总收入增加了19.77万元。主要原因分析是工资福利支出自然增长。</w:t>
      </w:r>
    </w:p>
    <w:p>
      <w:pPr>
        <w:widowControl/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（二）财政拨款收入情况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年部门财政拨款收入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万元，其中:本年收入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万元，上年结转/万元。本年收入中，一般公共预算财政拨款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万元（本级财力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万元，专项收入/万元，执法办案补助/万元，收费成本补偿/万元，财政专户管理的收入/万元，国有资源（资产）有偿使用</w:t>
      </w:r>
      <w:r>
        <w:rPr>
          <w:rFonts w:hint="eastAsia" w:eastAsia="仿宋_GB2312"/>
          <w:kern w:val="0"/>
          <w:sz w:val="30"/>
          <w:szCs w:val="30"/>
        </w:rPr>
        <w:t>成本补偿</w:t>
      </w:r>
      <w:r>
        <w:rPr>
          <w:rFonts w:eastAsia="仿宋_GB2312"/>
          <w:kern w:val="0"/>
          <w:sz w:val="30"/>
          <w:szCs w:val="30"/>
        </w:rPr>
        <w:t>/万元），政府性基金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财政拨款/万元，国有资本经营</w:t>
      </w:r>
      <w:r>
        <w:rPr>
          <w:rFonts w:hint="eastAsia" w:eastAsia="仿宋_GB2312"/>
          <w:kern w:val="0"/>
          <w:sz w:val="30"/>
          <w:szCs w:val="30"/>
        </w:rPr>
        <w:t>预算</w:t>
      </w:r>
      <w:r>
        <w:rPr>
          <w:rFonts w:eastAsia="仿宋_GB2312"/>
          <w:kern w:val="0"/>
          <w:sz w:val="30"/>
          <w:szCs w:val="30"/>
        </w:rPr>
        <w:t>财政拨款/万元。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与上年对比，财政拨款收入增加了19.77万元。主要原因分析是工资福利支出自然增长。</w:t>
      </w:r>
    </w:p>
    <w:p>
      <w:pPr>
        <w:widowControl/>
        <w:numPr>
          <w:ilvl w:val="0"/>
          <w:numId w:val="1"/>
        </w:numPr>
        <w:ind w:firstLine="600" w:firstLineChars="200"/>
        <w:jc w:val="left"/>
        <w:rPr>
          <w:rFonts w:ascii="黑体" w:hAnsi="黑体" w:eastAsia="黑体"/>
          <w:kern w:val="0"/>
          <w:sz w:val="30"/>
          <w:szCs w:val="30"/>
        </w:rPr>
      </w:pPr>
      <w:r>
        <w:rPr>
          <w:rFonts w:ascii="黑体" w:hAnsi="黑体" w:eastAsia="黑体"/>
          <w:kern w:val="0"/>
          <w:sz w:val="30"/>
          <w:szCs w:val="30"/>
        </w:rPr>
        <w:t>预算单位支出情况</w:t>
      </w:r>
    </w:p>
    <w:p>
      <w:pPr>
        <w:widowControl/>
        <w:numPr>
          <w:ilvl w:val="0"/>
          <w:numId w:val="0"/>
        </w:numPr>
        <w:ind w:left="600" w:leftChars="0"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</w:rPr>
        <w:t>20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20</w:t>
      </w:r>
      <w:r>
        <w:rPr>
          <w:rFonts w:eastAsia="仿宋_GB2312"/>
          <w:kern w:val="0"/>
          <w:sz w:val="30"/>
          <w:szCs w:val="30"/>
        </w:rPr>
        <w:t>年部门预算总支出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万元。</w:t>
      </w:r>
      <w:r>
        <w:rPr>
          <w:rFonts w:hint="eastAsia" w:eastAsia="仿宋_GB2312"/>
          <w:kern w:val="0"/>
          <w:sz w:val="30"/>
          <w:szCs w:val="30"/>
        </w:rPr>
        <w:t>财政拨款</w:t>
      </w:r>
      <w:r>
        <w:rPr>
          <w:rFonts w:eastAsia="仿宋_GB2312"/>
          <w:kern w:val="0"/>
          <w:sz w:val="30"/>
          <w:szCs w:val="30"/>
        </w:rPr>
        <w:t xml:space="preserve">安排支出 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万元，其中，基本支出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与上年对比，财政拨款安排支出增加了19.77万元。主要原因分析是工资福利支出自然增长。</w:t>
      </w:r>
      <w:r>
        <w:rPr>
          <w:rFonts w:eastAsia="仿宋_GB2312"/>
          <w:kern w:val="0"/>
          <w:sz w:val="30"/>
          <w:szCs w:val="30"/>
        </w:rPr>
        <w:t>项目支出/万元。</w:t>
      </w:r>
    </w:p>
    <w:p>
      <w:pPr>
        <w:widowControl/>
        <w:numPr>
          <w:ilvl w:val="0"/>
          <w:numId w:val="0"/>
        </w:numPr>
        <w:jc w:val="left"/>
        <w:rPr>
          <w:rFonts w:eastAsia="仿宋_GB2312"/>
          <w:kern w:val="0"/>
          <w:sz w:val="30"/>
          <w:szCs w:val="30"/>
        </w:rPr>
      </w:pPr>
      <w:r>
        <w:rPr>
          <w:rFonts w:ascii="楷体_GB2312" w:eastAsia="楷体_GB2312"/>
          <w:kern w:val="0"/>
          <w:sz w:val="30"/>
          <w:szCs w:val="30"/>
        </w:rPr>
        <w:t>（一）</w:t>
      </w: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支出按功能科目分类情况</w:t>
      </w:r>
    </w:p>
    <w:p>
      <w:pPr>
        <w:widowControl/>
        <w:numPr>
          <w:ilvl w:val="0"/>
          <w:numId w:val="0"/>
        </w:numPr>
        <w:jc w:val="left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功能科目分组，主要用于</w:t>
      </w:r>
      <w:r>
        <w:rPr>
          <w:rFonts w:hint="eastAsia" w:eastAsia="仿宋_GB2312"/>
          <w:kern w:val="0"/>
          <w:sz w:val="30"/>
          <w:szCs w:val="30"/>
        </w:rPr>
        <w:t>：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1、</w:t>
      </w:r>
      <w:r>
        <w:rPr>
          <w:rFonts w:hint="eastAsia" w:eastAsia="仿宋_GB2312"/>
          <w:kern w:val="0"/>
          <w:sz w:val="30"/>
          <w:szCs w:val="30"/>
        </w:rPr>
        <w:t>2080502事业单位离退休公用经费0.30万元；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2、</w:t>
      </w:r>
      <w:r>
        <w:rPr>
          <w:rFonts w:hint="eastAsia" w:eastAsia="仿宋_GB2312"/>
          <w:kern w:val="0"/>
          <w:sz w:val="30"/>
          <w:szCs w:val="30"/>
        </w:rPr>
        <w:t>2080505基本养老保险缴费支出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22.20</w:t>
      </w:r>
      <w:r>
        <w:rPr>
          <w:rFonts w:hint="eastAsia" w:eastAsia="仿宋_GB2312"/>
          <w:kern w:val="0"/>
          <w:sz w:val="30"/>
          <w:szCs w:val="30"/>
        </w:rPr>
        <w:t>万元；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仿宋_GB2312"/>
          <w:kern w:val="0"/>
          <w:sz w:val="30"/>
          <w:szCs w:val="30"/>
          <w:lang w:val="en-US" w:eastAsia="zh-CN"/>
        </w:rPr>
        <w:t>3、</w:t>
      </w:r>
      <w:r>
        <w:rPr>
          <w:rFonts w:hint="eastAsia" w:eastAsia="仿宋_GB2312"/>
          <w:kern w:val="0"/>
          <w:sz w:val="30"/>
          <w:szCs w:val="30"/>
        </w:rPr>
        <w:t>208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9901</w:t>
      </w:r>
      <w:r>
        <w:rPr>
          <w:rFonts w:hint="eastAsia" w:ascii="楷体_GB2312" w:eastAsia="楷体_GB2312"/>
          <w:kern w:val="0"/>
          <w:sz w:val="30"/>
          <w:szCs w:val="30"/>
          <w:lang w:eastAsia="zh-CN"/>
        </w:rPr>
        <w:t>其他社会保障和就业</w:t>
      </w:r>
      <w:r>
        <w:rPr>
          <w:rFonts w:hint="eastAsia" w:ascii="楷体_GB2312" w:eastAsia="楷体_GB2312"/>
          <w:kern w:val="0"/>
          <w:sz w:val="30"/>
          <w:szCs w:val="30"/>
        </w:rPr>
        <w:t>支出</w:t>
      </w:r>
      <w:r>
        <w:rPr>
          <w:rFonts w:hint="eastAsia" w:ascii="楷体_GB2312" w:eastAsia="楷体_GB2312"/>
          <w:kern w:val="0"/>
          <w:sz w:val="30"/>
          <w:szCs w:val="30"/>
          <w:lang w:val="en-US" w:eastAsia="zh-CN"/>
        </w:rPr>
        <w:t>-工伤保险</w:t>
      </w:r>
      <w:r>
        <w:rPr>
          <w:rFonts w:hint="eastAsia" w:eastAsia="楷体_GB2312"/>
          <w:kern w:val="0"/>
          <w:sz w:val="30"/>
          <w:szCs w:val="30"/>
          <w:lang w:val="en-US" w:eastAsia="zh-CN"/>
        </w:rPr>
        <w:t>0.22</w:t>
      </w:r>
      <w:r>
        <w:rPr>
          <w:rFonts w:hint="eastAsia" w:ascii="楷体_GB2312" w:eastAsia="楷体_GB2312"/>
          <w:kern w:val="0"/>
          <w:sz w:val="30"/>
          <w:szCs w:val="30"/>
        </w:rPr>
        <w:t>万元；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楷体_GB2312"/>
          <w:kern w:val="0"/>
          <w:sz w:val="30"/>
          <w:szCs w:val="30"/>
          <w:lang w:val="en-US" w:eastAsia="zh-CN"/>
        </w:rPr>
        <w:t>4、</w:t>
      </w:r>
      <w:r>
        <w:rPr>
          <w:rFonts w:eastAsia="楷体_GB2312"/>
          <w:kern w:val="0"/>
          <w:sz w:val="30"/>
          <w:szCs w:val="30"/>
        </w:rPr>
        <w:t>2130104</w:t>
      </w:r>
      <w:r>
        <w:rPr>
          <w:rFonts w:hint="eastAsia" w:ascii="楷体_GB2312" w:eastAsia="楷体_GB2312"/>
          <w:kern w:val="0"/>
          <w:sz w:val="30"/>
          <w:szCs w:val="30"/>
        </w:rPr>
        <w:t>事业运行</w:t>
      </w:r>
      <w:r>
        <w:rPr>
          <w:rFonts w:hint="eastAsia" w:eastAsia="楷体_GB2312"/>
          <w:kern w:val="0"/>
          <w:sz w:val="30"/>
          <w:szCs w:val="30"/>
          <w:lang w:val="en-US" w:eastAsia="zh-CN"/>
        </w:rPr>
        <w:t>196.61</w:t>
      </w:r>
      <w:r>
        <w:rPr>
          <w:rFonts w:hint="eastAsia" w:ascii="楷体_GB2312" w:eastAsia="楷体_GB2312"/>
          <w:kern w:val="0"/>
          <w:sz w:val="30"/>
          <w:szCs w:val="30"/>
        </w:rPr>
        <w:t>万元；</w:t>
      </w: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eastAsia="楷体_GB2312"/>
          <w:kern w:val="0"/>
          <w:sz w:val="30"/>
          <w:szCs w:val="30"/>
          <w:lang w:val="en-US" w:eastAsia="zh-CN"/>
        </w:rPr>
        <w:t>5、</w:t>
      </w:r>
      <w:r>
        <w:rPr>
          <w:rFonts w:eastAsia="楷体_GB2312"/>
          <w:kern w:val="0"/>
          <w:sz w:val="30"/>
          <w:szCs w:val="30"/>
        </w:rPr>
        <w:t>2210201</w:t>
      </w:r>
      <w:r>
        <w:rPr>
          <w:rFonts w:hint="eastAsia" w:ascii="楷体_GB2312" w:eastAsia="楷体_GB2312"/>
          <w:kern w:val="0"/>
          <w:sz w:val="30"/>
          <w:szCs w:val="30"/>
        </w:rPr>
        <w:t>住房公积金</w:t>
      </w:r>
      <w:r>
        <w:rPr>
          <w:rFonts w:hint="eastAsia" w:eastAsia="楷体_GB2312"/>
          <w:kern w:val="0"/>
          <w:sz w:val="30"/>
          <w:szCs w:val="30"/>
          <w:lang w:val="en-US" w:eastAsia="zh-CN"/>
        </w:rPr>
        <w:t>16.65</w:t>
      </w:r>
      <w:r>
        <w:rPr>
          <w:rFonts w:hint="eastAsia" w:ascii="楷体_GB2312" w:eastAsia="楷体_GB2312"/>
          <w:kern w:val="0"/>
          <w:sz w:val="30"/>
          <w:szCs w:val="30"/>
        </w:rPr>
        <w:t>万元；</w:t>
      </w:r>
    </w:p>
    <w:p>
      <w:pPr>
        <w:widowControl/>
        <w:numPr>
          <w:ilvl w:val="0"/>
          <w:numId w:val="2"/>
        </w:numPr>
        <w:ind w:firstLine="450" w:firstLineChars="150"/>
        <w:jc w:val="left"/>
        <w:rPr>
          <w:rFonts w:ascii="楷体_GB2312" w:eastAsia="楷体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>财政拨款安排</w:t>
      </w:r>
      <w:r>
        <w:rPr>
          <w:rFonts w:ascii="楷体_GB2312" w:eastAsia="楷体_GB2312"/>
          <w:kern w:val="0"/>
          <w:sz w:val="30"/>
          <w:szCs w:val="30"/>
        </w:rPr>
        <w:t>支出按经济科目分类情况</w:t>
      </w:r>
    </w:p>
    <w:p>
      <w:pPr>
        <w:widowControl/>
        <w:ind w:firstLine="600" w:firstLineChars="200"/>
        <w:jc w:val="left"/>
        <w:rPr>
          <w:rFonts w:eastAsia="仿宋_GB2312"/>
          <w:kern w:val="0"/>
          <w:sz w:val="30"/>
          <w:szCs w:val="30"/>
        </w:rPr>
      </w:pPr>
      <w:r>
        <w:rPr>
          <w:rFonts w:hint="eastAsia" w:ascii="楷体_GB2312" w:eastAsia="楷体_GB2312"/>
          <w:kern w:val="0"/>
          <w:sz w:val="30"/>
          <w:szCs w:val="30"/>
        </w:rPr>
        <w:t xml:space="preserve">   </w:t>
      </w:r>
      <w:r>
        <w:rPr>
          <w:rFonts w:hint="eastAsia" w:ascii="仿宋_GB2312" w:hAnsi="仿宋_GB2312" w:eastAsia="仿宋_GB2312" w:cs="仿宋_GB2312"/>
          <w:kern w:val="0"/>
          <w:sz w:val="30"/>
          <w:szCs w:val="30"/>
        </w:rPr>
        <w:t xml:space="preserve"> </w:t>
      </w:r>
      <w:r>
        <w:rPr>
          <w:rFonts w:eastAsia="仿宋_GB2312"/>
          <w:kern w:val="0"/>
          <w:sz w:val="30"/>
          <w:szCs w:val="30"/>
        </w:rPr>
        <w:t>经济科目分组（其中：基本支出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235.98</w:t>
      </w:r>
      <w:r>
        <w:rPr>
          <w:rFonts w:eastAsia="仿宋_GB2312"/>
          <w:kern w:val="0"/>
          <w:sz w:val="30"/>
          <w:szCs w:val="30"/>
        </w:rPr>
        <w:t>万元，项目支出/万元）。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 w:right="0" w:rightChars="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/>
          <w:kern w:val="0"/>
          <w:sz w:val="30"/>
          <w:szCs w:val="30"/>
          <w:lang w:eastAsia="zh-CN"/>
        </w:rPr>
        <w:t>五、</w:t>
      </w:r>
      <w:r>
        <w:rPr>
          <w:rFonts w:ascii="黑体" w:hAnsi="黑体" w:eastAsia="黑体"/>
          <w:color w:val="auto"/>
          <w:kern w:val="0"/>
          <w:sz w:val="30"/>
          <w:szCs w:val="30"/>
          <w:highlight w:val="none"/>
        </w:rPr>
        <w:t>省对下</w:t>
      </w: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专</w:t>
      </w:r>
      <w:r>
        <w:rPr>
          <w:rFonts w:ascii="黑体" w:hAnsi="黑体" w:eastAsia="黑体"/>
          <w:color w:val="auto"/>
          <w:kern w:val="0"/>
          <w:sz w:val="30"/>
          <w:szCs w:val="30"/>
          <w:highlight w:val="none"/>
        </w:rPr>
        <w:t>项转移支付情况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/>
        </w:rPr>
        <w:t>（本条分组按项级科目细化）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（一）列入省对下专项转移支付项目清单项目情况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eastAsia="仿宋_GB2312"/>
          <w:color w:val="auto"/>
          <w:kern w:val="0"/>
          <w:sz w:val="30"/>
          <w:szCs w:val="30"/>
          <w:highlight w:val="none"/>
        </w:rPr>
        <w:t>部门列入省对下专项转移支付项目清单项目为：金额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万元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（二）与中央配套事项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我单位无中央配套资金。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2" w:firstLineChars="200"/>
        <w:jc w:val="left"/>
        <w:textAlignment w:val="auto"/>
        <w:outlineLvl w:val="9"/>
        <w:rPr>
          <w:rFonts w:eastAsia="仿宋_GB2312"/>
          <w:b/>
          <w:color w:val="auto"/>
          <w:kern w:val="0"/>
          <w:sz w:val="30"/>
          <w:szCs w:val="30"/>
          <w:highlight w:val="none"/>
        </w:rPr>
      </w:pPr>
      <w:r>
        <w:rPr>
          <w:rFonts w:eastAsia="仿宋_GB2312"/>
          <w:b/>
          <w:color w:val="auto"/>
          <w:kern w:val="0"/>
          <w:sz w:val="30"/>
          <w:szCs w:val="30"/>
          <w:highlight w:val="none"/>
        </w:rPr>
        <w:t>（</w:t>
      </w: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三）按既定政策标准测算补助事项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eastAsia="zh-CN"/>
        </w:rPr>
        <w:t>无政策标准测算补助事项。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kern w:val="0"/>
          <w:sz w:val="30"/>
          <w:szCs w:val="30"/>
          <w:highlight w:val="none"/>
        </w:rPr>
      </w:pPr>
      <w:r>
        <w:rPr>
          <w:rFonts w:ascii="黑体" w:hAnsi="黑体" w:eastAsia="黑体"/>
          <w:color w:val="auto"/>
          <w:kern w:val="0"/>
          <w:sz w:val="30"/>
          <w:szCs w:val="30"/>
          <w:highlight w:val="none"/>
        </w:rPr>
        <w:t>六、政府采购预算情况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（无相关公开内容的，需保留标题并在表述内容的位置注明“无”。）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eastAsia="仿宋_GB2312"/>
          <w:color w:val="auto"/>
          <w:kern w:val="0"/>
          <w:sz w:val="30"/>
          <w:szCs w:val="30"/>
          <w:highlight w:val="none"/>
        </w:rPr>
      </w:pPr>
      <w:r>
        <w:rPr>
          <w:rFonts w:eastAsia="仿宋_GB2312"/>
          <w:color w:val="auto"/>
          <w:kern w:val="0"/>
          <w:sz w:val="30"/>
          <w:szCs w:val="30"/>
          <w:highlight w:val="none"/>
        </w:rPr>
        <w:t>根据《中华人民共和国政府采购法》的有关规定，编制了政府采购预算，共涉及采购项目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个，采购预算资金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eastAsia="仿宋_GB2312"/>
          <w:color w:val="auto"/>
          <w:kern w:val="0"/>
          <w:sz w:val="30"/>
          <w:szCs w:val="30"/>
          <w:highlight w:val="none"/>
        </w:rPr>
        <w:t>万元。</w:t>
      </w:r>
    </w:p>
    <w:p>
      <w:pPr>
        <w:widowControl/>
        <w:ind w:firstLine="1452" w:firstLineChars="484"/>
        <w:jc w:val="left"/>
        <w:rPr>
          <w:rFonts w:eastAsia="仿宋_GB2312"/>
          <w:kern w:val="0"/>
          <w:sz w:val="30"/>
          <w:szCs w:val="30"/>
        </w:rPr>
      </w:pPr>
    </w:p>
    <w:p>
      <w:pPr>
        <w:widowControl/>
        <w:numPr>
          <w:ilvl w:val="0"/>
          <w:numId w:val="0"/>
        </w:numPr>
        <w:ind w:firstLine="600" w:firstLineChars="200"/>
        <w:jc w:val="left"/>
        <w:rPr>
          <w:rFonts w:hint="eastAsia" w:ascii="楷体" w:hAnsi="楷体" w:eastAsia="楷体" w:cs="楷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七、部门“三公”经费增减变化情况及原因说明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仿宋_GB2312" w:hAnsi="楷体" w:eastAsia="仿宋_GB2312" w:cs="楷体"/>
          <w:kern w:val="0"/>
          <w:sz w:val="30"/>
          <w:szCs w:val="30"/>
        </w:rPr>
      </w:pPr>
      <w:r>
        <w:rPr>
          <w:rFonts w:hint="eastAsia" w:ascii="仿宋_GB2312" w:hAnsi="楷体" w:eastAsia="仿宋_GB2312" w:cs="楷体"/>
          <w:kern w:val="0"/>
          <w:sz w:val="30"/>
          <w:szCs w:val="30"/>
          <w:lang w:eastAsia="zh-CN"/>
        </w:rPr>
        <w:t>德宏州植保植检站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2020年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一般公共预算财政拨款“三公”经费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预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算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合计2.30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增加0.50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增长27.8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，具体变动情况如下：</w:t>
      </w:r>
      <w:r>
        <w:rPr>
          <w:rFonts w:hint="eastAsia" w:ascii="仿宋_GB2312" w:hAnsi="楷体" w:eastAsia="仿宋_GB2312" w:cs="楷体"/>
          <w:kern w:val="0"/>
          <w:sz w:val="30"/>
          <w:szCs w:val="30"/>
        </w:rPr>
        <w:t>其中</w:t>
      </w:r>
      <w:r>
        <w:rPr>
          <w:rFonts w:hint="eastAsia" w:ascii="仿宋_GB2312" w:hAnsi="楷体" w:eastAsia="仿宋_GB2312" w:cs="楷体"/>
          <w:kern w:val="0"/>
          <w:sz w:val="30"/>
          <w:szCs w:val="30"/>
          <w:lang w:eastAsia="zh-CN"/>
        </w:rPr>
        <w:t>：</w:t>
      </w:r>
      <w:r>
        <w:rPr>
          <w:rFonts w:hint="eastAsia" w:ascii="仿宋_GB2312" w:hAnsi="楷体" w:eastAsia="仿宋_GB2312" w:cs="楷体"/>
          <w:kern w:val="0"/>
          <w:sz w:val="30"/>
          <w:szCs w:val="30"/>
        </w:rPr>
        <w:t>接待费减少0.4</w:t>
      </w:r>
      <w:r>
        <w:rPr>
          <w:rFonts w:hint="eastAsia" w:ascii="仿宋_GB2312" w:hAnsi="楷体" w:eastAsia="仿宋_GB2312" w:cs="楷体"/>
          <w:kern w:val="0"/>
          <w:sz w:val="30"/>
          <w:szCs w:val="30"/>
          <w:lang w:val="en-US" w:eastAsia="zh-CN"/>
        </w:rPr>
        <w:t>5</w:t>
      </w:r>
      <w:r>
        <w:rPr>
          <w:rFonts w:hint="eastAsia" w:ascii="仿宋_GB2312" w:hAnsi="楷体" w:eastAsia="仿宋_GB2312" w:cs="楷体"/>
          <w:kern w:val="0"/>
          <w:sz w:val="30"/>
          <w:szCs w:val="30"/>
        </w:rPr>
        <w:t>万元，公务用车运行费</w:t>
      </w:r>
      <w:r>
        <w:rPr>
          <w:rFonts w:hint="eastAsia" w:ascii="仿宋_GB2312" w:hAnsi="楷体" w:eastAsia="仿宋_GB2312" w:cs="楷体"/>
          <w:kern w:val="0"/>
          <w:sz w:val="30"/>
          <w:szCs w:val="30"/>
          <w:lang w:eastAsia="zh-CN"/>
        </w:rPr>
        <w:t>增加</w:t>
      </w:r>
      <w:r>
        <w:rPr>
          <w:rFonts w:hint="eastAsia" w:ascii="仿宋_GB2312" w:hAnsi="楷体" w:eastAsia="仿宋_GB2312" w:cs="楷体"/>
          <w:kern w:val="0"/>
          <w:sz w:val="30"/>
          <w:szCs w:val="30"/>
          <w:lang w:val="en-US" w:eastAsia="zh-CN"/>
        </w:rPr>
        <w:t>0.95</w:t>
      </w:r>
      <w:r>
        <w:rPr>
          <w:rFonts w:hint="eastAsia" w:ascii="仿宋_GB2312" w:hAnsi="楷体" w:eastAsia="仿宋_GB2312" w:cs="楷体"/>
          <w:kern w:val="0"/>
          <w:sz w:val="30"/>
          <w:szCs w:val="30"/>
        </w:rPr>
        <w:t>万元。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（一）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因公出国（境）费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德宏州植保植检站2020年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因公出国（境）费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预算为/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%，共计安排因公出国（境）团组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个，因公出国（境）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人次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（二）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公务接待费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德宏州植保植检站部门2020年公务接待费预算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0.15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0.45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75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%，国内公务接待批次为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3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次，共计接待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30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人次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增减变化原因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：2020年公务接待次数减少。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（三）</w:t>
      </w:r>
      <w:r>
        <w:rPr>
          <w:rFonts w:hint="default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  <w:t>公务用车购置及运行维护费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rightChars="0" w:firstLine="600" w:firstLineChars="200"/>
        <w:jc w:val="left"/>
        <w:textAlignment w:val="auto"/>
        <w:outlineLvl w:val="9"/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德宏州植保植检站2020年公务用车购置及运行维护费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2.15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增加0.95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增长79.2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。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其中：公务用车购置费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减少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增长（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下降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）/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%；公务用车运行维护费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2.15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万元，较上年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增加0.95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万元，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增长79.2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%。共计购置公务用车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/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辆，年末公务用车保有量为</w:t>
      </w: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default" w:eastAsia="仿宋_GB2312"/>
          <w:color w:val="auto"/>
          <w:kern w:val="0"/>
          <w:sz w:val="30"/>
          <w:szCs w:val="30"/>
          <w:highlight w:val="none"/>
          <w:lang w:val="en-US" w:eastAsia="zh-CN"/>
        </w:rPr>
        <w:t>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加大对植保工作的投入，公务用车使用频率增多，公务用车运行维护费增加。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八、</w:t>
      </w: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</w:rPr>
        <w:t>重点项目预算绩效目标情况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56" w:firstLineChars="200"/>
        <w:jc w:val="left"/>
        <w:textAlignment w:val="auto"/>
        <w:outlineLvl w:val="9"/>
        <w:rPr>
          <w:rFonts w:hint="eastAsia" w:ascii="仿宋_GB2312" w:eastAsia="仿宋_GB2312"/>
          <w:color w:val="auto"/>
          <w:spacing w:val="14"/>
          <w:sz w:val="30"/>
          <w:szCs w:val="30"/>
          <w:highlight w:val="none"/>
          <w:lang w:eastAsia="zh-CN"/>
        </w:rPr>
      </w:pPr>
      <w:r>
        <w:rPr>
          <w:rFonts w:hint="eastAsia" w:ascii="仿宋_GB2312" w:eastAsia="仿宋_GB2312"/>
          <w:color w:val="auto"/>
          <w:spacing w:val="14"/>
          <w:sz w:val="30"/>
          <w:szCs w:val="30"/>
          <w:highlight w:val="none"/>
          <w:lang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黑体" w:hAnsi="黑体" w:eastAsia="黑体"/>
          <w:color w:val="auto"/>
          <w:kern w:val="0"/>
          <w:sz w:val="30"/>
          <w:szCs w:val="30"/>
          <w:highlight w:val="none"/>
        </w:rPr>
      </w:pPr>
      <w:r>
        <w:rPr>
          <w:rFonts w:hint="eastAsia" w:ascii="黑体" w:hAnsi="黑体" w:eastAsia="黑体"/>
          <w:color w:val="auto"/>
          <w:kern w:val="0"/>
          <w:sz w:val="30"/>
          <w:szCs w:val="30"/>
          <w:highlight w:val="none"/>
          <w:lang w:eastAsia="zh-CN"/>
        </w:rPr>
        <w:t>九</w:t>
      </w:r>
      <w:r>
        <w:rPr>
          <w:rFonts w:ascii="黑体" w:hAnsi="黑体" w:eastAsia="黑体"/>
          <w:color w:val="auto"/>
          <w:kern w:val="0"/>
          <w:sz w:val="30"/>
          <w:szCs w:val="30"/>
          <w:highlight w:val="none"/>
        </w:rPr>
        <w:t>、其他公开信息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（一）专业名词解释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kern w:val="0"/>
          <w:sz w:val="30"/>
          <w:szCs w:val="30"/>
          <w:highlight w:val="none"/>
          <w:lang w:eastAsia="zh-CN"/>
        </w:rPr>
        <w:t>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（二）机关运行经费安排</w:t>
      </w: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</w:rPr>
        <w:t>变化情况及原因</w:t>
      </w:r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eastAsia="zh-CN"/>
        </w:rPr>
        <w:t>说明</w:t>
      </w:r>
    </w:p>
    <w:p>
      <w:pPr>
        <w:widowControl/>
        <w:ind w:firstLine="600"/>
        <w:jc w:val="left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（无相关公开内容的，需保留标题并在表述内容的位置注明“无”。）</w:t>
      </w:r>
    </w:p>
    <w:p>
      <w:pPr>
        <w:widowControl/>
        <w:ind w:firstLine="600" w:firstLineChars="200"/>
        <w:jc w:val="left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无。</w:t>
      </w:r>
    </w:p>
    <w:p>
      <w:pPr>
        <w:widowControl/>
        <w:ind w:firstLine="600" w:firstLineChars="200"/>
        <w:jc w:val="left"/>
        <w:rPr>
          <w:rFonts w:ascii="楷体_GB2312" w:eastAsia="楷体_GB2312"/>
          <w:color w:val="auto"/>
          <w:kern w:val="0"/>
          <w:sz w:val="30"/>
          <w:szCs w:val="30"/>
          <w:highlight w:val="none"/>
        </w:rPr>
      </w:pPr>
      <w:bookmarkStart w:id="0" w:name="_GoBack"/>
      <w:bookmarkEnd w:id="0"/>
      <w:r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eastAsia="zh-CN"/>
        </w:rPr>
        <w:t>（三）</w:t>
      </w:r>
      <w:r>
        <w:rPr>
          <w:rFonts w:ascii="楷体_GB2312" w:eastAsia="楷体_GB2312"/>
          <w:color w:val="auto"/>
          <w:kern w:val="0"/>
          <w:sz w:val="30"/>
          <w:szCs w:val="30"/>
          <w:highlight w:val="none"/>
        </w:rPr>
        <w:t>国有资产占用情况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ascii="楷体_GB2312" w:eastAsia="楷体_GB2312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  <w:t>鉴于截至2020年12月31日的国有资产占有使用情况需在完成2020年决算编制后才能统计汇总相关数据，因此，将在公开2020年度部门决算时一并公开部门截至2020年12月31日的国有资产占有使用情况。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00" w:firstLineChars="200"/>
        <w:jc w:val="left"/>
        <w:textAlignment w:val="auto"/>
        <w:outlineLvl w:val="9"/>
        <w:rPr>
          <w:rFonts w:hint="eastAsia" w:eastAsia="仿宋_GB2312"/>
          <w:color w:val="auto"/>
          <w:kern w:val="0"/>
          <w:sz w:val="30"/>
          <w:szCs w:val="30"/>
          <w:highlight w:val="none"/>
          <w:lang w:val="en-US" w:eastAsia="zh-CN"/>
        </w:rPr>
      </w:pPr>
    </w:p>
    <w:p>
      <w:pPr>
        <w:jc w:val="right"/>
        <w:rPr>
          <w:rFonts w:hint="eastAsia" w:eastAsia="仿宋_GB2312"/>
          <w:sz w:val="30"/>
          <w:szCs w:val="30"/>
        </w:rPr>
      </w:pPr>
    </w:p>
    <w:p>
      <w:pPr>
        <w:jc w:val="right"/>
        <w:rPr>
          <w:rFonts w:hint="eastAsia" w:eastAsia="仿宋_GB2312"/>
          <w:sz w:val="30"/>
          <w:szCs w:val="30"/>
        </w:rPr>
      </w:pPr>
    </w:p>
    <w:p>
      <w:pPr>
        <w:jc w:val="right"/>
        <w:rPr>
          <w:rFonts w:hint="eastAsia" w:eastAsia="仿宋_GB2312"/>
          <w:sz w:val="30"/>
          <w:szCs w:val="30"/>
        </w:rPr>
      </w:pPr>
    </w:p>
    <w:p>
      <w:pPr>
        <w:jc w:val="right"/>
        <w:rPr>
          <w:rFonts w:eastAsia="仿宋_GB2312"/>
          <w:sz w:val="30"/>
          <w:szCs w:val="30"/>
        </w:rPr>
      </w:pPr>
      <w:r>
        <w:rPr>
          <w:rFonts w:hint="eastAsia" w:eastAsia="仿宋_GB2312"/>
          <w:sz w:val="30"/>
          <w:szCs w:val="30"/>
        </w:rPr>
        <w:t>德宏州植保植检站</w:t>
      </w:r>
    </w:p>
    <w:p>
      <w:pPr>
        <w:jc w:val="righ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20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20</w:t>
      </w:r>
      <w:r>
        <w:rPr>
          <w:rFonts w:hint="eastAsia" w:ascii="仿宋_GB2312" w:eastAsia="仿宋_GB2312"/>
          <w:sz w:val="30"/>
          <w:szCs w:val="30"/>
        </w:rPr>
        <w:t>年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月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10</w:t>
      </w:r>
      <w:r>
        <w:rPr>
          <w:rFonts w:hint="eastAsia" w:ascii="仿宋_GB2312" w:eastAsia="仿宋_GB2312"/>
          <w:sz w:val="30"/>
          <w:szCs w:val="30"/>
        </w:rPr>
        <w:t>日</w:t>
      </w: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p>
      <w:pPr>
        <w:rPr>
          <w:rFonts w:eastAsia="仿宋_GB2312"/>
          <w:sz w:val="30"/>
          <w:szCs w:val="30"/>
        </w:rPr>
      </w:pPr>
    </w:p>
    <w:sectPr>
      <w:headerReference r:id="rId3" w:type="default"/>
      <w:headerReference r:id="rId4" w:type="even"/>
      <w:pgSz w:w="11906" w:h="16838"/>
      <w:pgMar w:top="1247" w:right="1797" w:bottom="1247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47BA42"/>
    <w:multiLevelType w:val="singleLevel"/>
    <w:tmpl w:val="5C47BA42"/>
    <w:lvl w:ilvl="0" w:tentative="0">
      <w:start w:val="2"/>
      <w:numFmt w:val="chineseCounting"/>
      <w:suff w:val="nothing"/>
      <w:lvlText w:val="（%1）"/>
      <w:lvlJc w:val="left"/>
    </w:lvl>
  </w:abstractNum>
  <w:abstractNum w:abstractNumId="1">
    <w:nsid w:val="5C47DBBF"/>
    <w:multiLevelType w:val="singleLevel"/>
    <w:tmpl w:val="5C47DBBF"/>
    <w:lvl w:ilvl="0" w:tentative="0">
      <w:start w:val="4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45AD5"/>
    <w:rsid w:val="0000585F"/>
    <w:rsid w:val="0000790E"/>
    <w:rsid w:val="00010713"/>
    <w:rsid w:val="00011F4A"/>
    <w:rsid w:val="00012FB3"/>
    <w:rsid w:val="00014D4F"/>
    <w:rsid w:val="000152A5"/>
    <w:rsid w:val="000237AB"/>
    <w:rsid w:val="0003248D"/>
    <w:rsid w:val="00034005"/>
    <w:rsid w:val="00046A0D"/>
    <w:rsid w:val="0005317B"/>
    <w:rsid w:val="000543CA"/>
    <w:rsid w:val="00054EA9"/>
    <w:rsid w:val="000559B2"/>
    <w:rsid w:val="00060B5F"/>
    <w:rsid w:val="00063177"/>
    <w:rsid w:val="00064C37"/>
    <w:rsid w:val="00070204"/>
    <w:rsid w:val="00073344"/>
    <w:rsid w:val="00074721"/>
    <w:rsid w:val="00081157"/>
    <w:rsid w:val="00083CB1"/>
    <w:rsid w:val="00085843"/>
    <w:rsid w:val="000860FB"/>
    <w:rsid w:val="00094DF9"/>
    <w:rsid w:val="000952C1"/>
    <w:rsid w:val="00096A53"/>
    <w:rsid w:val="000A03E5"/>
    <w:rsid w:val="000A07EA"/>
    <w:rsid w:val="000A1122"/>
    <w:rsid w:val="000A6A4C"/>
    <w:rsid w:val="000A74AF"/>
    <w:rsid w:val="000A7B19"/>
    <w:rsid w:val="000B0125"/>
    <w:rsid w:val="000B39F8"/>
    <w:rsid w:val="000B59B5"/>
    <w:rsid w:val="000B5BAB"/>
    <w:rsid w:val="000B7EA9"/>
    <w:rsid w:val="000C3AE5"/>
    <w:rsid w:val="000C5123"/>
    <w:rsid w:val="000D4394"/>
    <w:rsid w:val="000E2B18"/>
    <w:rsid w:val="000E530D"/>
    <w:rsid w:val="000F365A"/>
    <w:rsid w:val="000F4C86"/>
    <w:rsid w:val="001046C0"/>
    <w:rsid w:val="00104701"/>
    <w:rsid w:val="001110E2"/>
    <w:rsid w:val="00114FB7"/>
    <w:rsid w:val="00122B32"/>
    <w:rsid w:val="00123DF3"/>
    <w:rsid w:val="00126D02"/>
    <w:rsid w:val="00126F40"/>
    <w:rsid w:val="00127A6B"/>
    <w:rsid w:val="001341D1"/>
    <w:rsid w:val="0013430D"/>
    <w:rsid w:val="0013484F"/>
    <w:rsid w:val="00134BE4"/>
    <w:rsid w:val="0013549C"/>
    <w:rsid w:val="00136315"/>
    <w:rsid w:val="001418E2"/>
    <w:rsid w:val="0014446D"/>
    <w:rsid w:val="001446A5"/>
    <w:rsid w:val="0014486B"/>
    <w:rsid w:val="00144CF1"/>
    <w:rsid w:val="0014558B"/>
    <w:rsid w:val="00146960"/>
    <w:rsid w:val="00155639"/>
    <w:rsid w:val="00155D5E"/>
    <w:rsid w:val="00157BA7"/>
    <w:rsid w:val="001704E4"/>
    <w:rsid w:val="00175223"/>
    <w:rsid w:val="00175B2E"/>
    <w:rsid w:val="00176F17"/>
    <w:rsid w:val="001804E3"/>
    <w:rsid w:val="00180C9A"/>
    <w:rsid w:val="00182D13"/>
    <w:rsid w:val="00183B42"/>
    <w:rsid w:val="0018645F"/>
    <w:rsid w:val="00186C54"/>
    <w:rsid w:val="00192C05"/>
    <w:rsid w:val="00197CAA"/>
    <w:rsid w:val="00197E5D"/>
    <w:rsid w:val="001A1B3A"/>
    <w:rsid w:val="001A3CEE"/>
    <w:rsid w:val="001A784A"/>
    <w:rsid w:val="001B045D"/>
    <w:rsid w:val="001C1C89"/>
    <w:rsid w:val="001C55D5"/>
    <w:rsid w:val="001D120C"/>
    <w:rsid w:val="001E03BD"/>
    <w:rsid w:val="001E684A"/>
    <w:rsid w:val="00200BD6"/>
    <w:rsid w:val="00216177"/>
    <w:rsid w:val="002230AE"/>
    <w:rsid w:val="002247D0"/>
    <w:rsid w:val="00224F80"/>
    <w:rsid w:val="0022507C"/>
    <w:rsid w:val="00226979"/>
    <w:rsid w:val="002406F5"/>
    <w:rsid w:val="00242E76"/>
    <w:rsid w:val="00243464"/>
    <w:rsid w:val="002462A8"/>
    <w:rsid w:val="00247731"/>
    <w:rsid w:val="00253C74"/>
    <w:rsid w:val="00262BAD"/>
    <w:rsid w:val="002726B1"/>
    <w:rsid w:val="002727D0"/>
    <w:rsid w:val="002749C8"/>
    <w:rsid w:val="00275325"/>
    <w:rsid w:val="00281C06"/>
    <w:rsid w:val="00285DC4"/>
    <w:rsid w:val="00294AE7"/>
    <w:rsid w:val="002A7BAE"/>
    <w:rsid w:val="002B11FA"/>
    <w:rsid w:val="002B2CA6"/>
    <w:rsid w:val="002B34ED"/>
    <w:rsid w:val="002B37A7"/>
    <w:rsid w:val="002B4342"/>
    <w:rsid w:val="002B56EB"/>
    <w:rsid w:val="002B6D47"/>
    <w:rsid w:val="002C2555"/>
    <w:rsid w:val="002C7D21"/>
    <w:rsid w:val="002D27CD"/>
    <w:rsid w:val="002D3EC0"/>
    <w:rsid w:val="002D729F"/>
    <w:rsid w:val="002E0E3C"/>
    <w:rsid w:val="002E1812"/>
    <w:rsid w:val="002E2F7F"/>
    <w:rsid w:val="002E4B20"/>
    <w:rsid w:val="002E5FC6"/>
    <w:rsid w:val="002E6D7D"/>
    <w:rsid w:val="002F2C1E"/>
    <w:rsid w:val="002F6E99"/>
    <w:rsid w:val="00300C47"/>
    <w:rsid w:val="003050B6"/>
    <w:rsid w:val="0030726B"/>
    <w:rsid w:val="0031118B"/>
    <w:rsid w:val="0031122F"/>
    <w:rsid w:val="00315EFA"/>
    <w:rsid w:val="00316408"/>
    <w:rsid w:val="003179FB"/>
    <w:rsid w:val="00323A51"/>
    <w:rsid w:val="003244C9"/>
    <w:rsid w:val="0032468B"/>
    <w:rsid w:val="00327119"/>
    <w:rsid w:val="003333E4"/>
    <w:rsid w:val="00336580"/>
    <w:rsid w:val="0034184B"/>
    <w:rsid w:val="003535EB"/>
    <w:rsid w:val="00354D29"/>
    <w:rsid w:val="00356356"/>
    <w:rsid w:val="00360593"/>
    <w:rsid w:val="00360EF7"/>
    <w:rsid w:val="00361A07"/>
    <w:rsid w:val="0036248A"/>
    <w:rsid w:val="003710A2"/>
    <w:rsid w:val="00372470"/>
    <w:rsid w:val="00376707"/>
    <w:rsid w:val="0037788A"/>
    <w:rsid w:val="0038029B"/>
    <w:rsid w:val="00383096"/>
    <w:rsid w:val="00392AA8"/>
    <w:rsid w:val="003931E6"/>
    <w:rsid w:val="003A324A"/>
    <w:rsid w:val="003A73EF"/>
    <w:rsid w:val="003B2514"/>
    <w:rsid w:val="003B54C2"/>
    <w:rsid w:val="003B5BA8"/>
    <w:rsid w:val="003C0093"/>
    <w:rsid w:val="003C1BE1"/>
    <w:rsid w:val="003C2A74"/>
    <w:rsid w:val="003C6315"/>
    <w:rsid w:val="003D1204"/>
    <w:rsid w:val="003D160D"/>
    <w:rsid w:val="003D35F4"/>
    <w:rsid w:val="003D6601"/>
    <w:rsid w:val="003D6C9A"/>
    <w:rsid w:val="003E2D1F"/>
    <w:rsid w:val="003E2DE1"/>
    <w:rsid w:val="003E5754"/>
    <w:rsid w:val="003F171F"/>
    <w:rsid w:val="003F201E"/>
    <w:rsid w:val="003F3C0C"/>
    <w:rsid w:val="0040002C"/>
    <w:rsid w:val="00400C3B"/>
    <w:rsid w:val="00403507"/>
    <w:rsid w:val="00403546"/>
    <w:rsid w:val="00404DA0"/>
    <w:rsid w:val="004158B8"/>
    <w:rsid w:val="00416B98"/>
    <w:rsid w:val="00421A99"/>
    <w:rsid w:val="0042780C"/>
    <w:rsid w:val="0043232E"/>
    <w:rsid w:val="00432BAC"/>
    <w:rsid w:val="00445161"/>
    <w:rsid w:val="004457F4"/>
    <w:rsid w:val="004472BF"/>
    <w:rsid w:val="00447C85"/>
    <w:rsid w:val="004544A9"/>
    <w:rsid w:val="00455E38"/>
    <w:rsid w:val="00456CDD"/>
    <w:rsid w:val="004605B3"/>
    <w:rsid w:val="00466335"/>
    <w:rsid w:val="00467CD2"/>
    <w:rsid w:val="004718A9"/>
    <w:rsid w:val="00476EC1"/>
    <w:rsid w:val="00480582"/>
    <w:rsid w:val="0048694C"/>
    <w:rsid w:val="004911B1"/>
    <w:rsid w:val="00495E43"/>
    <w:rsid w:val="004A362F"/>
    <w:rsid w:val="004A742B"/>
    <w:rsid w:val="004B29ED"/>
    <w:rsid w:val="004B50FC"/>
    <w:rsid w:val="004C064B"/>
    <w:rsid w:val="004C1CDF"/>
    <w:rsid w:val="004C3221"/>
    <w:rsid w:val="004D26D3"/>
    <w:rsid w:val="004D3A59"/>
    <w:rsid w:val="004D6E1D"/>
    <w:rsid w:val="004E50CA"/>
    <w:rsid w:val="004F2C44"/>
    <w:rsid w:val="004F4F9F"/>
    <w:rsid w:val="004F5C1B"/>
    <w:rsid w:val="005054B5"/>
    <w:rsid w:val="00505533"/>
    <w:rsid w:val="00506344"/>
    <w:rsid w:val="005148D7"/>
    <w:rsid w:val="00521069"/>
    <w:rsid w:val="005248EA"/>
    <w:rsid w:val="0052572D"/>
    <w:rsid w:val="005431C8"/>
    <w:rsid w:val="005463F4"/>
    <w:rsid w:val="00552BA8"/>
    <w:rsid w:val="0055409A"/>
    <w:rsid w:val="00563EEF"/>
    <w:rsid w:val="00572E90"/>
    <w:rsid w:val="00575EDA"/>
    <w:rsid w:val="00591B91"/>
    <w:rsid w:val="005952DC"/>
    <w:rsid w:val="005A00B7"/>
    <w:rsid w:val="005A1F0D"/>
    <w:rsid w:val="005A51EE"/>
    <w:rsid w:val="005B0445"/>
    <w:rsid w:val="005B0A4A"/>
    <w:rsid w:val="005B5412"/>
    <w:rsid w:val="005B679B"/>
    <w:rsid w:val="005B77D3"/>
    <w:rsid w:val="005C470B"/>
    <w:rsid w:val="005C66D3"/>
    <w:rsid w:val="005D245F"/>
    <w:rsid w:val="005D3061"/>
    <w:rsid w:val="005D6260"/>
    <w:rsid w:val="005D6D58"/>
    <w:rsid w:val="005E244D"/>
    <w:rsid w:val="005E6A58"/>
    <w:rsid w:val="005F310F"/>
    <w:rsid w:val="00602B8A"/>
    <w:rsid w:val="0060314C"/>
    <w:rsid w:val="00610CF7"/>
    <w:rsid w:val="00612D63"/>
    <w:rsid w:val="00614B12"/>
    <w:rsid w:val="006150EC"/>
    <w:rsid w:val="006164DB"/>
    <w:rsid w:val="0061679D"/>
    <w:rsid w:val="006253D8"/>
    <w:rsid w:val="00626153"/>
    <w:rsid w:val="006374A1"/>
    <w:rsid w:val="00651B6C"/>
    <w:rsid w:val="006540CB"/>
    <w:rsid w:val="00660B2A"/>
    <w:rsid w:val="00663D84"/>
    <w:rsid w:val="00682553"/>
    <w:rsid w:val="0068515C"/>
    <w:rsid w:val="0068667C"/>
    <w:rsid w:val="006A26A0"/>
    <w:rsid w:val="006A4FDA"/>
    <w:rsid w:val="006B1C07"/>
    <w:rsid w:val="006B3DA5"/>
    <w:rsid w:val="006B5B25"/>
    <w:rsid w:val="006B7827"/>
    <w:rsid w:val="006D0172"/>
    <w:rsid w:val="006E1A3A"/>
    <w:rsid w:val="006E2230"/>
    <w:rsid w:val="006E2B9C"/>
    <w:rsid w:val="006E7E4C"/>
    <w:rsid w:val="006F02E3"/>
    <w:rsid w:val="006F1C64"/>
    <w:rsid w:val="006F3C19"/>
    <w:rsid w:val="00700438"/>
    <w:rsid w:val="007013C6"/>
    <w:rsid w:val="00715660"/>
    <w:rsid w:val="007328B9"/>
    <w:rsid w:val="007336B0"/>
    <w:rsid w:val="0073563C"/>
    <w:rsid w:val="00735ADA"/>
    <w:rsid w:val="00735D71"/>
    <w:rsid w:val="00736386"/>
    <w:rsid w:val="0074138A"/>
    <w:rsid w:val="00750940"/>
    <w:rsid w:val="00751AB4"/>
    <w:rsid w:val="0076269B"/>
    <w:rsid w:val="00765E00"/>
    <w:rsid w:val="00766131"/>
    <w:rsid w:val="0077005A"/>
    <w:rsid w:val="00772DB4"/>
    <w:rsid w:val="00780AAD"/>
    <w:rsid w:val="0078371A"/>
    <w:rsid w:val="00783A4C"/>
    <w:rsid w:val="0079250C"/>
    <w:rsid w:val="00794375"/>
    <w:rsid w:val="007A05BD"/>
    <w:rsid w:val="007A725D"/>
    <w:rsid w:val="007B4A0F"/>
    <w:rsid w:val="007C05CB"/>
    <w:rsid w:val="007C1922"/>
    <w:rsid w:val="007C3153"/>
    <w:rsid w:val="007C7656"/>
    <w:rsid w:val="007D066F"/>
    <w:rsid w:val="007D1AE5"/>
    <w:rsid w:val="007D5A91"/>
    <w:rsid w:val="007E3441"/>
    <w:rsid w:val="007E460F"/>
    <w:rsid w:val="007E68C9"/>
    <w:rsid w:val="007E76F1"/>
    <w:rsid w:val="007F1DA0"/>
    <w:rsid w:val="007F43A2"/>
    <w:rsid w:val="00803F6B"/>
    <w:rsid w:val="00805901"/>
    <w:rsid w:val="00811B53"/>
    <w:rsid w:val="00816BAB"/>
    <w:rsid w:val="00817514"/>
    <w:rsid w:val="00825E03"/>
    <w:rsid w:val="00827ECC"/>
    <w:rsid w:val="0083106D"/>
    <w:rsid w:val="0083313F"/>
    <w:rsid w:val="00834D98"/>
    <w:rsid w:val="00835730"/>
    <w:rsid w:val="00835F23"/>
    <w:rsid w:val="0084210A"/>
    <w:rsid w:val="00845657"/>
    <w:rsid w:val="0084624C"/>
    <w:rsid w:val="00851C1D"/>
    <w:rsid w:val="00864E02"/>
    <w:rsid w:val="00874702"/>
    <w:rsid w:val="008775B4"/>
    <w:rsid w:val="008808A6"/>
    <w:rsid w:val="00884461"/>
    <w:rsid w:val="00885B69"/>
    <w:rsid w:val="008A159E"/>
    <w:rsid w:val="008A38E5"/>
    <w:rsid w:val="008A3F94"/>
    <w:rsid w:val="008A4B32"/>
    <w:rsid w:val="008A6037"/>
    <w:rsid w:val="008B2777"/>
    <w:rsid w:val="008B3519"/>
    <w:rsid w:val="008B4667"/>
    <w:rsid w:val="008B7085"/>
    <w:rsid w:val="008C0CBC"/>
    <w:rsid w:val="008C1602"/>
    <w:rsid w:val="008C1FFC"/>
    <w:rsid w:val="008D1AD8"/>
    <w:rsid w:val="008D2E7D"/>
    <w:rsid w:val="008D5FED"/>
    <w:rsid w:val="008E0B11"/>
    <w:rsid w:val="008E2734"/>
    <w:rsid w:val="008E5296"/>
    <w:rsid w:val="008F35F1"/>
    <w:rsid w:val="008F3FB1"/>
    <w:rsid w:val="009008F4"/>
    <w:rsid w:val="00901A1A"/>
    <w:rsid w:val="009020BF"/>
    <w:rsid w:val="00905BB4"/>
    <w:rsid w:val="00907813"/>
    <w:rsid w:val="00911B9D"/>
    <w:rsid w:val="009142F4"/>
    <w:rsid w:val="00921C07"/>
    <w:rsid w:val="00930A10"/>
    <w:rsid w:val="0093199F"/>
    <w:rsid w:val="00932958"/>
    <w:rsid w:val="00932B1A"/>
    <w:rsid w:val="009454BE"/>
    <w:rsid w:val="00947CC7"/>
    <w:rsid w:val="00951519"/>
    <w:rsid w:val="009535AF"/>
    <w:rsid w:val="0096301A"/>
    <w:rsid w:val="00964D6C"/>
    <w:rsid w:val="00965133"/>
    <w:rsid w:val="00965E0F"/>
    <w:rsid w:val="00971AD3"/>
    <w:rsid w:val="00980F62"/>
    <w:rsid w:val="00981123"/>
    <w:rsid w:val="00982629"/>
    <w:rsid w:val="0098468C"/>
    <w:rsid w:val="0098667C"/>
    <w:rsid w:val="009907B9"/>
    <w:rsid w:val="00992351"/>
    <w:rsid w:val="009A08B6"/>
    <w:rsid w:val="009A2377"/>
    <w:rsid w:val="009A4D11"/>
    <w:rsid w:val="009B3ED3"/>
    <w:rsid w:val="009B4ADC"/>
    <w:rsid w:val="009C1730"/>
    <w:rsid w:val="009C2E69"/>
    <w:rsid w:val="009D6232"/>
    <w:rsid w:val="009E15D4"/>
    <w:rsid w:val="009F25BD"/>
    <w:rsid w:val="009F3C7E"/>
    <w:rsid w:val="009F5646"/>
    <w:rsid w:val="009F7873"/>
    <w:rsid w:val="009F7979"/>
    <w:rsid w:val="009F7AE7"/>
    <w:rsid w:val="00A03FA7"/>
    <w:rsid w:val="00A06395"/>
    <w:rsid w:val="00A06AEF"/>
    <w:rsid w:val="00A10700"/>
    <w:rsid w:val="00A13FB6"/>
    <w:rsid w:val="00A14D49"/>
    <w:rsid w:val="00A15184"/>
    <w:rsid w:val="00A1637D"/>
    <w:rsid w:val="00A2566B"/>
    <w:rsid w:val="00A32086"/>
    <w:rsid w:val="00A34E84"/>
    <w:rsid w:val="00A352B0"/>
    <w:rsid w:val="00A37886"/>
    <w:rsid w:val="00A43524"/>
    <w:rsid w:val="00A472C6"/>
    <w:rsid w:val="00A51E78"/>
    <w:rsid w:val="00A570A1"/>
    <w:rsid w:val="00A60974"/>
    <w:rsid w:val="00A61DCD"/>
    <w:rsid w:val="00A65535"/>
    <w:rsid w:val="00A724CF"/>
    <w:rsid w:val="00A7532F"/>
    <w:rsid w:val="00A761CF"/>
    <w:rsid w:val="00A80D54"/>
    <w:rsid w:val="00A81682"/>
    <w:rsid w:val="00A81C31"/>
    <w:rsid w:val="00A84D92"/>
    <w:rsid w:val="00A84E65"/>
    <w:rsid w:val="00A95B6C"/>
    <w:rsid w:val="00AA7480"/>
    <w:rsid w:val="00AB1481"/>
    <w:rsid w:val="00AB2ABB"/>
    <w:rsid w:val="00AB5C67"/>
    <w:rsid w:val="00AB7C98"/>
    <w:rsid w:val="00AC47D9"/>
    <w:rsid w:val="00AD0DA1"/>
    <w:rsid w:val="00AE0209"/>
    <w:rsid w:val="00AE2095"/>
    <w:rsid w:val="00AE5322"/>
    <w:rsid w:val="00AE5FEF"/>
    <w:rsid w:val="00AE73E2"/>
    <w:rsid w:val="00AF1CF9"/>
    <w:rsid w:val="00AF2AE3"/>
    <w:rsid w:val="00AF7B4F"/>
    <w:rsid w:val="00AF7C58"/>
    <w:rsid w:val="00B05787"/>
    <w:rsid w:val="00B15323"/>
    <w:rsid w:val="00B259AC"/>
    <w:rsid w:val="00B268D9"/>
    <w:rsid w:val="00B26EC9"/>
    <w:rsid w:val="00B31B8F"/>
    <w:rsid w:val="00B333B0"/>
    <w:rsid w:val="00B43561"/>
    <w:rsid w:val="00B440DB"/>
    <w:rsid w:val="00B4415D"/>
    <w:rsid w:val="00B45103"/>
    <w:rsid w:val="00B45D24"/>
    <w:rsid w:val="00B52992"/>
    <w:rsid w:val="00B538C6"/>
    <w:rsid w:val="00B62018"/>
    <w:rsid w:val="00B63114"/>
    <w:rsid w:val="00B64A22"/>
    <w:rsid w:val="00B67D14"/>
    <w:rsid w:val="00B700C3"/>
    <w:rsid w:val="00B8042D"/>
    <w:rsid w:val="00B810FF"/>
    <w:rsid w:val="00B8418B"/>
    <w:rsid w:val="00B84519"/>
    <w:rsid w:val="00B87463"/>
    <w:rsid w:val="00B91E5C"/>
    <w:rsid w:val="00BA00E2"/>
    <w:rsid w:val="00BA1BBB"/>
    <w:rsid w:val="00BA4255"/>
    <w:rsid w:val="00BA4F5A"/>
    <w:rsid w:val="00BA7BBA"/>
    <w:rsid w:val="00BB3DE5"/>
    <w:rsid w:val="00BB4394"/>
    <w:rsid w:val="00BB5ABD"/>
    <w:rsid w:val="00BC1BA9"/>
    <w:rsid w:val="00BC41E1"/>
    <w:rsid w:val="00BD2FC7"/>
    <w:rsid w:val="00BD4684"/>
    <w:rsid w:val="00BD6EC1"/>
    <w:rsid w:val="00BE25AF"/>
    <w:rsid w:val="00BE3F11"/>
    <w:rsid w:val="00BF3FBF"/>
    <w:rsid w:val="00BF462E"/>
    <w:rsid w:val="00C01D14"/>
    <w:rsid w:val="00C04DD5"/>
    <w:rsid w:val="00C073D6"/>
    <w:rsid w:val="00C07645"/>
    <w:rsid w:val="00C12785"/>
    <w:rsid w:val="00C14D2D"/>
    <w:rsid w:val="00C14F30"/>
    <w:rsid w:val="00C15327"/>
    <w:rsid w:val="00C205DD"/>
    <w:rsid w:val="00C242B2"/>
    <w:rsid w:val="00C25F74"/>
    <w:rsid w:val="00C31FE6"/>
    <w:rsid w:val="00C35546"/>
    <w:rsid w:val="00C4092D"/>
    <w:rsid w:val="00C4278B"/>
    <w:rsid w:val="00C43BD2"/>
    <w:rsid w:val="00C44F90"/>
    <w:rsid w:val="00C47E9C"/>
    <w:rsid w:val="00C52FD7"/>
    <w:rsid w:val="00C5360E"/>
    <w:rsid w:val="00C57277"/>
    <w:rsid w:val="00C616E4"/>
    <w:rsid w:val="00C648E2"/>
    <w:rsid w:val="00C6603B"/>
    <w:rsid w:val="00C71E3F"/>
    <w:rsid w:val="00C75A4D"/>
    <w:rsid w:val="00C75CE4"/>
    <w:rsid w:val="00C8367C"/>
    <w:rsid w:val="00C83EC8"/>
    <w:rsid w:val="00C84EC9"/>
    <w:rsid w:val="00C90645"/>
    <w:rsid w:val="00C92A41"/>
    <w:rsid w:val="00C95E0F"/>
    <w:rsid w:val="00CA3BAD"/>
    <w:rsid w:val="00CB1858"/>
    <w:rsid w:val="00CC0087"/>
    <w:rsid w:val="00CD0085"/>
    <w:rsid w:val="00CE1BDC"/>
    <w:rsid w:val="00CF3E52"/>
    <w:rsid w:val="00D00043"/>
    <w:rsid w:val="00D003BE"/>
    <w:rsid w:val="00D03468"/>
    <w:rsid w:val="00D03E18"/>
    <w:rsid w:val="00D06094"/>
    <w:rsid w:val="00D110CC"/>
    <w:rsid w:val="00D1310A"/>
    <w:rsid w:val="00D165B0"/>
    <w:rsid w:val="00D249EC"/>
    <w:rsid w:val="00D30CFE"/>
    <w:rsid w:val="00D314BC"/>
    <w:rsid w:val="00D319FC"/>
    <w:rsid w:val="00D37964"/>
    <w:rsid w:val="00D40468"/>
    <w:rsid w:val="00D41BD8"/>
    <w:rsid w:val="00D45FD5"/>
    <w:rsid w:val="00D501E4"/>
    <w:rsid w:val="00D51F3A"/>
    <w:rsid w:val="00D5788F"/>
    <w:rsid w:val="00D6213F"/>
    <w:rsid w:val="00D62340"/>
    <w:rsid w:val="00D63F18"/>
    <w:rsid w:val="00D6527D"/>
    <w:rsid w:val="00D6795D"/>
    <w:rsid w:val="00D729EC"/>
    <w:rsid w:val="00D74B92"/>
    <w:rsid w:val="00D83A9A"/>
    <w:rsid w:val="00D841C1"/>
    <w:rsid w:val="00D93010"/>
    <w:rsid w:val="00D946E9"/>
    <w:rsid w:val="00D9604F"/>
    <w:rsid w:val="00D9737C"/>
    <w:rsid w:val="00DA76AC"/>
    <w:rsid w:val="00DB3D0C"/>
    <w:rsid w:val="00DB4D49"/>
    <w:rsid w:val="00DB767D"/>
    <w:rsid w:val="00DC07E5"/>
    <w:rsid w:val="00DC395D"/>
    <w:rsid w:val="00DC634D"/>
    <w:rsid w:val="00DD0FFA"/>
    <w:rsid w:val="00DD202C"/>
    <w:rsid w:val="00DD3863"/>
    <w:rsid w:val="00DE5376"/>
    <w:rsid w:val="00DE60D1"/>
    <w:rsid w:val="00DF050A"/>
    <w:rsid w:val="00DF59BD"/>
    <w:rsid w:val="00DF6FC3"/>
    <w:rsid w:val="00DF751A"/>
    <w:rsid w:val="00DF7A31"/>
    <w:rsid w:val="00E01827"/>
    <w:rsid w:val="00E039F6"/>
    <w:rsid w:val="00E05A1C"/>
    <w:rsid w:val="00E07333"/>
    <w:rsid w:val="00E129EE"/>
    <w:rsid w:val="00E12BAD"/>
    <w:rsid w:val="00E13411"/>
    <w:rsid w:val="00E14AC6"/>
    <w:rsid w:val="00E30F62"/>
    <w:rsid w:val="00E36ECE"/>
    <w:rsid w:val="00E46B69"/>
    <w:rsid w:val="00E573AC"/>
    <w:rsid w:val="00E57B94"/>
    <w:rsid w:val="00E62839"/>
    <w:rsid w:val="00E62E85"/>
    <w:rsid w:val="00E64EE1"/>
    <w:rsid w:val="00E65C1E"/>
    <w:rsid w:val="00E75F13"/>
    <w:rsid w:val="00E76022"/>
    <w:rsid w:val="00E83456"/>
    <w:rsid w:val="00EA25E4"/>
    <w:rsid w:val="00EA3E87"/>
    <w:rsid w:val="00EA7A22"/>
    <w:rsid w:val="00EA7DE2"/>
    <w:rsid w:val="00EB004F"/>
    <w:rsid w:val="00EB6AC3"/>
    <w:rsid w:val="00EC6D59"/>
    <w:rsid w:val="00EC703C"/>
    <w:rsid w:val="00ED0777"/>
    <w:rsid w:val="00ED2DE0"/>
    <w:rsid w:val="00ED6645"/>
    <w:rsid w:val="00ED6F4E"/>
    <w:rsid w:val="00EE37EE"/>
    <w:rsid w:val="00EE6EB1"/>
    <w:rsid w:val="00EF43D5"/>
    <w:rsid w:val="00EF4E23"/>
    <w:rsid w:val="00EF691D"/>
    <w:rsid w:val="00F0000C"/>
    <w:rsid w:val="00F002E5"/>
    <w:rsid w:val="00F03838"/>
    <w:rsid w:val="00F03945"/>
    <w:rsid w:val="00F04C86"/>
    <w:rsid w:val="00F0598E"/>
    <w:rsid w:val="00F11D4E"/>
    <w:rsid w:val="00F12CC8"/>
    <w:rsid w:val="00F15022"/>
    <w:rsid w:val="00F20765"/>
    <w:rsid w:val="00F20D44"/>
    <w:rsid w:val="00F238CE"/>
    <w:rsid w:val="00F24EE1"/>
    <w:rsid w:val="00F35CB9"/>
    <w:rsid w:val="00F36445"/>
    <w:rsid w:val="00F37D41"/>
    <w:rsid w:val="00F412D7"/>
    <w:rsid w:val="00F43996"/>
    <w:rsid w:val="00F45AD5"/>
    <w:rsid w:val="00F45F72"/>
    <w:rsid w:val="00F47184"/>
    <w:rsid w:val="00F51398"/>
    <w:rsid w:val="00F521B6"/>
    <w:rsid w:val="00F53C1F"/>
    <w:rsid w:val="00F53D7D"/>
    <w:rsid w:val="00F54201"/>
    <w:rsid w:val="00F5464F"/>
    <w:rsid w:val="00F6446E"/>
    <w:rsid w:val="00F64A92"/>
    <w:rsid w:val="00F657F3"/>
    <w:rsid w:val="00F80BF6"/>
    <w:rsid w:val="00F81802"/>
    <w:rsid w:val="00F82819"/>
    <w:rsid w:val="00F8452D"/>
    <w:rsid w:val="00F95BCB"/>
    <w:rsid w:val="00F96634"/>
    <w:rsid w:val="00F96A5C"/>
    <w:rsid w:val="00FA1FBC"/>
    <w:rsid w:val="00FA2C97"/>
    <w:rsid w:val="00FA2FC5"/>
    <w:rsid w:val="00FB15C3"/>
    <w:rsid w:val="00FB35BE"/>
    <w:rsid w:val="00FC43B8"/>
    <w:rsid w:val="00FC4E58"/>
    <w:rsid w:val="00FC51C4"/>
    <w:rsid w:val="00FC7004"/>
    <w:rsid w:val="00FD06A0"/>
    <w:rsid w:val="00FD13FB"/>
    <w:rsid w:val="00FD228E"/>
    <w:rsid w:val="00FD4E9B"/>
    <w:rsid w:val="00FD7D5F"/>
    <w:rsid w:val="00FE1A2F"/>
    <w:rsid w:val="00FE5F50"/>
    <w:rsid w:val="00FF1B25"/>
    <w:rsid w:val="00FF7A85"/>
    <w:rsid w:val="025737A0"/>
    <w:rsid w:val="03F0214E"/>
    <w:rsid w:val="06325B44"/>
    <w:rsid w:val="0AB77A2F"/>
    <w:rsid w:val="1418608E"/>
    <w:rsid w:val="1A0B3DDD"/>
    <w:rsid w:val="1CC12A66"/>
    <w:rsid w:val="27492D7B"/>
    <w:rsid w:val="275D3788"/>
    <w:rsid w:val="27BD73D9"/>
    <w:rsid w:val="36C263D0"/>
    <w:rsid w:val="39466C4F"/>
    <w:rsid w:val="475D393F"/>
    <w:rsid w:val="4A312ECC"/>
    <w:rsid w:val="4DAF717B"/>
    <w:rsid w:val="51E50CE7"/>
    <w:rsid w:val="5A296240"/>
    <w:rsid w:val="648A0012"/>
    <w:rsid w:val="724A4A01"/>
    <w:rsid w:val="7B1E5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qFormat="1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qFormat/>
    <w:uiPriority w:val="0"/>
    <w:pPr>
      <w:jc w:val="left"/>
    </w:pPr>
  </w:style>
  <w:style w:type="paragraph" w:styleId="3">
    <w:name w:val="Body Text"/>
    <w:basedOn w:val="1"/>
    <w:link w:val="12"/>
    <w:unhideWhenUsed/>
    <w:qFormat/>
    <w:uiPriority w:val="0"/>
    <w:pPr>
      <w:spacing w:beforeLines="30"/>
    </w:pPr>
    <w:rPr>
      <w:rFonts w:ascii="仿宋_GB2312" w:eastAsia="仿宋_GB2312"/>
      <w:sz w:val="30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semiHidden/>
    <w:qFormat/>
    <w:uiPriority w:val="0"/>
    <w:rPr>
      <w:b/>
      <w:bCs/>
    </w:rPr>
  </w:style>
  <w:style w:type="character" w:styleId="10">
    <w:name w:val="annotation reference"/>
    <w:semiHidden/>
    <w:qFormat/>
    <w:uiPriority w:val="0"/>
    <w:rPr>
      <w:sz w:val="21"/>
      <w:szCs w:val="21"/>
    </w:rPr>
  </w:style>
  <w:style w:type="paragraph" w:customStyle="1" w:styleId="11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2">
    <w:name w:val="正文文本 Char"/>
    <w:basedOn w:val="9"/>
    <w:link w:val="3"/>
    <w:qFormat/>
    <w:uiPriority w:val="0"/>
    <w:rPr>
      <w:rFonts w:ascii="仿宋_GB2312" w:eastAsia="仿宋_GB2312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zhlx</Company>
  <Pages>5</Pages>
  <Words>305</Words>
  <Characters>1743</Characters>
  <Lines>14</Lines>
  <Paragraphs>4</Paragraphs>
  <TotalTime>4</TotalTime>
  <ScaleCrop>false</ScaleCrop>
  <LinksUpToDate>false</LinksUpToDate>
  <CharactersWithSpaces>2044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2012-01-07T11:13:00Z</dcterms:created>
  <dc:creator>lx</dc:creator>
  <dc:description>ZHGenApp().GetProperty("Certification")</dc:description>
  <cp:lastModifiedBy>の野狼</cp:lastModifiedBy>
  <cp:lastPrinted>2018-01-31T03:32:00Z</cp:lastPrinted>
  <dcterms:modified xsi:type="dcterms:W3CDTF">2020-09-11T01:14:37Z</dcterms:modified>
  <dc:title>年部门预算编制说明</dc:title>
  <cp:revision>104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