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德宏州植保植检站2019年度部门决算</w:t>
      </w:r>
    </w:p>
    <w:p>
      <w:pPr>
        <w:jc w:val="center"/>
        <w:rPr>
          <w:rFonts w:hint="eastAsia" w:ascii="黑体" w:hAnsi="黑体" w:eastAsia="黑体"/>
          <w:sz w:val="32"/>
          <w:szCs w:val="32"/>
        </w:rPr>
      </w:pPr>
      <w:r>
        <w:rPr>
          <w:rFonts w:hint="eastAsia" w:ascii="黑体" w:hAnsi="黑体" w:eastAsia="黑体"/>
          <w:sz w:val="32"/>
          <w:szCs w:val="32"/>
        </w:rPr>
        <w:t>目录</w:t>
      </w:r>
    </w:p>
    <w:p>
      <w:pPr>
        <w:jc w:val="left"/>
        <w:rPr>
          <w:rFonts w:hint="eastAsia" w:ascii="黑体" w:hAnsi="黑体" w:eastAsia="黑体"/>
          <w:sz w:val="30"/>
          <w:szCs w:val="30"/>
        </w:rPr>
      </w:pPr>
      <w:r>
        <w:rPr>
          <w:rFonts w:hint="eastAsia" w:ascii="黑体" w:hAnsi="黑体" w:eastAsia="黑体"/>
          <w:sz w:val="30"/>
          <w:szCs w:val="30"/>
        </w:rPr>
        <w:t>第一部分  单位概况</w:t>
      </w:r>
    </w:p>
    <w:p>
      <w:pPr>
        <w:spacing w:line="240" w:lineRule="atLeast"/>
        <w:jc w:val="left"/>
        <w:rPr>
          <w:rFonts w:hint="eastAsia" w:ascii="楷体" w:hAnsi="楷体" w:eastAsia="楷体"/>
          <w:sz w:val="30"/>
          <w:szCs w:val="30"/>
        </w:rPr>
      </w:pPr>
      <w:r>
        <w:rPr>
          <w:rFonts w:hint="eastAsia" w:ascii="楷体" w:hAnsi="楷体" w:eastAsia="楷体"/>
          <w:sz w:val="30"/>
          <w:szCs w:val="30"/>
        </w:rPr>
        <w:t>一、主要职能</w:t>
      </w:r>
    </w:p>
    <w:p>
      <w:pPr>
        <w:spacing w:line="240" w:lineRule="atLeast"/>
        <w:jc w:val="left"/>
        <w:rPr>
          <w:rFonts w:hint="eastAsia" w:ascii="楷体" w:hAnsi="楷体" w:eastAsia="楷体"/>
          <w:sz w:val="30"/>
          <w:szCs w:val="30"/>
        </w:rPr>
      </w:pPr>
      <w:r>
        <w:rPr>
          <w:rFonts w:hint="eastAsia" w:ascii="楷体" w:hAnsi="楷体" w:eastAsia="楷体"/>
          <w:sz w:val="30"/>
          <w:szCs w:val="30"/>
        </w:rPr>
        <w:t>二、部门基本情况</w:t>
      </w:r>
    </w:p>
    <w:p>
      <w:pPr>
        <w:jc w:val="left"/>
        <w:rPr>
          <w:rFonts w:hint="eastAsia" w:ascii="黑体" w:hAnsi="黑体" w:eastAsia="黑体"/>
          <w:sz w:val="30"/>
          <w:szCs w:val="30"/>
        </w:rPr>
      </w:pPr>
      <w:r>
        <w:rPr>
          <w:rFonts w:hint="eastAsia" w:ascii="黑体" w:hAnsi="黑体" w:eastAsia="黑体"/>
          <w:sz w:val="30"/>
          <w:szCs w:val="30"/>
        </w:rPr>
        <w:t>第二部分  2019年度部门决算表</w:t>
      </w:r>
    </w:p>
    <w:p>
      <w:pPr>
        <w:jc w:val="left"/>
        <w:rPr>
          <w:rFonts w:hint="eastAsia" w:ascii="楷体" w:hAnsi="楷体" w:eastAsia="楷体"/>
          <w:sz w:val="30"/>
          <w:szCs w:val="30"/>
        </w:rPr>
      </w:pPr>
      <w:r>
        <w:rPr>
          <w:rFonts w:hint="eastAsia" w:ascii="楷体" w:hAnsi="楷体" w:eastAsia="楷体"/>
          <w:sz w:val="30"/>
          <w:szCs w:val="30"/>
        </w:rPr>
        <w:t>一、收入支出决算总表</w:t>
      </w:r>
    </w:p>
    <w:p>
      <w:pPr>
        <w:jc w:val="left"/>
        <w:rPr>
          <w:rFonts w:hint="eastAsia" w:ascii="楷体" w:hAnsi="楷体" w:eastAsia="楷体"/>
          <w:sz w:val="30"/>
          <w:szCs w:val="30"/>
        </w:rPr>
      </w:pPr>
      <w:r>
        <w:rPr>
          <w:rFonts w:hint="eastAsia" w:ascii="楷体" w:hAnsi="楷体" w:eastAsia="楷体"/>
          <w:sz w:val="30"/>
          <w:szCs w:val="30"/>
        </w:rPr>
        <w:t>二、收入决算表</w:t>
      </w:r>
    </w:p>
    <w:p>
      <w:pPr>
        <w:jc w:val="left"/>
        <w:rPr>
          <w:rFonts w:hint="eastAsia" w:ascii="楷体" w:hAnsi="楷体" w:eastAsia="楷体"/>
          <w:sz w:val="30"/>
          <w:szCs w:val="30"/>
        </w:rPr>
      </w:pPr>
      <w:r>
        <w:rPr>
          <w:rFonts w:hint="eastAsia" w:ascii="楷体" w:hAnsi="楷体" w:eastAsia="楷体"/>
          <w:sz w:val="30"/>
          <w:szCs w:val="30"/>
        </w:rPr>
        <w:t>三、支出决算表</w:t>
      </w:r>
    </w:p>
    <w:p>
      <w:pPr>
        <w:jc w:val="left"/>
        <w:rPr>
          <w:rFonts w:hint="eastAsia" w:ascii="楷体" w:hAnsi="楷体" w:eastAsia="楷体"/>
          <w:sz w:val="30"/>
          <w:szCs w:val="30"/>
        </w:rPr>
      </w:pPr>
      <w:r>
        <w:rPr>
          <w:rFonts w:hint="eastAsia" w:ascii="楷体" w:hAnsi="楷体" w:eastAsia="楷体"/>
          <w:sz w:val="30"/>
          <w:szCs w:val="30"/>
        </w:rPr>
        <w:t>四、财政拨款收入支出决算总表</w:t>
      </w:r>
    </w:p>
    <w:p>
      <w:pPr>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pPr>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pPr>
        <w:jc w:val="left"/>
        <w:rPr>
          <w:rFonts w:hint="eastAsia" w:ascii="楷体" w:hAnsi="楷体" w:eastAsia="楷体"/>
          <w:sz w:val="30"/>
          <w:szCs w:val="30"/>
        </w:rPr>
      </w:pPr>
      <w:r>
        <w:rPr>
          <w:rFonts w:hint="eastAsia" w:ascii="楷体" w:hAnsi="楷体" w:eastAsia="楷体"/>
          <w:sz w:val="30"/>
          <w:szCs w:val="30"/>
        </w:rPr>
        <w:t>七、政府性基金预算财政拨款收入支出决算表</w:t>
      </w:r>
    </w:p>
    <w:p>
      <w:pPr>
        <w:jc w:val="left"/>
        <w:rPr>
          <w:rFonts w:hint="eastAsia" w:ascii="楷体" w:hAnsi="楷体" w:eastAsia="楷体"/>
          <w:sz w:val="30"/>
          <w:szCs w:val="30"/>
        </w:rPr>
      </w:pPr>
      <w:r>
        <w:rPr>
          <w:rFonts w:hint="eastAsia" w:ascii="楷体" w:hAnsi="楷体" w:eastAsia="楷体"/>
          <w:sz w:val="30"/>
          <w:szCs w:val="30"/>
        </w:rPr>
        <w:t>八、“三公”经费、行政参公单位机关运行经费情况表</w:t>
      </w:r>
    </w:p>
    <w:p>
      <w:pPr>
        <w:jc w:val="left"/>
        <w:rPr>
          <w:rFonts w:hint="eastAsia" w:ascii="黑体" w:hAnsi="黑体" w:eastAsia="黑体"/>
          <w:sz w:val="30"/>
          <w:szCs w:val="30"/>
        </w:rPr>
      </w:pPr>
      <w:r>
        <w:rPr>
          <w:rFonts w:hint="eastAsia" w:ascii="黑体" w:hAnsi="黑体" w:eastAsia="黑体"/>
          <w:sz w:val="30"/>
          <w:szCs w:val="30"/>
        </w:rPr>
        <w:t>第三部分  2019年度部门决算情况说明</w:t>
      </w:r>
    </w:p>
    <w:p>
      <w:pPr>
        <w:jc w:val="left"/>
        <w:rPr>
          <w:rFonts w:hint="eastAsia" w:ascii="楷体" w:hAnsi="楷体" w:eastAsia="楷体"/>
          <w:sz w:val="30"/>
          <w:szCs w:val="30"/>
        </w:rPr>
      </w:pPr>
      <w:r>
        <w:rPr>
          <w:rFonts w:hint="eastAsia" w:ascii="楷体" w:hAnsi="楷体" w:eastAsia="楷体"/>
          <w:sz w:val="30"/>
          <w:szCs w:val="30"/>
        </w:rPr>
        <w:t>一、收入决算情况说明</w:t>
      </w:r>
    </w:p>
    <w:p>
      <w:pPr>
        <w:jc w:val="left"/>
        <w:rPr>
          <w:rFonts w:hint="eastAsia" w:ascii="楷体" w:hAnsi="楷体" w:eastAsia="楷体"/>
          <w:sz w:val="30"/>
          <w:szCs w:val="30"/>
        </w:rPr>
      </w:pPr>
      <w:r>
        <w:rPr>
          <w:rFonts w:hint="eastAsia" w:ascii="楷体" w:hAnsi="楷体" w:eastAsia="楷体"/>
          <w:sz w:val="30"/>
          <w:szCs w:val="30"/>
        </w:rPr>
        <w:t>二、支出决算情况说明</w:t>
      </w:r>
    </w:p>
    <w:p>
      <w:pPr>
        <w:jc w:val="left"/>
        <w:rPr>
          <w:rFonts w:hint="eastAsia"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第四部分</w:t>
      </w:r>
      <w:r>
        <w:rPr>
          <w:rFonts w:hint="eastAsia" w:ascii="楷体" w:hAnsi="楷体" w:eastAsia="楷体"/>
          <w:sz w:val="30"/>
          <w:szCs w:val="30"/>
        </w:rPr>
        <w:t xml:space="preserve">  </w:t>
      </w:r>
      <w:r>
        <w:rPr>
          <w:rFonts w:hint="eastAsia" w:ascii="黑体" w:hAnsi="黑体" w:eastAsia="黑体"/>
          <w:sz w:val="30"/>
          <w:szCs w:val="30"/>
        </w:rPr>
        <w:t>其他重要事项及相关口径情况说明</w:t>
      </w:r>
    </w:p>
    <w:p>
      <w:pPr>
        <w:jc w:val="left"/>
        <w:rPr>
          <w:rFonts w:hint="eastAsia" w:ascii="楷体" w:hAnsi="楷体" w:eastAsia="楷体"/>
          <w:sz w:val="30"/>
          <w:szCs w:val="30"/>
        </w:rPr>
      </w:pPr>
      <w:r>
        <w:rPr>
          <w:rFonts w:hint="eastAsia" w:ascii="楷体" w:hAnsi="楷体" w:eastAsia="楷体"/>
          <w:sz w:val="30"/>
          <w:szCs w:val="30"/>
        </w:rPr>
        <w:t>一、机关运行经费支出情况</w:t>
      </w:r>
    </w:p>
    <w:p>
      <w:pPr>
        <w:jc w:val="left"/>
        <w:rPr>
          <w:rFonts w:hint="eastAsia" w:ascii="楷体" w:hAnsi="楷体" w:eastAsia="楷体"/>
          <w:sz w:val="30"/>
          <w:szCs w:val="30"/>
        </w:rPr>
      </w:pPr>
      <w:r>
        <w:rPr>
          <w:rFonts w:hint="eastAsia" w:ascii="楷体" w:hAnsi="楷体" w:eastAsia="楷体"/>
          <w:sz w:val="30"/>
          <w:szCs w:val="30"/>
        </w:rPr>
        <w:t>二、国有资产占用情况</w:t>
      </w:r>
    </w:p>
    <w:p>
      <w:pPr>
        <w:jc w:val="left"/>
        <w:rPr>
          <w:rFonts w:hint="eastAsia" w:ascii="楷体" w:hAnsi="楷体" w:eastAsia="楷体"/>
          <w:sz w:val="30"/>
          <w:szCs w:val="30"/>
        </w:rPr>
      </w:pPr>
      <w:r>
        <w:rPr>
          <w:rFonts w:hint="eastAsia" w:ascii="楷体" w:hAnsi="楷体" w:eastAsia="楷体"/>
          <w:sz w:val="30"/>
          <w:szCs w:val="30"/>
        </w:rPr>
        <w:t>三、政府采购支出情况</w:t>
      </w:r>
    </w:p>
    <w:p>
      <w:pPr>
        <w:jc w:val="left"/>
        <w:rPr>
          <w:rFonts w:hint="eastAsia" w:ascii="楷体" w:hAnsi="楷体" w:eastAsia="楷体"/>
          <w:sz w:val="30"/>
          <w:szCs w:val="30"/>
        </w:rPr>
      </w:pPr>
      <w:r>
        <w:rPr>
          <w:rFonts w:hint="eastAsia" w:ascii="楷体" w:hAnsi="楷体" w:eastAsia="楷体"/>
          <w:sz w:val="30"/>
          <w:szCs w:val="30"/>
        </w:rPr>
        <w:t>四、部门绩效自评情况</w:t>
      </w:r>
    </w:p>
    <w:p>
      <w:pPr>
        <w:jc w:val="left"/>
        <w:rPr>
          <w:rFonts w:hint="eastAsia" w:ascii="楷体" w:hAnsi="楷体" w:eastAsia="楷体"/>
          <w:sz w:val="30"/>
          <w:szCs w:val="30"/>
        </w:rPr>
      </w:pPr>
      <w:r>
        <w:rPr>
          <w:rFonts w:hint="eastAsia" w:ascii="楷体" w:hAnsi="楷体" w:eastAsia="楷体"/>
          <w:sz w:val="30"/>
          <w:szCs w:val="30"/>
        </w:rPr>
        <w:t>（一）项目支出绩效自评/项目支出绩效自评报告（表）</w:t>
      </w:r>
    </w:p>
    <w:p>
      <w:pPr>
        <w:jc w:val="left"/>
        <w:rPr>
          <w:rFonts w:hint="eastAsia" w:ascii="楷体" w:hAnsi="楷体" w:eastAsia="楷体"/>
          <w:sz w:val="30"/>
          <w:szCs w:val="30"/>
        </w:rPr>
      </w:pPr>
      <w:r>
        <w:rPr>
          <w:rFonts w:hint="eastAsia" w:ascii="楷体" w:hAnsi="楷体" w:eastAsia="楷体"/>
          <w:sz w:val="30"/>
          <w:szCs w:val="30"/>
        </w:rPr>
        <w:t>（二）部门整体支出绩效自评报告</w:t>
      </w:r>
    </w:p>
    <w:p>
      <w:pPr>
        <w:jc w:val="left"/>
        <w:rPr>
          <w:rFonts w:hint="eastAsia" w:ascii="楷体" w:hAnsi="楷体" w:eastAsia="楷体"/>
          <w:sz w:val="30"/>
          <w:szCs w:val="30"/>
        </w:rPr>
      </w:pPr>
      <w:r>
        <w:rPr>
          <w:rFonts w:hint="eastAsia" w:ascii="楷体" w:hAnsi="楷体" w:eastAsia="楷体"/>
          <w:sz w:val="30"/>
          <w:szCs w:val="30"/>
        </w:rPr>
        <w:t>（三）部门整体支出绩效自评表</w:t>
      </w:r>
    </w:p>
    <w:p>
      <w:pPr>
        <w:jc w:val="left"/>
        <w:rPr>
          <w:rFonts w:hint="eastAsia" w:ascii="楷体" w:hAnsi="楷体" w:eastAsia="楷体"/>
          <w:sz w:val="30"/>
          <w:szCs w:val="30"/>
        </w:rPr>
      </w:pPr>
      <w:r>
        <w:rPr>
          <w:rFonts w:hint="eastAsia" w:ascii="楷体" w:hAnsi="楷体" w:eastAsia="楷体"/>
          <w:sz w:val="30"/>
          <w:szCs w:val="30"/>
        </w:rPr>
        <w:t>五、其他重要事项情况说明、</w:t>
      </w:r>
    </w:p>
    <w:p>
      <w:pPr>
        <w:jc w:val="left"/>
        <w:rPr>
          <w:rFonts w:hint="eastAsia" w:ascii="楷体" w:hAnsi="楷体" w:eastAsia="楷体"/>
          <w:sz w:val="30"/>
          <w:szCs w:val="30"/>
        </w:rPr>
      </w:pPr>
      <w:r>
        <w:rPr>
          <w:rFonts w:hint="eastAsia" w:ascii="楷体" w:hAnsi="楷体" w:eastAsia="楷体"/>
          <w:sz w:val="30"/>
          <w:szCs w:val="30"/>
        </w:rPr>
        <w:t>六、相关口径说明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第五部分  名词解释</w:t>
      </w: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第一部分  单位概况</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hint="eastAsia" w:ascii="楷体" w:hAnsi="楷体" w:eastAsia="楷体"/>
          <w:bCs/>
          <w:sz w:val="30"/>
          <w:szCs w:val="30"/>
        </w:rPr>
      </w:pPr>
      <w:r>
        <w:rPr>
          <w:rFonts w:hint="eastAsia" w:ascii="楷体" w:hAnsi="楷体" w:eastAsia="楷体"/>
          <w:bCs/>
          <w:sz w:val="30"/>
          <w:szCs w:val="30"/>
        </w:rPr>
        <w:t>（一）主要职能</w:t>
      </w:r>
    </w:p>
    <w:p>
      <w:pPr>
        <w:spacing w:line="600" w:lineRule="exact"/>
        <w:ind w:firstLine="602" w:firstLineChars="200"/>
        <w:rPr>
          <w:rFonts w:hint="eastAsia" w:ascii="宋体" w:hAnsi="宋体"/>
          <w:b/>
          <w:sz w:val="30"/>
          <w:szCs w:val="30"/>
        </w:rPr>
      </w:pPr>
      <w:r>
        <w:rPr>
          <w:rFonts w:hint="eastAsia" w:ascii="宋体" w:hAnsi="宋体"/>
          <w:b/>
          <w:sz w:val="30"/>
          <w:szCs w:val="30"/>
        </w:rPr>
        <w:t>承担全州农业有害生物监测与预测预报、重大病虫害综合防治、危害性有害生物监测与有效防控、外调农产品调运检疫、农药市场监管、新农药推广应用等工作职能。</w:t>
      </w:r>
    </w:p>
    <w:p>
      <w:pPr>
        <w:pStyle w:val="2"/>
        <w:adjustRightInd w:val="0"/>
        <w:snapToGrid w:val="0"/>
        <w:spacing w:line="600" w:lineRule="exact"/>
        <w:ind w:firstLine="630" w:firstLineChars="210"/>
        <w:rPr>
          <w:rFonts w:hint="eastAsia"/>
          <w:bCs/>
          <w:szCs w:val="30"/>
        </w:rPr>
      </w:pPr>
      <w:r>
        <w:rPr>
          <w:rFonts w:hint="eastAsia"/>
          <w:bCs/>
          <w:szCs w:val="30"/>
        </w:rPr>
        <w:t>参照政府批准的“三定”方案。</w:t>
      </w:r>
    </w:p>
    <w:p>
      <w:pPr>
        <w:pStyle w:val="2"/>
        <w:adjustRightInd w:val="0"/>
        <w:snapToGrid w:val="0"/>
        <w:spacing w:line="600" w:lineRule="exact"/>
        <w:ind w:firstLine="630" w:firstLineChars="210"/>
        <w:rPr>
          <w:rFonts w:hint="eastAsia" w:ascii="楷体" w:hAnsi="楷体" w:eastAsia="楷体"/>
          <w:bCs/>
          <w:szCs w:val="30"/>
        </w:rPr>
      </w:pPr>
      <w:r>
        <w:rPr>
          <w:rFonts w:hint="eastAsia" w:ascii="楷体" w:hAnsi="楷体" w:eastAsia="楷体"/>
          <w:bCs/>
          <w:szCs w:val="30"/>
        </w:rPr>
        <w:t>（二）2019年度重点工作任务介绍</w:t>
      </w:r>
    </w:p>
    <w:p>
      <w:pPr>
        <w:pStyle w:val="2"/>
        <w:adjustRightInd w:val="0"/>
        <w:snapToGrid w:val="0"/>
        <w:spacing w:line="600" w:lineRule="exact"/>
        <w:ind w:firstLine="632" w:firstLineChars="210"/>
        <w:rPr>
          <w:rFonts w:hint="eastAsia" w:ascii="宋体" w:hAnsi="宋体" w:eastAsia="宋体"/>
          <w:b/>
          <w:bCs/>
          <w:szCs w:val="30"/>
        </w:rPr>
      </w:pPr>
      <w:r>
        <w:rPr>
          <w:rFonts w:hint="eastAsia" w:ascii="宋体" w:hAnsi="宋体" w:eastAsia="宋体"/>
          <w:b/>
          <w:bCs/>
          <w:szCs w:val="30"/>
        </w:rPr>
        <w:t>为控制农作物病虫害提供检测防治保障，农作物重大病虫害动态监测，病虫抗药性监测，植物检疫审批，调动检疫，农作物病虫害防治，农作物病虫害灾情分析、治理、综合纺织技术开发、防治新技术试验示范，项目实施，农用药械管理。</w:t>
      </w:r>
    </w:p>
    <w:p>
      <w:pPr>
        <w:pStyle w:val="2"/>
        <w:adjustRightInd w:val="0"/>
        <w:snapToGrid w:val="0"/>
        <w:spacing w:line="600" w:lineRule="exact"/>
        <w:ind w:firstLine="630" w:firstLineChars="210"/>
        <w:rPr>
          <w:rFonts w:hint="eastAsia" w:ascii="黑体" w:hAnsi="黑体" w:eastAsia="黑体"/>
          <w:szCs w:val="30"/>
        </w:rPr>
      </w:pPr>
      <w:r>
        <w:rPr>
          <w:rFonts w:hint="eastAsia" w:ascii="黑体" w:hAnsi="黑体" w:eastAsia="黑体"/>
          <w:szCs w:val="30"/>
        </w:rPr>
        <w:t>二、部门基本情况</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（一）部门决算单位构成</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纳入2019年度部门决算编报的单位共1个。其中：行政单位/个，参照公务员法管理的事业单位</w:t>
      </w:r>
      <w:r>
        <w:rPr>
          <w:rFonts w:hint="eastAsia" w:ascii="仿宋_GB2312" w:eastAsia="仿宋_GB2312"/>
          <w:bCs/>
          <w:sz w:val="30"/>
          <w:szCs w:val="30"/>
        </w:rPr>
        <w:t>/</w:t>
      </w:r>
      <w:r>
        <w:rPr>
          <w:rFonts w:hint="eastAsia" w:ascii="仿宋_GB2312" w:eastAsia="仿宋_GB2312"/>
          <w:sz w:val="30"/>
          <w:szCs w:val="30"/>
        </w:rPr>
        <w:t>个，其他事业单位1个。分别是：</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德宏州植保植检站。</w:t>
      </w:r>
    </w:p>
    <w:p>
      <w:pPr>
        <w:ind w:firstLine="600" w:firstLineChars="200"/>
        <w:rPr>
          <w:rFonts w:hint="eastAsia" w:ascii="楷体" w:hAnsi="楷体" w:eastAsia="楷体"/>
          <w:sz w:val="30"/>
          <w:szCs w:val="30"/>
        </w:rPr>
      </w:pPr>
      <w:r>
        <w:rPr>
          <w:rFonts w:hint="eastAsia" w:ascii="楷体" w:hAnsi="楷体" w:eastAsia="楷体"/>
          <w:sz w:val="30"/>
          <w:szCs w:val="30"/>
        </w:rPr>
        <w:t xml:space="preserve">（二）部门人员和车辆的编制及实有情况 </w:t>
      </w:r>
    </w:p>
    <w:p>
      <w:pPr>
        <w:spacing w:line="600" w:lineRule="exact"/>
        <w:ind w:firstLine="600" w:firstLineChars="200"/>
        <w:rPr>
          <w:rFonts w:hint="eastAsia" w:ascii="仿宋_GB2312" w:hAnsi="宋体" w:eastAsia="仿宋_GB2312" w:cs="Arial"/>
          <w:kern w:val="0"/>
          <w:sz w:val="30"/>
          <w:szCs w:val="30"/>
        </w:rPr>
      </w:pPr>
      <w:r>
        <w:rPr>
          <w:rFonts w:hint="eastAsia" w:ascii="仿宋_GB2312" w:eastAsia="仿宋_GB2312"/>
          <w:sz w:val="30"/>
          <w:szCs w:val="30"/>
        </w:rPr>
        <w:t>德宏州植保植检站2019年末实有人员编制16</w:t>
      </w:r>
      <w:r>
        <w:rPr>
          <w:rFonts w:hint="eastAsia" w:ascii="仿宋_GB2312" w:hAnsi="宋体" w:eastAsia="仿宋_GB2312" w:cs="Arial"/>
          <w:kern w:val="0"/>
          <w:sz w:val="30"/>
          <w:szCs w:val="30"/>
        </w:rPr>
        <w:t>人。其中：行政编制</w:t>
      </w:r>
      <w:r>
        <w:rPr>
          <w:rFonts w:hint="eastAsia" w:ascii="仿宋_GB2312" w:eastAsia="仿宋_GB2312"/>
          <w:sz w:val="30"/>
          <w:szCs w:val="30"/>
        </w:rPr>
        <w:t>/</w:t>
      </w:r>
      <w:r>
        <w:rPr>
          <w:rFonts w:hint="eastAsia" w:ascii="仿宋_GB2312" w:hAnsi="宋体" w:eastAsia="仿宋_GB2312" w:cs="Arial"/>
          <w:kern w:val="0"/>
          <w:sz w:val="30"/>
          <w:szCs w:val="30"/>
        </w:rPr>
        <w:t>人（含行政工勤编制</w:t>
      </w:r>
      <w:r>
        <w:rPr>
          <w:rFonts w:hint="eastAsia" w:ascii="仿宋_GB2312" w:eastAsia="仿宋_GB2312"/>
          <w:sz w:val="30"/>
          <w:szCs w:val="30"/>
        </w:rPr>
        <w:t>/</w:t>
      </w:r>
      <w:r>
        <w:rPr>
          <w:rFonts w:hint="eastAsia" w:ascii="仿宋_GB2312" w:hAnsi="宋体" w:eastAsia="仿宋_GB2312" w:cs="Arial"/>
          <w:kern w:val="0"/>
          <w:sz w:val="30"/>
          <w:szCs w:val="30"/>
        </w:rPr>
        <w:t>人），事业编制</w:t>
      </w:r>
      <w:r>
        <w:rPr>
          <w:rFonts w:hint="eastAsia" w:ascii="仿宋_GB2312" w:eastAsia="仿宋_GB2312"/>
          <w:sz w:val="30"/>
          <w:szCs w:val="30"/>
        </w:rPr>
        <w:t>16</w:t>
      </w:r>
      <w:r>
        <w:rPr>
          <w:rFonts w:hint="eastAsia" w:ascii="仿宋_GB2312" w:hAnsi="宋体" w:eastAsia="仿宋_GB2312" w:cs="Arial"/>
          <w:kern w:val="0"/>
          <w:sz w:val="30"/>
          <w:szCs w:val="30"/>
        </w:rPr>
        <w:t>人（含参公管理事业编制</w:t>
      </w:r>
      <w:r>
        <w:rPr>
          <w:rFonts w:hint="eastAsia" w:ascii="仿宋_GB2312" w:eastAsia="仿宋_GB2312"/>
          <w:sz w:val="30"/>
          <w:szCs w:val="30"/>
        </w:rPr>
        <w:t>/</w:t>
      </w:r>
      <w:r>
        <w:rPr>
          <w:rFonts w:hint="eastAsia" w:ascii="仿宋_GB2312" w:hAnsi="宋体" w:eastAsia="仿宋_GB2312" w:cs="Arial"/>
          <w:kern w:val="0"/>
          <w:sz w:val="30"/>
          <w:szCs w:val="30"/>
        </w:rPr>
        <w:t>人）；在职在编实有行政人员</w:t>
      </w:r>
      <w:r>
        <w:rPr>
          <w:rFonts w:hint="eastAsia" w:ascii="仿宋_GB2312" w:eastAsia="仿宋_GB2312"/>
          <w:sz w:val="30"/>
          <w:szCs w:val="30"/>
        </w:rPr>
        <w:t>/</w:t>
      </w:r>
      <w:r>
        <w:rPr>
          <w:rFonts w:hint="eastAsia" w:ascii="仿宋_GB2312" w:hAnsi="宋体" w:eastAsia="仿宋_GB2312" w:cs="Arial"/>
          <w:kern w:val="0"/>
          <w:sz w:val="30"/>
          <w:szCs w:val="30"/>
        </w:rPr>
        <w:t>人（含行政工勤人员</w:t>
      </w:r>
      <w:r>
        <w:rPr>
          <w:rFonts w:hint="eastAsia" w:ascii="仿宋_GB2312" w:eastAsia="仿宋_GB2312"/>
          <w:sz w:val="30"/>
          <w:szCs w:val="30"/>
        </w:rPr>
        <w:t>/</w:t>
      </w:r>
      <w:r>
        <w:rPr>
          <w:rFonts w:hint="eastAsia" w:ascii="仿宋_GB2312" w:hAnsi="宋体" w:eastAsia="仿宋_GB2312" w:cs="Arial"/>
          <w:kern w:val="0"/>
          <w:sz w:val="30"/>
          <w:szCs w:val="30"/>
        </w:rPr>
        <w:t>人），事业人员</w:t>
      </w:r>
      <w:r>
        <w:rPr>
          <w:rFonts w:hint="eastAsia" w:ascii="仿宋_GB2312" w:eastAsia="仿宋_GB2312"/>
          <w:sz w:val="30"/>
          <w:szCs w:val="30"/>
        </w:rPr>
        <w:t>14</w:t>
      </w:r>
      <w:r>
        <w:rPr>
          <w:rFonts w:hint="eastAsia" w:ascii="仿宋_GB2312" w:hAnsi="宋体" w:eastAsia="仿宋_GB2312" w:cs="Arial"/>
          <w:kern w:val="0"/>
          <w:sz w:val="30"/>
          <w:szCs w:val="30"/>
        </w:rPr>
        <w:t>人（含参公管理事业人员</w:t>
      </w:r>
      <w:r>
        <w:rPr>
          <w:rFonts w:hint="eastAsia" w:ascii="仿宋_GB2312" w:eastAsia="仿宋_GB2312"/>
          <w:sz w:val="30"/>
          <w:szCs w:val="30"/>
        </w:rPr>
        <w:t>/</w:t>
      </w:r>
      <w:r>
        <w:rPr>
          <w:rFonts w:hint="eastAsia" w:ascii="仿宋_GB2312" w:hAnsi="宋体" w:eastAsia="仿宋_GB2312" w:cs="Arial"/>
          <w:kern w:val="0"/>
          <w:sz w:val="30"/>
          <w:szCs w:val="30"/>
        </w:rPr>
        <w:t>人）。其他人员</w:t>
      </w:r>
      <w:r>
        <w:rPr>
          <w:rFonts w:hint="eastAsia" w:ascii="仿宋_GB2312" w:eastAsia="仿宋_GB2312"/>
          <w:sz w:val="30"/>
          <w:szCs w:val="30"/>
        </w:rPr>
        <w:t>/人，主要是……</w:t>
      </w:r>
    </w:p>
    <w:p>
      <w:pPr>
        <w:spacing w:line="600" w:lineRule="exact"/>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rPr>
        <w:t>离退休人员</w:t>
      </w:r>
      <w:r>
        <w:rPr>
          <w:rFonts w:hint="eastAsia" w:ascii="仿宋_GB2312" w:eastAsia="仿宋_GB2312"/>
          <w:sz w:val="30"/>
          <w:szCs w:val="30"/>
        </w:rPr>
        <w:t>5</w:t>
      </w:r>
      <w:r>
        <w:rPr>
          <w:rFonts w:hint="eastAsia" w:ascii="仿宋_GB2312" w:hAnsi="宋体" w:eastAsia="仿宋_GB2312" w:cs="Arial"/>
          <w:kern w:val="0"/>
          <w:sz w:val="30"/>
          <w:szCs w:val="30"/>
        </w:rPr>
        <w:t>人。其中：离休</w:t>
      </w:r>
      <w:r>
        <w:rPr>
          <w:rFonts w:hint="eastAsia" w:ascii="仿宋_GB2312" w:eastAsia="仿宋_GB2312"/>
          <w:sz w:val="30"/>
          <w:szCs w:val="30"/>
        </w:rPr>
        <w:t>/</w:t>
      </w:r>
      <w:r>
        <w:rPr>
          <w:rFonts w:hint="eastAsia" w:ascii="仿宋_GB2312" w:hAnsi="宋体" w:eastAsia="仿宋_GB2312" w:cs="Arial"/>
          <w:kern w:val="0"/>
          <w:sz w:val="30"/>
          <w:szCs w:val="30"/>
        </w:rPr>
        <w:t>人，退休</w:t>
      </w:r>
      <w:r>
        <w:rPr>
          <w:rFonts w:hint="eastAsia" w:ascii="仿宋_GB2312" w:eastAsia="仿宋_GB2312"/>
          <w:sz w:val="30"/>
          <w:szCs w:val="30"/>
        </w:rPr>
        <w:t>5</w:t>
      </w:r>
      <w:r>
        <w:rPr>
          <w:rFonts w:hint="eastAsia" w:ascii="仿宋_GB2312" w:hAnsi="宋体" w:eastAsia="仿宋_GB2312" w:cs="Arial"/>
          <w:kern w:val="0"/>
          <w:sz w:val="30"/>
          <w:szCs w:val="30"/>
        </w:rPr>
        <w:t>人。</w:t>
      </w:r>
    </w:p>
    <w:p>
      <w:pPr>
        <w:spacing w:line="600" w:lineRule="exact"/>
        <w:ind w:firstLine="420" w:firstLineChars="200"/>
        <w:rPr>
          <w:rFonts w:hint="eastAsia" w:ascii="仿宋_GB2312" w:hAnsi="宋体" w:eastAsia="仿宋_GB2312" w:cs="Arial"/>
          <w:kern w:val="0"/>
          <w:sz w:val="30"/>
          <w:szCs w:val="30"/>
        </w:rPr>
      </w:pPr>
      <w:r>
        <w:drawing>
          <wp:anchor distT="0" distB="0" distL="114300" distR="114300" simplePos="0" relativeHeight="251658240" behindDoc="0" locked="0" layoutInCell="1" allowOverlap="1">
            <wp:simplePos x="0" y="0"/>
            <wp:positionH relativeFrom="column">
              <wp:posOffset>387985</wp:posOffset>
            </wp:positionH>
            <wp:positionV relativeFrom="paragraph">
              <wp:posOffset>876300</wp:posOffset>
            </wp:positionV>
            <wp:extent cx="4572635" cy="2746375"/>
            <wp:effectExtent l="4445" t="4445" r="13970" b="11430"/>
            <wp:wrapSquare wrapText="bothSides"/>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宋体" w:eastAsia="仿宋_GB2312" w:cs="Arial"/>
          <w:kern w:val="0"/>
          <w:sz w:val="30"/>
          <w:szCs w:val="30"/>
        </w:rPr>
        <w:t>实有车辆编制</w:t>
      </w:r>
      <w:r>
        <w:rPr>
          <w:rFonts w:hint="eastAsia" w:ascii="仿宋_GB2312" w:eastAsia="仿宋_GB2312"/>
          <w:sz w:val="30"/>
          <w:szCs w:val="30"/>
        </w:rPr>
        <w:t>2</w:t>
      </w:r>
      <w:r>
        <w:rPr>
          <w:rFonts w:hint="eastAsia" w:ascii="仿宋_GB2312" w:hAnsi="宋体" w:eastAsia="仿宋_GB2312" w:cs="Arial"/>
          <w:kern w:val="0"/>
          <w:sz w:val="30"/>
          <w:szCs w:val="30"/>
        </w:rPr>
        <w:t>辆，在编实有车辆</w:t>
      </w:r>
      <w:r>
        <w:rPr>
          <w:rFonts w:hint="eastAsia" w:ascii="仿宋_GB2312" w:eastAsia="仿宋_GB2312"/>
          <w:sz w:val="30"/>
          <w:szCs w:val="30"/>
        </w:rPr>
        <w:t>2</w:t>
      </w:r>
      <w:r>
        <w:rPr>
          <w:rFonts w:hint="eastAsia" w:ascii="仿宋_GB2312" w:hAnsi="宋体" w:eastAsia="仿宋_GB2312" w:cs="Arial"/>
          <w:kern w:val="0"/>
          <w:sz w:val="30"/>
          <w:szCs w:val="30"/>
        </w:rPr>
        <w:t>辆。</w:t>
      </w: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Arial" w:eastAsia="仿宋_GB2312" w:cs="Arial"/>
          <w:kern w:val="0"/>
          <w:sz w:val="30"/>
          <w:szCs w:val="30"/>
        </w:rPr>
      </w:pPr>
      <w:r>
        <w:rPr>
          <w:rFonts w:hint="eastAsia" w:ascii="仿宋_GB2312" w:hAnsi="宋体" w:eastAsia="仿宋_GB2312" w:cs="Arial"/>
          <w:kern w:val="0"/>
          <w:sz w:val="30"/>
          <w:szCs w:val="30"/>
        </w:rPr>
        <w:t>（各部门可结合实际制作基本情况分布图表等）</w:t>
      </w:r>
    </w:p>
    <w:p>
      <w:pPr>
        <w:jc w:val="center"/>
        <w:rPr>
          <w:rFonts w:hint="eastAsia" w:ascii="黑体" w:hAnsi="黑体" w:eastAsia="黑体"/>
          <w:sz w:val="32"/>
          <w:szCs w:val="32"/>
        </w:rPr>
      </w:pPr>
      <w:r>
        <w:rPr>
          <w:rFonts w:hint="eastAsia" w:ascii="黑体" w:hAnsi="黑体" w:eastAsia="黑体"/>
          <w:sz w:val="32"/>
          <w:szCs w:val="32"/>
        </w:rPr>
        <w:t>第二部分  2019年度部门决算表</w:t>
      </w:r>
    </w:p>
    <w:p>
      <w:pPr>
        <w:spacing w:line="600" w:lineRule="exact"/>
        <w:ind w:firstLine="600" w:firstLineChars="200"/>
        <w:jc w:val="center"/>
        <w:rPr>
          <w:rFonts w:hint="eastAsia" w:ascii="仿宋_GB2312" w:eastAsia="仿宋_GB2312"/>
          <w:sz w:val="30"/>
          <w:szCs w:val="30"/>
        </w:rPr>
      </w:pPr>
      <w:r>
        <w:rPr>
          <w:rFonts w:hint="eastAsia" w:ascii="仿宋_GB2312" w:eastAsia="仿宋_GB2312"/>
          <w:sz w:val="30"/>
          <w:szCs w:val="30"/>
        </w:rPr>
        <w:t>（详见附件）</w:t>
      </w:r>
    </w:p>
    <w:p>
      <w:pPr>
        <w:ind w:firstLine="900" w:firstLineChars="300"/>
        <w:rPr>
          <w:rFonts w:hint="eastAsia" w:ascii="仿宋_GB2312" w:eastAsia="仿宋_GB2312"/>
          <w:sz w:val="30"/>
          <w:szCs w:val="30"/>
        </w:rPr>
      </w:pPr>
    </w:p>
    <w:p>
      <w:pPr>
        <w:ind w:firstLine="960" w:firstLineChars="300"/>
        <w:rPr>
          <w:rFonts w:hint="eastAsia" w:ascii="黑体" w:hAnsi="黑体" w:eastAsia="黑体"/>
          <w:sz w:val="32"/>
          <w:szCs w:val="32"/>
        </w:rPr>
      </w:pPr>
      <w:r>
        <w:rPr>
          <w:rFonts w:hint="eastAsia" w:ascii="黑体" w:hAnsi="黑体" w:eastAsia="黑体"/>
          <w:sz w:val="32"/>
          <w:szCs w:val="32"/>
        </w:rPr>
        <w:t>第三部分  2019年度部门决算情况说明</w:t>
      </w:r>
    </w:p>
    <w:p>
      <w:pPr>
        <w:ind w:firstLine="600" w:firstLineChars="200"/>
        <w:jc w:val="left"/>
        <w:rPr>
          <w:rFonts w:hint="eastAsia" w:ascii="黑体" w:hAnsi="黑体" w:eastAsia="黑体"/>
          <w:sz w:val="30"/>
          <w:szCs w:val="30"/>
        </w:rPr>
      </w:pPr>
      <w:r>
        <w:rPr>
          <w:rFonts w:hint="eastAsia" w:ascii="黑体" w:hAnsi="黑体" w:eastAsia="黑体"/>
          <w:sz w:val="30"/>
          <w:szCs w:val="30"/>
        </w:rPr>
        <w:t>一、收入决算情况说明</w:t>
      </w:r>
    </w:p>
    <w:p>
      <w:pPr>
        <w:widowControl/>
        <w:snapToGrid w:val="0"/>
        <w:spacing w:before="100" w:after="100" w:line="600" w:lineRule="exact"/>
        <w:ind w:firstLine="538"/>
        <w:jc w:val="left"/>
        <w:rPr>
          <w:rFonts w:hint="eastAsia" w:ascii="仿宋_GB2312" w:eastAsia="仿宋_GB2312"/>
          <w:sz w:val="30"/>
          <w:szCs w:val="30"/>
        </w:rPr>
      </w:pPr>
      <w:r>
        <w:rPr>
          <w:rFonts w:hint="eastAsia" w:ascii="仿宋_GB2312" w:eastAsia="仿宋_GB2312"/>
          <w:sz w:val="30"/>
          <w:szCs w:val="30"/>
        </w:rPr>
        <w:t>德宏州植保植检站2019年度收入合计271.63万元。其中：财政拨款收入268.83万元，占总收入的98.97%；上级补助收入/万元，占总收入的/%；事业收入/万元（含教育收费/万元），占总收入的/%；经营收入/万元，占总收入的/%；附属单位缴款收入/万元，占总收入的/%；其他收入2.8万元，占总收入的1.03%。与上年对比总收入合计增加5.19万元，其中财政拨款收入增加14.34万元，其他收入减少9.15万元，主要原因分析人员工资、住房公积金自然增减变动。</w:t>
      </w:r>
    </w:p>
    <w:p>
      <w:pPr>
        <w:widowControl/>
        <w:snapToGrid w:val="0"/>
        <w:spacing w:before="100" w:after="100" w:line="600" w:lineRule="exact"/>
        <w:ind w:firstLine="538"/>
        <w:jc w:val="left"/>
        <w:rPr>
          <w:rFonts w:hint="eastAsia" w:ascii="仿宋_GB2312" w:hAnsi="宋体" w:eastAsia="仿宋_GB2312" w:cs="Arial"/>
          <w:kern w:val="0"/>
          <w:sz w:val="30"/>
          <w:szCs w:val="30"/>
        </w:rPr>
      </w:pPr>
      <w:r>
        <w:drawing>
          <wp:anchor distT="0" distB="0" distL="114300" distR="114300" simplePos="0" relativeHeight="251659264" behindDoc="0" locked="0" layoutInCell="1" allowOverlap="1">
            <wp:simplePos x="0" y="0"/>
            <wp:positionH relativeFrom="column">
              <wp:posOffset>471805</wp:posOffset>
            </wp:positionH>
            <wp:positionV relativeFrom="paragraph">
              <wp:posOffset>297815</wp:posOffset>
            </wp:positionV>
            <wp:extent cx="4572635" cy="2746375"/>
            <wp:effectExtent l="4445" t="4445" r="13970" b="11430"/>
            <wp:wrapSquare wrapText="bothSides"/>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widowControl/>
        <w:snapToGrid w:val="0"/>
        <w:spacing w:before="100" w:after="100" w:line="600" w:lineRule="exact"/>
        <w:ind w:firstLine="538"/>
        <w:jc w:val="left"/>
        <w:rPr>
          <w:rFonts w:hint="eastAsia" w:ascii="仿宋_GB2312" w:hAnsi="宋体" w:eastAsia="仿宋_GB2312" w:cs="Arial"/>
          <w:kern w:val="0"/>
          <w:sz w:val="30"/>
          <w:szCs w:val="30"/>
        </w:rPr>
      </w:pPr>
    </w:p>
    <w:p>
      <w:pPr>
        <w:widowControl/>
        <w:snapToGrid w:val="0"/>
        <w:spacing w:before="100" w:after="100" w:line="600" w:lineRule="exact"/>
        <w:ind w:firstLine="538"/>
        <w:jc w:val="left"/>
        <w:rPr>
          <w:rFonts w:hint="eastAsia" w:ascii="仿宋_GB2312" w:hAnsi="宋体" w:eastAsia="仿宋_GB2312" w:cs="Arial"/>
          <w:kern w:val="0"/>
          <w:sz w:val="30"/>
          <w:szCs w:val="30"/>
        </w:rPr>
      </w:pPr>
    </w:p>
    <w:p>
      <w:pPr>
        <w:widowControl/>
        <w:snapToGrid w:val="0"/>
        <w:spacing w:before="100" w:after="100" w:line="600" w:lineRule="exact"/>
        <w:ind w:firstLine="538"/>
        <w:jc w:val="left"/>
        <w:rPr>
          <w:rFonts w:hint="eastAsia" w:ascii="仿宋_GB2312" w:hAnsi="宋体" w:eastAsia="仿宋_GB2312" w:cs="Arial"/>
          <w:kern w:val="0"/>
          <w:sz w:val="30"/>
          <w:szCs w:val="30"/>
        </w:rPr>
      </w:pPr>
    </w:p>
    <w:p>
      <w:pPr>
        <w:widowControl/>
        <w:snapToGrid w:val="0"/>
        <w:spacing w:before="100" w:after="100" w:line="600" w:lineRule="exact"/>
        <w:ind w:firstLine="538"/>
        <w:jc w:val="left"/>
        <w:rPr>
          <w:rFonts w:hint="eastAsia" w:ascii="仿宋_GB2312" w:hAnsi="宋体" w:eastAsia="仿宋_GB2312" w:cs="Arial"/>
          <w:kern w:val="0"/>
          <w:sz w:val="30"/>
          <w:szCs w:val="30"/>
        </w:rPr>
      </w:pPr>
    </w:p>
    <w:p>
      <w:pPr>
        <w:widowControl/>
        <w:snapToGrid w:val="0"/>
        <w:spacing w:before="100" w:after="100" w:line="600" w:lineRule="exact"/>
        <w:ind w:firstLine="538"/>
        <w:jc w:val="left"/>
        <w:rPr>
          <w:rFonts w:hint="eastAsia" w:ascii="仿宋_GB2312" w:hAnsi="宋体" w:eastAsia="仿宋_GB2312" w:cs="Arial"/>
          <w:kern w:val="0"/>
          <w:sz w:val="30"/>
          <w:szCs w:val="30"/>
        </w:rPr>
      </w:pPr>
    </w:p>
    <w:p>
      <w:pPr>
        <w:widowControl/>
        <w:snapToGrid w:val="0"/>
        <w:spacing w:before="100" w:after="100" w:line="600" w:lineRule="exact"/>
        <w:jc w:val="left"/>
        <w:rPr>
          <w:rFonts w:hint="eastAsia" w:ascii="仿宋_GB2312" w:hAnsi="宋体" w:eastAsia="仿宋_GB2312" w:cs="Arial"/>
          <w:kern w:val="0"/>
          <w:sz w:val="30"/>
          <w:szCs w:val="30"/>
        </w:rPr>
      </w:pPr>
    </w:p>
    <w:p>
      <w:pPr>
        <w:widowControl/>
        <w:snapToGrid w:val="0"/>
        <w:spacing w:before="100" w:after="100" w:line="600" w:lineRule="exact"/>
        <w:ind w:firstLine="538"/>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（各部门可结合实际制作收入占比分布图表）</w:t>
      </w:r>
    </w:p>
    <w:p>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pPr>
        <w:spacing w:line="600" w:lineRule="exact"/>
        <w:ind w:firstLine="600" w:firstLineChars="200"/>
        <w:rPr>
          <w:rFonts w:hint="eastAsia" w:ascii="仿宋_GB2312" w:hAnsi="宋体" w:eastAsia="仿宋_GB2312" w:cs="Arial"/>
          <w:kern w:val="0"/>
          <w:sz w:val="30"/>
          <w:szCs w:val="30"/>
        </w:rPr>
      </w:pPr>
      <w:r>
        <w:rPr>
          <w:rFonts w:hint="eastAsia" w:ascii="仿宋_GB2312" w:eastAsia="仿宋_GB2312"/>
          <w:sz w:val="30"/>
          <w:szCs w:val="30"/>
        </w:rPr>
        <w:t>德宏州植保植检站2019年度支出合计279.97万元。其中：</w:t>
      </w:r>
      <w:r>
        <w:rPr>
          <w:rFonts w:hint="eastAsia" w:ascii="仿宋_GB2312" w:hAnsi="宋体" w:eastAsia="仿宋_GB2312" w:cs="Arial"/>
          <w:kern w:val="0"/>
          <w:sz w:val="30"/>
          <w:szCs w:val="30"/>
        </w:rPr>
        <w:t>基本支出</w:t>
      </w:r>
      <w:r>
        <w:rPr>
          <w:rFonts w:hint="eastAsia" w:ascii="仿宋_GB2312" w:eastAsia="仿宋_GB2312"/>
          <w:sz w:val="30"/>
          <w:szCs w:val="30"/>
        </w:rPr>
        <w:t>213.48</w:t>
      </w:r>
      <w:r>
        <w:rPr>
          <w:rFonts w:hint="eastAsia" w:ascii="仿宋_GB2312" w:hAnsi="宋体" w:eastAsia="仿宋_GB2312" w:cs="Arial"/>
          <w:kern w:val="0"/>
          <w:sz w:val="30"/>
          <w:szCs w:val="30"/>
        </w:rPr>
        <w:t>万元，占总支出的</w:t>
      </w:r>
      <w:r>
        <w:rPr>
          <w:rFonts w:hint="eastAsia" w:ascii="仿宋_GB2312" w:eastAsia="仿宋_GB2312"/>
          <w:sz w:val="30"/>
          <w:szCs w:val="30"/>
        </w:rPr>
        <w:t>76.25</w:t>
      </w:r>
      <w:r>
        <w:rPr>
          <w:rFonts w:hint="eastAsia" w:ascii="仿宋_GB2312" w:hAnsi="宋体" w:eastAsia="仿宋_GB2312" w:cs="Arial"/>
          <w:kern w:val="0"/>
          <w:sz w:val="30"/>
          <w:szCs w:val="30"/>
        </w:rPr>
        <w:t>％；项目支出</w:t>
      </w:r>
      <w:r>
        <w:rPr>
          <w:rFonts w:hint="eastAsia" w:ascii="仿宋_GB2312" w:eastAsia="仿宋_GB2312"/>
          <w:sz w:val="30"/>
          <w:szCs w:val="30"/>
        </w:rPr>
        <w:t>66.49</w:t>
      </w:r>
      <w:r>
        <w:rPr>
          <w:rFonts w:hint="eastAsia" w:ascii="仿宋_GB2312" w:hAnsi="宋体" w:eastAsia="仿宋_GB2312" w:cs="Arial"/>
          <w:kern w:val="0"/>
          <w:sz w:val="30"/>
          <w:szCs w:val="30"/>
        </w:rPr>
        <w:t>万元，占总支出的</w:t>
      </w:r>
      <w:r>
        <w:rPr>
          <w:rFonts w:hint="eastAsia" w:ascii="仿宋_GB2312" w:eastAsia="仿宋_GB2312"/>
          <w:sz w:val="30"/>
          <w:szCs w:val="30"/>
        </w:rPr>
        <w:t>23.75</w:t>
      </w:r>
      <w:r>
        <w:rPr>
          <w:rFonts w:hint="eastAsia" w:ascii="仿宋_GB2312" w:hAnsi="宋体" w:eastAsia="仿宋_GB2312" w:cs="Arial"/>
          <w:kern w:val="0"/>
          <w:sz w:val="30"/>
          <w:szCs w:val="30"/>
        </w:rPr>
        <w:t>％；上缴上级支出、经营支出、对附属单位补助支出共</w:t>
      </w:r>
      <w:r>
        <w:rPr>
          <w:rFonts w:hint="eastAsia" w:ascii="仿宋_GB2312" w:eastAsia="仿宋_GB2312"/>
          <w:sz w:val="30"/>
          <w:szCs w:val="30"/>
        </w:rPr>
        <w:t>/</w:t>
      </w:r>
      <w:r>
        <w:rPr>
          <w:rFonts w:hint="eastAsia" w:ascii="仿宋_GB2312" w:hAnsi="宋体" w:eastAsia="仿宋_GB2312" w:cs="Arial"/>
          <w:kern w:val="0"/>
          <w:sz w:val="30"/>
          <w:szCs w:val="30"/>
        </w:rPr>
        <w:t>万元，占总支出的</w:t>
      </w:r>
      <w:r>
        <w:rPr>
          <w:rFonts w:hint="eastAsia" w:ascii="仿宋_GB2312" w:eastAsia="仿宋_GB2312"/>
          <w:sz w:val="30"/>
          <w:szCs w:val="30"/>
        </w:rPr>
        <w:t>/</w:t>
      </w:r>
      <w:r>
        <w:rPr>
          <w:rFonts w:hint="eastAsia" w:ascii="仿宋_GB2312" w:hAnsi="宋体" w:eastAsia="仿宋_GB2312" w:cs="Arial"/>
          <w:kern w:val="0"/>
          <w:sz w:val="30"/>
          <w:szCs w:val="30"/>
        </w:rPr>
        <w:t>％。</w:t>
      </w:r>
      <w:r>
        <w:rPr>
          <w:rFonts w:hint="eastAsia" w:ascii="仿宋_GB2312" w:eastAsia="仿宋_GB2312"/>
          <w:sz w:val="30"/>
          <w:szCs w:val="30"/>
        </w:rPr>
        <w:t>与上年对比总支出增加20.25万元,其中基本支出增加14.6万元，项目支出增加34.85万元，主要原因分析人员工资、住房公积金自然增减变动以及项目增多。</w:t>
      </w:r>
    </w:p>
    <w:p>
      <w:pPr>
        <w:spacing w:line="600" w:lineRule="exact"/>
        <w:ind w:firstLine="420" w:firstLineChars="200"/>
        <w:rPr>
          <w:rFonts w:hint="eastAsia" w:ascii="仿宋_GB2312" w:hAnsi="宋体" w:eastAsia="仿宋_GB2312" w:cs="Arial"/>
          <w:kern w:val="0"/>
          <w:sz w:val="30"/>
          <w:szCs w:val="30"/>
        </w:rPr>
      </w:pPr>
      <w:r>
        <w:drawing>
          <wp:anchor distT="0" distB="0" distL="114300" distR="114300" simplePos="0" relativeHeight="251660288" behindDoc="0" locked="0" layoutInCell="1" allowOverlap="1">
            <wp:simplePos x="0" y="0"/>
            <wp:positionH relativeFrom="column">
              <wp:posOffset>207645</wp:posOffset>
            </wp:positionH>
            <wp:positionV relativeFrom="paragraph">
              <wp:posOffset>-240030</wp:posOffset>
            </wp:positionV>
            <wp:extent cx="4572635" cy="2746375"/>
            <wp:effectExtent l="4445" t="4445" r="13970" b="11430"/>
            <wp:wrapSquare wrapText="bothSides"/>
            <wp:docPr id="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宋体" w:eastAsia="仿宋_GB2312" w:cs="Arial"/>
          <w:kern w:val="0"/>
          <w:sz w:val="30"/>
          <w:szCs w:val="30"/>
        </w:rPr>
      </w:pPr>
    </w:p>
    <w:p>
      <w:pPr>
        <w:spacing w:line="600" w:lineRule="exact"/>
        <w:rPr>
          <w:rFonts w:hint="eastAsia" w:ascii="仿宋_GB2312" w:eastAsia="仿宋_GB2312"/>
          <w:sz w:val="30"/>
          <w:szCs w:val="30"/>
        </w:rPr>
      </w:pPr>
      <w:r>
        <w:rPr>
          <w:rFonts w:hint="eastAsia" w:ascii="仿宋_GB2312" w:hAnsi="宋体" w:eastAsia="仿宋_GB2312" w:cs="Arial"/>
          <w:kern w:val="0"/>
          <w:sz w:val="30"/>
          <w:szCs w:val="30"/>
        </w:rPr>
        <w:t>（各部门可结合实际制作支出占比分布图表）</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（一）基本支出情况</w:t>
      </w:r>
    </w:p>
    <w:p>
      <w:pPr>
        <w:widowControl/>
        <w:snapToGrid w:val="0"/>
        <w:spacing w:before="100" w:after="100" w:line="600" w:lineRule="exact"/>
        <w:ind w:firstLine="600" w:firstLineChars="200"/>
        <w:jc w:val="left"/>
        <w:rPr>
          <w:rFonts w:hint="eastAsia" w:ascii="仿宋_GB2312" w:eastAsia="仿宋_GB2312"/>
          <w:sz w:val="30"/>
          <w:szCs w:val="30"/>
        </w:rPr>
      </w:pPr>
      <w:r>
        <w:rPr>
          <w:rFonts w:hint="eastAsia" w:ascii="仿宋_GB2312" w:eastAsia="仿宋_GB2312"/>
          <w:sz w:val="30"/>
          <w:szCs w:val="30"/>
        </w:rPr>
        <w:t>2019年度用于保障机关、下属事业单位等机构正常运转的日常支出213.48万元。与上年对比减少了14.6万元,主要原因分析基本支出的减少主要是人员工资、住房公积金自然增减变动因素、其他收入中的各项支出减少以及残疾人保障金减少。包括基本工资、津贴补贴等人员经费支出占基本支出的95.29％；办公费、印刷费、水电费、办公设备购置等日常公用经费占基本支出的4.71％。（人均情况由各部门自行确定）</w:t>
      </w:r>
    </w:p>
    <w:p>
      <w:pPr>
        <w:widowControl/>
        <w:snapToGrid w:val="0"/>
        <w:spacing w:before="100" w:after="100" w:line="600" w:lineRule="exact"/>
        <w:ind w:firstLine="420" w:firstLineChars="200"/>
        <w:jc w:val="left"/>
        <w:rPr>
          <w:rFonts w:hint="eastAsia" w:ascii="仿宋_GB2312" w:eastAsia="仿宋_GB2312"/>
          <w:sz w:val="30"/>
          <w:szCs w:val="30"/>
        </w:rPr>
      </w:pPr>
      <w:r>
        <w:drawing>
          <wp:anchor distT="0" distB="0" distL="114300" distR="114300" simplePos="0" relativeHeight="251661312" behindDoc="1" locked="0" layoutInCell="1" allowOverlap="1">
            <wp:simplePos x="0" y="0"/>
            <wp:positionH relativeFrom="column">
              <wp:posOffset>550545</wp:posOffset>
            </wp:positionH>
            <wp:positionV relativeFrom="paragraph">
              <wp:posOffset>20955</wp:posOffset>
            </wp:positionV>
            <wp:extent cx="4335145" cy="2599690"/>
            <wp:effectExtent l="4445" t="4445" r="22860" b="5715"/>
            <wp:wrapTight wrapText="bothSides">
              <wp:wrapPolygon>
                <wp:start x="-22" y="-37"/>
                <wp:lineTo x="-22" y="21489"/>
                <wp:lineTo x="21524" y="21489"/>
                <wp:lineTo x="21524" y="-37"/>
                <wp:lineTo x="-22" y="-37"/>
              </wp:wrapPolygon>
            </wp:wrapTight>
            <wp:docPr id="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widowControl/>
        <w:snapToGrid w:val="0"/>
        <w:spacing w:before="100" w:after="100" w:line="600" w:lineRule="exact"/>
        <w:ind w:firstLine="600" w:firstLineChars="200"/>
        <w:jc w:val="left"/>
        <w:rPr>
          <w:rFonts w:hint="eastAsia" w:ascii="仿宋_GB2312" w:eastAsia="仿宋_GB2312"/>
          <w:sz w:val="30"/>
          <w:szCs w:val="30"/>
        </w:rPr>
      </w:pPr>
    </w:p>
    <w:p>
      <w:pPr>
        <w:widowControl/>
        <w:snapToGrid w:val="0"/>
        <w:spacing w:before="100" w:after="100" w:line="600" w:lineRule="exact"/>
        <w:ind w:firstLine="600" w:firstLineChars="200"/>
        <w:jc w:val="left"/>
        <w:rPr>
          <w:rFonts w:hint="eastAsia" w:ascii="仿宋_GB2312" w:eastAsia="仿宋_GB2312"/>
          <w:sz w:val="30"/>
          <w:szCs w:val="30"/>
        </w:rPr>
      </w:pPr>
    </w:p>
    <w:p>
      <w:pPr>
        <w:widowControl/>
        <w:snapToGrid w:val="0"/>
        <w:spacing w:before="100" w:after="100" w:line="600" w:lineRule="exact"/>
        <w:ind w:firstLine="600" w:firstLineChars="200"/>
        <w:jc w:val="left"/>
        <w:rPr>
          <w:rFonts w:hint="eastAsia" w:ascii="仿宋_GB2312" w:eastAsia="仿宋_GB2312"/>
          <w:sz w:val="30"/>
          <w:szCs w:val="30"/>
        </w:rPr>
      </w:pPr>
    </w:p>
    <w:p>
      <w:pPr>
        <w:widowControl/>
        <w:snapToGrid w:val="0"/>
        <w:spacing w:before="100" w:after="100" w:line="600" w:lineRule="exact"/>
        <w:ind w:firstLine="538"/>
        <w:jc w:val="left"/>
        <w:rPr>
          <w:rFonts w:hint="eastAsia" w:ascii="仿宋_GB2312" w:eastAsia="仿宋_GB2312"/>
          <w:sz w:val="30"/>
          <w:szCs w:val="30"/>
        </w:rPr>
      </w:pPr>
      <w:r>
        <w:rPr>
          <w:rFonts w:hint="eastAsia" w:ascii="仿宋_GB2312" w:eastAsia="仿宋_GB2312"/>
          <w:sz w:val="30"/>
          <w:szCs w:val="30"/>
        </w:rPr>
        <w:t>（各部门可结合实际制作支出分布图表等）</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（二）项目支出情况</w:t>
      </w:r>
    </w:p>
    <w:p>
      <w:pPr>
        <w:widowControl/>
        <w:snapToGrid w:val="0"/>
        <w:spacing w:before="100" w:after="100" w:line="600" w:lineRule="exact"/>
        <w:ind w:firstLine="600" w:firstLineChars="200"/>
        <w:jc w:val="left"/>
        <w:rPr>
          <w:rFonts w:hint="eastAsia" w:ascii="仿宋_GB2312" w:eastAsia="仿宋_GB2312"/>
          <w:sz w:val="30"/>
          <w:szCs w:val="30"/>
        </w:rPr>
      </w:pPr>
      <w:r>
        <w:rPr>
          <w:rFonts w:hint="eastAsia" w:ascii="仿宋_GB2312" w:eastAsia="仿宋_GB2312"/>
          <w:sz w:val="30"/>
          <w:szCs w:val="30"/>
        </w:rPr>
        <w:t>2019年度用于保障机构、下属事业单位等机构为完成特定的行政工作任务或事业发展目标，用于专项业务工作的经费支出66.49万元。与上年对比</w:t>
      </w:r>
      <w:r>
        <w:rPr>
          <w:rFonts w:hint="eastAsia" w:ascii="黑体" w:hAnsi="黑体" w:eastAsia="黑体"/>
          <w:sz w:val="32"/>
          <w:szCs w:val="32"/>
        </w:rPr>
        <w:t>增加34.85万元</w:t>
      </w:r>
      <w:r>
        <w:rPr>
          <w:rFonts w:hint="eastAsia" w:ascii="仿宋_GB2312" w:eastAsia="仿宋_GB2312"/>
          <w:sz w:val="30"/>
          <w:szCs w:val="30"/>
        </w:rPr>
        <w:t>,主要原因分析是项目增多。具体项目开支及开展工作情况：</w:t>
      </w:r>
    </w:p>
    <w:p>
      <w:pPr>
        <w:widowControl/>
        <w:snapToGrid w:val="0"/>
        <w:spacing w:before="100" w:after="100" w:line="600" w:lineRule="exact"/>
        <w:ind w:firstLine="600" w:firstLineChars="200"/>
        <w:jc w:val="left"/>
        <w:rPr>
          <w:rFonts w:hint="eastAsia" w:ascii="仿宋_GB2312" w:eastAsia="仿宋_GB2312"/>
          <w:sz w:val="30"/>
          <w:szCs w:val="30"/>
        </w:rPr>
      </w:pPr>
      <w:r>
        <w:rPr>
          <w:rFonts w:hint="eastAsia" w:ascii="仿宋_GB2312" w:eastAsia="仿宋_GB2312"/>
          <w:sz w:val="30"/>
          <w:szCs w:val="30"/>
        </w:rPr>
        <w:t>项目开支情况：</w:t>
      </w:r>
    </w:p>
    <w:p>
      <w:pPr>
        <w:widowControl/>
        <w:numPr>
          <w:ilvl w:val="0"/>
          <w:numId w:val="1"/>
        </w:numPr>
        <w:snapToGrid w:val="0"/>
        <w:spacing w:before="100" w:after="100" w:line="600" w:lineRule="exact"/>
        <w:jc w:val="left"/>
        <w:rPr>
          <w:rFonts w:hint="eastAsia" w:ascii="仿宋_GB2312" w:eastAsia="仿宋_GB2312"/>
          <w:sz w:val="30"/>
          <w:szCs w:val="30"/>
        </w:rPr>
      </w:pPr>
      <w:r>
        <w:rPr>
          <w:rFonts w:hint="eastAsia" w:ascii="仿宋_GB2312" w:eastAsia="仿宋_GB2312"/>
          <w:sz w:val="30"/>
          <w:szCs w:val="30"/>
        </w:rPr>
        <w:t>农作物病虫害防控、夏玉米高产创建项目支出6.23万元，用于邮电费、差旅费、培训费、劳务费。</w:t>
      </w:r>
    </w:p>
    <w:p>
      <w:pPr>
        <w:widowControl/>
        <w:numPr>
          <w:ilvl w:val="0"/>
          <w:numId w:val="1"/>
        </w:numPr>
        <w:snapToGrid w:val="0"/>
        <w:spacing w:before="100" w:after="100" w:line="600" w:lineRule="exact"/>
        <w:jc w:val="left"/>
        <w:rPr>
          <w:rFonts w:hint="eastAsia" w:ascii="仿宋_GB2312" w:eastAsia="仿宋_GB2312"/>
          <w:sz w:val="30"/>
          <w:szCs w:val="30"/>
        </w:rPr>
      </w:pPr>
      <w:r>
        <w:rPr>
          <w:rFonts w:hint="eastAsia" w:ascii="仿宋_GB2312" w:eastAsia="仿宋_GB2312"/>
          <w:sz w:val="30"/>
          <w:szCs w:val="30"/>
        </w:rPr>
        <w:t>粮食作物病虫鼠害减药控害综合防控项目支出30万元，用于办公费、邮电费、差旅费、租赁费、培训费、劳务费。</w:t>
      </w:r>
    </w:p>
    <w:p>
      <w:pPr>
        <w:widowControl/>
        <w:numPr>
          <w:ilvl w:val="0"/>
          <w:numId w:val="1"/>
        </w:numPr>
        <w:snapToGrid w:val="0"/>
        <w:spacing w:before="100" w:after="100" w:line="600" w:lineRule="exact"/>
        <w:jc w:val="left"/>
        <w:rPr>
          <w:rFonts w:hint="eastAsia" w:ascii="仿宋_GB2312" w:eastAsia="仿宋_GB2312"/>
          <w:sz w:val="30"/>
          <w:szCs w:val="30"/>
        </w:rPr>
      </w:pPr>
      <w:r>
        <w:rPr>
          <w:rFonts w:hint="eastAsia" w:ascii="仿宋_GB2312" w:eastAsia="仿宋_GB2312"/>
          <w:sz w:val="30"/>
          <w:szCs w:val="30"/>
        </w:rPr>
        <w:t>草地贪夜蛾项目支出10万元，用于邮电费、差旅费、培训费、劳务费。</w:t>
      </w:r>
    </w:p>
    <w:p>
      <w:pPr>
        <w:widowControl/>
        <w:numPr>
          <w:ilvl w:val="0"/>
          <w:numId w:val="1"/>
        </w:numPr>
        <w:snapToGrid w:val="0"/>
        <w:spacing w:before="100" w:after="100" w:line="600" w:lineRule="exact"/>
        <w:jc w:val="left"/>
        <w:rPr>
          <w:rFonts w:hint="eastAsia" w:ascii="仿宋_GB2312" w:eastAsia="仿宋_GB2312"/>
          <w:sz w:val="30"/>
          <w:szCs w:val="30"/>
        </w:rPr>
      </w:pPr>
      <w:r>
        <w:rPr>
          <w:rFonts w:hint="eastAsia" w:ascii="仿宋_GB2312" w:eastAsia="仿宋_GB2312"/>
          <w:sz w:val="30"/>
          <w:szCs w:val="30"/>
        </w:rPr>
        <w:t>病虫害防治技术推广项目支出19.15万元，用于办公费、差旅费、培训费、劳务费。</w:t>
      </w:r>
    </w:p>
    <w:p>
      <w:pPr>
        <w:widowControl/>
        <w:numPr>
          <w:ilvl w:val="0"/>
          <w:numId w:val="1"/>
        </w:numPr>
        <w:snapToGrid w:val="0"/>
        <w:spacing w:before="100" w:after="100" w:line="600" w:lineRule="exact"/>
        <w:jc w:val="left"/>
        <w:rPr>
          <w:rFonts w:hint="eastAsia" w:ascii="仿宋_GB2312" w:eastAsia="仿宋_GB2312"/>
          <w:sz w:val="30"/>
          <w:szCs w:val="30"/>
        </w:rPr>
      </w:pPr>
      <w:r>
        <w:rPr>
          <w:rFonts w:hint="eastAsia" w:ascii="仿宋_GB2312" w:eastAsia="仿宋_GB2312"/>
          <w:sz w:val="30"/>
          <w:szCs w:val="30"/>
        </w:rPr>
        <w:t>农业污染源普查项目支出1.11万元，用于办公费、差旅费。</w:t>
      </w:r>
    </w:p>
    <w:p>
      <w:pPr>
        <w:widowControl/>
        <w:snapToGrid w:val="0"/>
        <w:spacing w:before="100" w:after="100" w:line="600" w:lineRule="exact"/>
        <w:ind w:left="600"/>
        <w:jc w:val="left"/>
        <w:rPr>
          <w:rFonts w:hint="eastAsia" w:ascii="仿宋_GB2312" w:eastAsia="仿宋_GB2312"/>
          <w:sz w:val="30"/>
          <w:szCs w:val="30"/>
        </w:rPr>
      </w:pPr>
      <w:r>
        <w:rPr>
          <w:rFonts w:hint="eastAsia" w:ascii="仿宋_GB2312" w:eastAsia="仿宋_GB2312"/>
          <w:sz w:val="30"/>
          <w:szCs w:val="30"/>
        </w:rPr>
        <w:t>开展工作情况：</w:t>
      </w:r>
    </w:p>
    <w:p>
      <w:pPr>
        <w:widowControl/>
        <w:snapToGrid w:val="0"/>
        <w:spacing w:before="100" w:after="100" w:line="600" w:lineRule="exact"/>
        <w:ind w:left="601" w:leftChars="286" w:firstLine="600" w:firstLineChars="200"/>
        <w:jc w:val="left"/>
        <w:rPr>
          <w:rFonts w:hint="eastAsia" w:ascii="仿宋_GB2312" w:eastAsia="仿宋_GB2312"/>
          <w:sz w:val="30"/>
          <w:szCs w:val="30"/>
        </w:rPr>
      </w:pPr>
      <w:r>
        <w:rPr>
          <w:rFonts w:hint="eastAsia" w:ascii="仿宋_GB2312" w:eastAsia="仿宋_GB2312"/>
          <w:sz w:val="30"/>
          <w:szCs w:val="30"/>
        </w:rPr>
        <w:t>根据“2019年云南省植物保护工作要点”、全州病虫害发生实况、州农业农村局的安排，及时进行工作布置，组织召开全州的工作会议，加强对各县市工作的检查督促，共组织防控草地贪夜蛾49.58万亩、建立138个监测点、组织召开256场次培训会、发放宣传资料4万余份。全州共组织防控农作物病虫草鼠害1023.42万亩次;开展调运农产品27批次，1695.3吨，苗木11批次，65.5万株;组织专业化防治及绿色防控278.51万亩次;大力推广无人机防控病虫害，购买无人机作业面积51.97万亩次; 2019年全州共使用农药1452.87吨（商品量）举办安全科学用药培训54场次，开展水稻、马铃薯、玉米、甘蔗四种作物126户农药使用调查，平均亩用量（商品量），水稻365.8克（毫升）、马铃薯866.59克（毫升）、玉米239.62克（毫升）、甘蔗3626.51克（毫升）。</w:t>
      </w:r>
    </w:p>
    <w:p>
      <w:pPr>
        <w:widowControl/>
        <w:snapToGrid w:val="0"/>
        <w:spacing w:before="100" w:after="100" w:line="600" w:lineRule="exact"/>
        <w:ind w:left="601" w:leftChars="286" w:firstLine="420" w:firstLineChars="200"/>
        <w:jc w:val="left"/>
        <w:rPr>
          <w:rFonts w:hint="eastAsia" w:ascii="仿宋_GB2312" w:eastAsia="仿宋_GB2312"/>
          <w:sz w:val="30"/>
          <w:szCs w:val="30"/>
        </w:rPr>
      </w:pPr>
      <w:r>
        <w:drawing>
          <wp:anchor distT="0" distB="0" distL="114300" distR="114300" simplePos="0" relativeHeight="251662336" behindDoc="0" locked="0" layoutInCell="1" allowOverlap="1">
            <wp:simplePos x="0" y="0"/>
            <wp:positionH relativeFrom="column">
              <wp:posOffset>483870</wp:posOffset>
            </wp:positionH>
            <wp:positionV relativeFrom="paragraph">
              <wp:posOffset>107315</wp:posOffset>
            </wp:positionV>
            <wp:extent cx="4572635" cy="2746375"/>
            <wp:effectExtent l="4445" t="4445" r="13970" b="11430"/>
            <wp:wrapSquare wrapText="bothSides"/>
            <wp:docPr id="5"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widowControl/>
        <w:snapToGrid w:val="0"/>
        <w:spacing w:before="100" w:after="100" w:line="600" w:lineRule="exact"/>
        <w:ind w:left="601" w:leftChars="286" w:firstLine="600" w:firstLineChars="200"/>
        <w:jc w:val="left"/>
        <w:rPr>
          <w:rFonts w:hint="eastAsia" w:ascii="仿宋_GB2312" w:eastAsia="仿宋_GB2312"/>
          <w:sz w:val="30"/>
          <w:szCs w:val="30"/>
        </w:rPr>
      </w:pPr>
    </w:p>
    <w:p>
      <w:pPr>
        <w:widowControl/>
        <w:snapToGrid w:val="0"/>
        <w:spacing w:before="100" w:after="100" w:line="600" w:lineRule="exact"/>
        <w:ind w:left="601" w:leftChars="286" w:firstLine="600" w:firstLineChars="200"/>
        <w:jc w:val="left"/>
        <w:rPr>
          <w:rFonts w:hint="eastAsia" w:ascii="仿宋_GB2312" w:eastAsia="仿宋_GB2312"/>
          <w:sz w:val="30"/>
          <w:szCs w:val="30"/>
        </w:rPr>
      </w:pPr>
    </w:p>
    <w:p>
      <w:pPr>
        <w:widowControl/>
        <w:snapToGrid w:val="0"/>
        <w:spacing w:before="100" w:after="100" w:line="600" w:lineRule="exact"/>
        <w:ind w:left="601" w:leftChars="286" w:firstLine="600" w:firstLineChars="200"/>
        <w:jc w:val="left"/>
        <w:rPr>
          <w:rFonts w:hint="eastAsia" w:ascii="仿宋_GB2312" w:eastAsia="仿宋_GB2312"/>
          <w:sz w:val="30"/>
          <w:szCs w:val="30"/>
        </w:rPr>
      </w:pPr>
    </w:p>
    <w:p>
      <w:pPr>
        <w:widowControl/>
        <w:snapToGrid w:val="0"/>
        <w:spacing w:before="100" w:after="100" w:line="600" w:lineRule="exact"/>
        <w:ind w:left="601" w:leftChars="286" w:firstLine="600" w:firstLineChars="200"/>
        <w:jc w:val="left"/>
        <w:rPr>
          <w:rFonts w:hint="eastAsia" w:ascii="仿宋_GB2312" w:eastAsia="仿宋_GB2312"/>
          <w:sz w:val="30"/>
          <w:szCs w:val="30"/>
        </w:rPr>
      </w:pPr>
    </w:p>
    <w:p>
      <w:pPr>
        <w:widowControl/>
        <w:snapToGrid w:val="0"/>
        <w:spacing w:before="100" w:after="100" w:line="600" w:lineRule="exact"/>
        <w:ind w:left="601" w:leftChars="286" w:firstLine="600" w:firstLineChars="200"/>
        <w:jc w:val="left"/>
        <w:rPr>
          <w:rFonts w:hint="eastAsia" w:ascii="仿宋_GB2312" w:eastAsia="仿宋_GB2312"/>
          <w:sz w:val="30"/>
          <w:szCs w:val="30"/>
        </w:rPr>
      </w:pPr>
    </w:p>
    <w:p>
      <w:pPr>
        <w:widowControl/>
        <w:snapToGrid w:val="0"/>
        <w:spacing w:before="100" w:after="100" w:line="600" w:lineRule="exact"/>
        <w:ind w:firstLine="450" w:firstLineChars="150"/>
        <w:jc w:val="left"/>
        <w:rPr>
          <w:rFonts w:hint="eastAsia" w:ascii="仿宋_GB2312" w:eastAsia="仿宋_GB2312"/>
          <w:sz w:val="30"/>
          <w:szCs w:val="30"/>
        </w:rPr>
      </w:pPr>
      <w:r>
        <w:rPr>
          <w:rFonts w:hint="eastAsia" w:ascii="仿宋_GB2312" w:eastAsia="仿宋_GB2312"/>
          <w:sz w:val="30"/>
          <w:szCs w:val="30"/>
        </w:rPr>
        <w:t>（各部门可结合实际制作支出分布图表等）</w:t>
      </w:r>
    </w:p>
    <w:p>
      <w:pPr>
        <w:widowControl/>
        <w:snapToGrid w:val="0"/>
        <w:spacing w:before="100" w:after="100" w:line="600" w:lineRule="exact"/>
        <w:ind w:firstLine="600" w:firstLineChars="200"/>
        <w:jc w:val="left"/>
        <w:rPr>
          <w:rFonts w:hint="eastAsia"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rPr>
      </w:pPr>
      <w:r>
        <w:rPr>
          <w:rFonts w:hint="eastAsia" w:ascii="仿宋_GB2312" w:eastAsia="仿宋_GB2312"/>
          <w:sz w:val="30"/>
          <w:szCs w:val="30"/>
        </w:rPr>
        <w:t>德宏州植保植检站2019年度一般公共预算财政拨款支出</w:t>
      </w:r>
      <w:r>
        <w:rPr>
          <w:rFonts w:hint="eastAsia" w:ascii="仿宋_GB2312" w:hAnsi="宋体" w:eastAsia="仿宋_GB2312" w:cs="Arial"/>
          <w:kern w:val="0"/>
          <w:sz w:val="30"/>
          <w:szCs w:val="30"/>
        </w:rPr>
        <w:t>276.7万元,占本年支出合计的</w:t>
      </w:r>
      <w:r>
        <w:rPr>
          <w:rFonts w:hint="eastAsia" w:ascii="仿宋_GB2312" w:eastAsia="仿宋_GB2312"/>
          <w:sz w:val="30"/>
          <w:szCs w:val="30"/>
        </w:rPr>
        <w:t>98.83</w:t>
      </w:r>
      <w:r>
        <w:rPr>
          <w:rFonts w:hint="eastAsia" w:ascii="仿宋_GB2312" w:hAnsi="宋体" w:eastAsia="仿宋_GB2312" w:cs="Arial"/>
          <w:kern w:val="0"/>
          <w:sz w:val="30"/>
          <w:szCs w:val="30"/>
        </w:rPr>
        <w:t>%。与上年对增加了16.98万元</w:t>
      </w:r>
      <w:r>
        <w:rPr>
          <w:rFonts w:hint="eastAsia" w:ascii="仿宋_GB2312" w:eastAsia="仿宋_GB2312"/>
          <w:sz w:val="30"/>
          <w:szCs w:val="30"/>
        </w:rPr>
        <w:t>,主要</w:t>
      </w:r>
      <w:r>
        <w:rPr>
          <w:rFonts w:hint="eastAsia" w:ascii="仿宋_GB2312" w:hAnsi="宋体" w:eastAsia="仿宋_GB2312" w:cs="Arial"/>
          <w:kern w:val="0"/>
          <w:sz w:val="30"/>
          <w:szCs w:val="30"/>
        </w:rPr>
        <w:t>原因分析是人员工资、基本养老保险、住房公积金等自然因素变动。</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1.一般公共服务（类）支出276.7万元，</w:t>
      </w:r>
      <w:r>
        <w:rPr>
          <w:rFonts w:hint="eastAsia" w:ascii="仿宋_GB2312" w:eastAsia="仿宋_GB2312"/>
          <w:sz w:val="30"/>
          <w:szCs w:val="30"/>
        </w:rPr>
        <w:t>占一般公共预算财政拨款总支出的100%。</w:t>
      </w:r>
      <w:r>
        <w:rPr>
          <w:rFonts w:hint="eastAsia" w:ascii="仿宋_GB2312" w:hAnsi="宋体" w:eastAsia="仿宋_GB2312" w:cs="Arial"/>
          <w:kern w:val="0"/>
          <w:sz w:val="30"/>
          <w:szCs w:val="30"/>
        </w:rPr>
        <w:t>主要用于社会保障和就业支出20.52万元、农林水支出243.33万元、住房和保障支出12.85万元（相关支出情况）；</w:t>
      </w:r>
    </w:p>
    <w:p>
      <w:pPr>
        <w:widowControl/>
        <w:snapToGrid w:val="0"/>
        <w:spacing w:before="100" w:after="100" w:line="360" w:lineRule="auto"/>
        <w:ind w:left="596" w:leftChars="284"/>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2.外交（类）支出</w:t>
      </w:r>
      <w:r>
        <w:rPr>
          <w:rFonts w:hint="eastAsia" w:ascii="仿宋_GB2312" w:eastAsia="仿宋_GB2312"/>
          <w:sz w:val="30"/>
          <w:szCs w:val="30"/>
        </w:rPr>
        <w:t>/</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hAnsi="宋体" w:eastAsia="仿宋_GB2312" w:cs="Arial"/>
          <w:kern w:val="0"/>
          <w:sz w:val="30"/>
          <w:szCs w:val="30"/>
        </w:rPr>
        <w:t>3.国防（类）支出</w:t>
      </w:r>
      <w:r>
        <w:rPr>
          <w:rFonts w:hint="eastAsia" w:ascii="仿宋_GB2312" w:eastAsia="仿宋_GB2312"/>
          <w:sz w:val="30"/>
          <w:szCs w:val="30"/>
        </w:rPr>
        <w:t>/</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4.公共安全（类）支出</w:t>
      </w:r>
      <w:r>
        <w:rPr>
          <w:rFonts w:hint="eastAsia" w:ascii="仿宋_GB2312" w:eastAsia="仿宋_GB2312"/>
          <w:sz w:val="30"/>
          <w:szCs w:val="30"/>
        </w:rPr>
        <w:t>/</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p>
    <w:p>
      <w:pPr>
        <w:widowControl/>
        <w:snapToGrid w:val="0"/>
        <w:spacing w:before="100" w:after="100" w:line="360" w:lineRule="auto"/>
        <w:ind w:firstLine="600" w:firstLineChars="200"/>
        <w:jc w:val="left"/>
        <w:rPr>
          <w:rFonts w:hint="eastAsia" w:ascii="仿宋_GB2312" w:hAnsi="宋体" w:eastAsia="仿宋_GB2312" w:cs="Arial"/>
          <w:b/>
          <w:bCs/>
          <w:kern w:val="0"/>
          <w:sz w:val="30"/>
          <w:szCs w:val="30"/>
        </w:rPr>
      </w:pPr>
      <w:r>
        <w:rPr>
          <w:rFonts w:ascii="仿宋_GB2312" w:hAnsi="宋体" w:eastAsia="仿宋_GB2312" w:cs="Arial"/>
          <w:b/>
          <w:kern w:val="0"/>
          <w:sz w:val="30"/>
          <w:szCs w:val="30"/>
        </w:rPr>
        <w:drawing>
          <wp:inline distT="0" distB="0" distL="114300" distR="114300">
            <wp:extent cx="4210685" cy="2318385"/>
            <wp:effectExtent l="4445" t="4445" r="13970" b="20320"/>
            <wp:docPr id="6" name="图片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widowControl/>
        <w:snapToGrid w:val="0"/>
        <w:spacing w:before="100" w:after="100" w:line="360" w:lineRule="auto"/>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（说明可细化到项级科目，同时各部门可结合实际制作支出占比分布图表等）</w:t>
      </w:r>
    </w:p>
    <w:p>
      <w:pPr>
        <w:widowControl/>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(一)</w:t>
      </w:r>
      <w:r>
        <w:rPr>
          <w:rFonts w:hint="eastAsia" w:ascii="黑体" w:hAnsi="黑体" w:eastAsia="黑体"/>
          <w:sz w:val="30"/>
          <w:szCs w:val="30"/>
        </w:rPr>
        <w:t xml:space="preserve"> </w:t>
      </w:r>
      <w:r>
        <w:rPr>
          <w:rFonts w:hint="eastAsia" w:ascii="楷体" w:hAnsi="楷体" w:eastAsia="楷体"/>
          <w:sz w:val="30"/>
          <w:szCs w:val="30"/>
        </w:rPr>
        <w:t>一般公共预算财政拨款“三公”经费支出决算总体情况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德宏州植保植检站2019年度一般公共预算财政拨款“三公”经费支出预算为1.8万元，支出决算为2.13万元，完成预算的118%。其中：因公出国（境）费支出决算为/万元，完成预算的/%；公务用车购置及运行费支出决算为2.1万元，完成预算的175%；公务接待费支出决算为0.02万元，完成预算的3.3%。2019年度一般公共预算财政拨款“三公”经费支出决算数大于/小于预算数的主要原因公务用车运行次数增加、维护费增加，公务接待次数减少，支出相应减少。</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2019年度一般公共预算财政拨款“三公”经费支出决算数比2018年减少0.52万元，下降19.76%。其中：因公出国（境）费支出决算增加/减少/万元，增长/下降/%；公务用车购置及运行费支出决算减少0.19万元，下降8.17%；公务接待费支出决算减少0.34万元，下降93.24%。2019年度一般公共预算财政拨款“三公”经费支出决算增加/减少的主要原因是公务用车运行次数增加、维护费增加，公务接待次数减少，支出相应减少。</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(二)</w:t>
      </w:r>
      <w:r>
        <w:rPr>
          <w:rFonts w:hint="eastAsia" w:ascii="仿宋_GB2312" w:eastAsia="仿宋_GB2312"/>
          <w:sz w:val="30"/>
          <w:szCs w:val="30"/>
        </w:rPr>
        <w:t xml:space="preserve"> </w:t>
      </w:r>
      <w:r>
        <w:rPr>
          <w:rFonts w:hint="eastAsia" w:ascii="楷体" w:hAnsi="楷体" w:eastAsia="楷体"/>
          <w:sz w:val="30"/>
          <w:szCs w:val="30"/>
        </w:rPr>
        <w:t>一般公共预算财政拨款“三公”经费支出决算具体情况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2019年度一般公共预算财政拨款“三公”经费支出决算中，因公出国（境）费支出/万元，占/%；公务用车购置及运行维护费支出2.1万元，占98.85%；公务接待费支出0.02万元，占1.15%。具体情况如下：</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b/>
          <w:sz w:val="30"/>
          <w:szCs w:val="30"/>
        </w:rPr>
        <w:t>1.因公出国（境）费</w:t>
      </w:r>
      <w:r>
        <w:rPr>
          <w:rFonts w:hint="eastAsia" w:ascii="仿宋_GB2312" w:eastAsia="仿宋_GB2312"/>
          <w:sz w:val="30"/>
          <w:szCs w:val="30"/>
        </w:rPr>
        <w:t>支出/万元，共安排因公出国（境）团组/个，累计/人次。开展内容包括：具体出国开支及开展工作情况等……。</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b/>
          <w:sz w:val="30"/>
          <w:szCs w:val="30"/>
        </w:rPr>
        <w:t>2. 公务用车购置及运行维护费</w:t>
      </w:r>
      <w:r>
        <w:rPr>
          <w:rFonts w:hint="eastAsia" w:ascii="仿宋_GB2312" w:eastAsia="仿宋_GB2312"/>
          <w:sz w:val="30"/>
          <w:szCs w:val="30"/>
        </w:rPr>
        <w:t>支出2.1万元。其中：</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b/>
          <w:sz w:val="30"/>
          <w:szCs w:val="30"/>
        </w:rPr>
        <w:t>公务用车购置</w:t>
      </w:r>
      <w:r>
        <w:rPr>
          <w:rFonts w:hint="eastAsia" w:ascii="仿宋_GB2312" w:eastAsia="仿宋_GB2312"/>
          <w:sz w:val="30"/>
          <w:szCs w:val="30"/>
        </w:rPr>
        <w:t>支出/万元，购置车辆/辆。具体购置车辆原因、情况等……。</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b/>
          <w:sz w:val="30"/>
          <w:szCs w:val="30"/>
        </w:rPr>
        <w:t>公务用车运行维护</w:t>
      </w:r>
      <w:r>
        <w:rPr>
          <w:rFonts w:hint="eastAsia" w:ascii="仿宋_GB2312" w:eastAsia="仿宋_GB2312"/>
          <w:sz w:val="30"/>
          <w:szCs w:val="30"/>
        </w:rPr>
        <w:t>支出2.1万元，开支一般公共预算财政拨款的公务用车保有量为2辆。主要用日常公务用车（相关工作范围）所需车辆燃料费、维修费、过路过桥费、保险费等。</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b/>
          <w:sz w:val="30"/>
          <w:szCs w:val="30"/>
        </w:rPr>
        <w:t>3.公务接待费</w:t>
      </w:r>
      <w:r>
        <w:rPr>
          <w:rFonts w:hint="eastAsia" w:ascii="仿宋_GB2312" w:eastAsia="仿宋_GB2312"/>
          <w:sz w:val="30"/>
          <w:szCs w:val="30"/>
        </w:rPr>
        <w:t>支出0.02万元。其中：</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b/>
          <w:sz w:val="30"/>
          <w:szCs w:val="30"/>
        </w:rPr>
        <w:t>国内接待费</w:t>
      </w:r>
      <w:r>
        <w:rPr>
          <w:rFonts w:hint="eastAsia" w:ascii="仿宋_GB2312" w:eastAsia="仿宋_GB2312"/>
          <w:sz w:val="30"/>
          <w:szCs w:val="30"/>
        </w:rPr>
        <w:t>支出0.02万元（其中：外事接待费支出/万元），共安排国内公务接待1批次（其中：外事接待/批次），接待人次5人（其中：外事接待人次/）。主要用于植保技术业务开展工作（相关工作，产生的接待批次及人次等）发生的接待支出。</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b/>
          <w:sz w:val="30"/>
          <w:szCs w:val="30"/>
        </w:rPr>
        <w:t>国（境）外接待费</w:t>
      </w:r>
      <w:r>
        <w:rPr>
          <w:rFonts w:hint="eastAsia" w:ascii="仿宋_GB2312" w:eastAsia="仿宋_GB2312"/>
          <w:sz w:val="30"/>
          <w:szCs w:val="30"/>
        </w:rPr>
        <w:t>支出/元，共安排国（境）外公务接待/次，接待人次/。主要用于/相关工作，产生的接待批次及人次等）发生的接待支出。</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rPr>
        <w:t>一、机关运行经费支出情况</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2019经费支出/元，我单位属于事业单位，无机关运行经费支出情况。</w:t>
      </w:r>
    </w:p>
    <w:p>
      <w:pPr>
        <w:widowControl/>
        <w:ind w:firstLine="600" w:firstLineChars="20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二、国有资产占用情况</w:t>
      </w:r>
    </w:p>
    <w:p>
      <w:pPr>
        <w:widowControl/>
        <w:ind w:firstLine="600" w:firstLineChars="200"/>
        <w:rPr>
          <w:rFonts w:ascii="仿宋_GB2312" w:hAnsi="黑体" w:eastAsia="仿宋_GB2312" w:cs="方正小标宋简体"/>
          <w:color w:val="000000"/>
          <w:kern w:val="0"/>
          <w:sz w:val="30"/>
          <w:szCs w:val="30"/>
        </w:rPr>
      </w:pPr>
      <w:r>
        <w:rPr>
          <w:rFonts w:hint="eastAsia" w:ascii="仿宋_GB2312" w:hAnsi="黑体" w:eastAsia="仿宋_GB2312" w:cs="方正小标宋简体"/>
          <w:color w:val="000000"/>
          <w:kern w:val="0"/>
          <w:sz w:val="30"/>
          <w:szCs w:val="30"/>
        </w:rPr>
        <w:t>截至2019年12月31日，德宏州植保植检站资产总额88.47万元，其中，流动资产15.80万元，固定资产(净值)72.67万元，对外投资及有价证券/万元，在建工程/万元，无形资产/万元，其他资产/万元（具体内容详见附表）。与上年相比，本年资产总额减少100.71万元，其中固定资产减少(固定资产折旧)93.15万元。处置房屋建筑物/平方米，账面原值/万元；处置车辆/辆，账面原值/万元；报废报损资产/项，账面原值/万元，实现资产处置收入/万元；出租房屋/平方米，账面原值/万元，实现资产使用收入/万元。</w:t>
      </w:r>
    </w:p>
    <w:tbl>
      <w:tblPr>
        <w:tblStyle w:val="7"/>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631"/>
        <w:gridCol w:w="568"/>
        <w:gridCol w:w="769"/>
        <w:gridCol w:w="67"/>
        <w:gridCol w:w="865"/>
        <w:gridCol w:w="331"/>
        <w:gridCol w:w="643"/>
        <w:gridCol w:w="196"/>
        <w:gridCol w:w="978"/>
        <w:gridCol w:w="979"/>
        <w:gridCol w:w="360"/>
        <w:gridCol w:w="618"/>
        <w:gridCol w:w="360"/>
        <w:gridCol w:w="142"/>
        <w:gridCol w:w="476"/>
        <w:gridCol w:w="142"/>
      </w:tblGrid>
      <w:tr>
        <w:tblPrEx>
          <w:tblLayout w:type="fixed"/>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仿宋_GB2312" w:hAnsi="方正小标宋_GBK" w:eastAsia="仿宋_GB2312" w:cs="方正小标宋_GBK"/>
                <w:b/>
                <w:color w:val="000000"/>
                <w:kern w:val="0"/>
                <w:sz w:val="30"/>
                <w:szCs w:val="30"/>
                <w:lang w:bidi="ar"/>
              </w:rPr>
              <w:t>国有资产占有使用情况表</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ascii="宋体" w:hAnsi="宋体" w:cs="宋体"/>
                <w:color w:val="000000"/>
                <w:kern w:val="0"/>
                <w:sz w:val="24"/>
              </w:rPr>
            </w:pPr>
            <w:r>
              <w:rPr>
                <w:rFonts w:hint="eastAsia" w:ascii="宋体" w:hAnsi="宋体" w:cs="宋体"/>
                <w:color w:val="000000"/>
                <w:kern w:val="0"/>
                <w:sz w:val="20"/>
                <w:szCs w:val="20"/>
                <w:lang w:bidi="ar"/>
              </w:rPr>
              <w:t>单位：万元</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其他资产</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小计</w:t>
            </w:r>
          </w:p>
        </w:tc>
        <w:tc>
          <w:tcPr>
            <w:tcW w:w="56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5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2</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3</w:t>
            </w:r>
          </w:p>
        </w:tc>
        <w:tc>
          <w:tcPr>
            <w:tcW w:w="5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4</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11</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88.47</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15.80</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72.67</w:t>
            </w:r>
          </w:p>
        </w:tc>
        <w:tc>
          <w:tcPr>
            <w:tcW w:w="5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35.40</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1.29</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4"/>
              </w:rPr>
            </w:pP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35.98</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 </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0"/>
                <w:lang w:bidi="ar"/>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填报说明：1.资产总额＝流动资产＋固定资产＋对外投资+有价证券＋在建工程＋无形资产＋其他资产</w:t>
            </w:r>
          </w:p>
          <w:p>
            <w:pPr>
              <w:widowControl/>
              <w:ind w:firstLine="1000" w:firstLineChars="500"/>
              <w:rPr>
                <w:rFonts w:ascii="宋体" w:hAnsi="宋体" w:cs="宋体"/>
                <w:color w:val="000000"/>
                <w:kern w:val="0"/>
                <w:sz w:val="20"/>
                <w:szCs w:val="20"/>
              </w:rPr>
            </w:pPr>
            <w:r>
              <w:rPr>
                <w:rFonts w:hint="eastAsia" w:ascii="宋体" w:hAnsi="宋体" w:cs="宋体"/>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rPr>
            </w:pPr>
            <w:r>
              <w:rPr>
                <w:rFonts w:ascii="Arial" w:hAnsi="Arial" w:cs="Arial"/>
                <w:color w:val="000000"/>
                <w:kern w:val="0"/>
                <w:sz w:val="20"/>
                <w:szCs w:val="20"/>
              </w:rPr>
              <w:t> </w:t>
            </w:r>
          </w:p>
        </w:tc>
        <w:tc>
          <w:tcPr>
            <w:tcW w:w="142" w:type="dxa"/>
            <w:vAlign w:val="center"/>
          </w:tcPr>
          <w:p>
            <w:pPr>
              <w:widowControl/>
              <w:jc w:val="left"/>
              <w:rPr>
                <w:rFonts w:eastAsia="Times New Roman"/>
                <w:kern w:val="0"/>
                <w:sz w:val="20"/>
                <w:szCs w:val="20"/>
              </w:rPr>
            </w:pPr>
          </w:p>
        </w:tc>
      </w:tr>
    </w:tbl>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rPr>
        <w:t>三、政府采购支出情况</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2019年度，部门政府采购支出总额/万元，其中：政府采购货物支出/万元；政府采购工程支出/万元；政府采购服务支出/万元。授予中小企业合同金额/万元，占政府采购支出总额的%。</w:t>
      </w:r>
    </w:p>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rPr>
        <w:t>四、部门绩效自评情况</w:t>
      </w:r>
    </w:p>
    <w:p>
      <w:pPr>
        <w:widowControl/>
        <w:snapToGrid w:val="0"/>
        <w:spacing w:before="100" w:after="100"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部门绩效自评情况详见附表（附表9—附表11）。</w:t>
      </w:r>
    </w:p>
    <w:p>
      <w:pPr>
        <w:widowControl/>
        <w:snapToGrid w:val="0"/>
        <w:spacing w:before="100" w:after="100"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2019年度项目未完工，本年度我单位没有做过相关绩效自评工作，公开空表。</w:t>
      </w:r>
    </w:p>
    <w:p>
      <w:pPr>
        <w:widowControl/>
        <w:snapToGrid w:val="0"/>
        <w:spacing w:before="100" w:after="100" w:line="360" w:lineRule="auto"/>
        <w:ind w:firstLine="600" w:firstLineChars="200"/>
        <w:jc w:val="left"/>
        <w:rPr>
          <w:rFonts w:hint="eastAsia" w:ascii="黑体" w:hAnsi="黑体" w:eastAsia="黑体" w:cs="黑体"/>
          <w:sz w:val="30"/>
          <w:szCs w:val="30"/>
        </w:rPr>
      </w:pPr>
      <w:r>
        <w:rPr>
          <w:rFonts w:hint="eastAsia" w:ascii="黑体" w:hAnsi="黑体" w:eastAsia="黑体" w:cs="黑体"/>
          <w:sz w:val="30"/>
          <w:szCs w:val="30"/>
        </w:rPr>
        <w:t>五、其他重要事项情况说明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本单位无特别情况需要说明。</w:t>
      </w:r>
    </w:p>
    <w:p>
      <w:pPr>
        <w:widowControl/>
        <w:snapToGrid w:val="0"/>
        <w:spacing w:before="100" w:after="100" w:line="360" w:lineRule="auto"/>
        <w:ind w:firstLine="600" w:firstLineChars="200"/>
        <w:jc w:val="left"/>
        <w:rPr>
          <w:rFonts w:hint="eastAsia" w:ascii="黑体" w:hAnsi="黑体" w:eastAsia="黑体" w:cs="黑体"/>
          <w:sz w:val="30"/>
          <w:szCs w:val="30"/>
        </w:rPr>
      </w:pPr>
      <w:r>
        <w:rPr>
          <w:rFonts w:hint="eastAsia" w:ascii="黑体" w:hAnsi="黑体" w:eastAsia="黑体" w:cs="黑体"/>
          <w:sz w:val="30"/>
          <w:szCs w:val="30"/>
        </w:rPr>
        <w:t>六、相关口径说明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（一）基本支出中人员经费包括工资福利支出和对个人和家庭的补助，日常公用支出包括商品和服务支出、资本性支出等人员经费以外的支出。</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（二）机关运行经费指行政单位和参照公务员法管理的事业单位使用一般公共预算财政拨款安排的基本支出中的日常公用经费支出。</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jc w:val="center"/>
        <w:rPr>
          <w:rFonts w:hint="eastAsia" w:ascii="黑体" w:hAnsi="黑体" w:eastAsia="黑体" w:cs="方正小标宋简体"/>
          <w:sz w:val="32"/>
          <w:szCs w:val="32"/>
        </w:rPr>
      </w:pPr>
      <w:r>
        <w:rPr>
          <w:rFonts w:hint="eastAsia" w:ascii="黑体" w:hAnsi="黑体" w:eastAsia="黑体" w:cs="方正小标宋简体"/>
          <w:sz w:val="32"/>
          <w:szCs w:val="32"/>
        </w:rPr>
        <w:t>第五部分  名词解释</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情况说明里涉及到需要解释说明的决算相关专用名词，在此进行说明解释。若没有涉及专用名词，请说明不涉及专用名词。</w:t>
      </w:r>
    </w:p>
    <w:p>
      <w:pPr>
        <w:numPr>
          <w:ilvl w:val="0"/>
          <w:numId w:val="2"/>
        </w:num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机关运行经费指行政单位和参照公务员法管理的事业单位使用一般公共预算财政拨款安排的基本支出中的日常公用经费支出。</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2、“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jc w:val="left"/>
        <w:rPr>
          <w:rFonts w:hint="eastAsia" w:ascii="仿宋_GB2312" w:hAnsi="仿宋_GB2312" w:eastAsia="仿宋_GB2312" w:cs="仿宋_GB2312"/>
          <w:spacing w:val="17"/>
          <w:sz w:val="30"/>
          <w:szCs w:val="30"/>
          <w:lang w:bidi="ar"/>
        </w:rPr>
      </w:pPr>
      <w:r>
        <w:rPr>
          <w:rFonts w:hint="eastAsia" w:ascii="仿宋_GB2312" w:hAnsi="黑体" w:eastAsia="仿宋_GB2312" w:cs="方正小标宋简体"/>
          <w:sz w:val="30"/>
          <w:szCs w:val="30"/>
        </w:rPr>
        <w:t xml:space="preserve">   3、</w:t>
      </w:r>
      <w:r>
        <w:rPr>
          <w:rFonts w:hint="eastAsia" w:ascii="仿宋_GB2312" w:hAnsi="仿宋_GB2312" w:eastAsia="仿宋_GB2312" w:cs="仿宋_GB2312"/>
          <w:spacing w:val="17"/>
          <w:sz w:val="30"/>
          <w:szCs w:val="30"/>
          <w:lang w:bidi="ar"/>
        </w:rPr>
        <w:t>基本支出:是指行政事业单位为保障其机构正常运转、完成日常工作任务而编制的年度经费支出。</w:t>
      </w:r>
    </w:p>
    <w:p>
      <w:pPr>
        <w:jc w:val="left"/>
        <w:rPr>
          <w:rFonts w:hint="eastAsia" w:ascii="仿宋_GB2312" w:hAnsi="仿宋_GB2312" w:eastAsia="仿宋_GB2312" w:cs="仿宋_GB2312"/>
          <w:spacing w:val="17"/>
          <w:sz w:val="30"/>
          <w:szCs w:val="30"/>
          <w:lang w:bidi="ar"/>
        </w:rPr>
      </w:pPr>
      <w:r>
        <w:rPr>
          <w:rFonts w:hint="eastAsia" w:ascii="仿宋_GB2312" w:hAnsi="仿宋_GB2312" w:eastAsia="仿宋_GB2312" w:cs="仿宋_GB2312"/>
          <w:spacing w:val="17"/>
          <w:sz w:val="30"/>
          <w:szCs w:val="30"/>
          <w:lang w:bidi="ar"/>
        </w:rPr>
        <w:t xml:space="preserve">  4、项目支出：是指行政事业单位为完成其特定的行政工作任务或事业发展目标，并依据具体工作内容编制的年度经费支出。</w:t>
      </w:r>
    </w:p>
    <w:p>
      <w:pPr>
        <w:jc w:val="left"/>
        <w:rPr>
          <w:rFonts w:ascii="仿宋_GB2312" w:hAnsi="仿宋_GB2312" w:eastAsia="仿宋_GB2312" w:cs="仿宋_GB2312"/>
          <w:spacing w:val="17"/>
          <w:sz w:val="30"/>
          <w:szCs w:val="30"/>
          <w:lang w:bidi="ar"/>
        </w:rPr>
      </w:pPr>
      <w:r>
        <w:rPr>
          <w:rFonts w:hint="eastAsia" w:ascii="仿宋_GB2312" w:hAnsi="仿宋_GB2312" w:eastAsia="仿宋_GB2312" w:cs="仿宋_GB2312"/>
          <w:spacing w:val="17"/>
          <w:sz w:val="30"/>
          <w:szCs w:val="30"/>
          <w:lang w:bidi="ar"/>
        </w:rPr>
        <w:t xml:space="preserve">   </w:t>
      </w:r>
    </w:p>
    <w:p>
      <w:pPr>
        <w:jc w:val="left"/>
        <w:rPr>
          <w:rFonts w:hint="eastAsia" w:ascii="仿宋_GB2312" w:hAnsi="仿宋_GB2312" w:eastAsia="仿宋_GB2312" w:cs="仿宋_GB2312"/>
          <w:spacing w:val="17"/>
          <w:sz w:val="30"/>
          <w:szCs w:val="30"/>
          <w:lang w:bidi="ar"/>
        </w:rPr>
      </w:pPr>
    </w:p>
    <w:p>
      <w:pPr>
        <w:ind w:firstLine="600" w:firstLineChars="200"/>
        <w:jc w:val="left"/>
        <w:rPr>
          <w:rFonts w:ascii="仿宋_GB2312" w:hAnsi="黑体" w:eastAsia="仿宋_GB2312" w:cs="方正小标宋简体"/>
          <w:sz w:val="30"/>
          <w:szCs w:val="30"/>
        </w:rPr>
      </w:pPr>
    </w:p>
    <w:p>
      <w:bookmarkStart w:id="0" w:name="_GoBack"/>
      <w:bookmarkEnd w:id="0"/>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170"/>
    <w:multiLevelType w:val="singleLevel"/>
    <w:tmpl w:val="01F36170"/>
    <w:lvl w:ilvl="0" w:tentative="0">
      <w:start w:val="1"/>
      <w:numFmt w:val="decimal"/>
      <w:suff w:val="nothing"/>
      <w:lvlText w:val="%1、"/>
      <w:lvlJc w:val="left"/>
    </w:lvl>
  </w:abstractNum>
  <w:abstractNum w:abstractNumId="1">
    <w:nsid w:val="41C030DC"/>
    <w:multiLevelType w:val="multilevel"/>
    <w:tmpl w:val="41C030DC"/>
    <w:lvl w:ilvl="0" w:tentative="0">
      <w:start w:val="1"/>
      <w:numFmt w:val="decimal"/>
      <w:lvlText w:val="%1、"/>
      <w:lvlJc w:val="left"/>
      <w:pPr>
        <w:ind w:left="1665" w:hanging="1065"/>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05B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Sheet1!$A$1:$A$4</c:f>
              <c:strCache>
                <c:ptCount val="4"/>
                <c:pt idx="0">
                  <c:v>人员编制</c:v>
                </c:pt>
                <c:pt idx="1">
                  <c:v>在职人员</c:v>
                </c:pt>
                <c:pt idx="2">
                  <c:v>离退休人数</c:v>
                </c:pt>
                <c:pt idx="3">
                  <c:v>车辆数</c:v>
                </c:pt>
              </c:strCache>
            </c:strRef>
          </c:cat>
          <c:val>
            <c:numRef>
              <c:f>Sheet1!$B$1:$B$4</c:f>
              <c:numCache>
                <c:formatCode>General</c:formatCode>
                <c:ptCount val="4"/>
                <c:pt idx="0" c:formatCode="General">
                  <c:v>16</c:v>
                </c:pt>
                <c:pt idx="1" c:formatCode="General">
                  <c:v>14</c:v>
                </c:pt>
                <c:pt idx="2" c:formatCode="General">
                  <c:v>5</c:v>
                </c:pt>
                <c:pt idx="3" c:formatCode="General">
                  <c:v>2</c:v>
                </c:pt>
              </c:numCache>
            </c:numRef>
          </c:val>
        </c:ser>
        <c:dLbls>
          <c:showLegendKey val="1"/>
          <c:showVal val="1"/>
          <c:showCatName val="1"/>
          <c:showSerName val="1"/>
          <c:showPercent val="1"/>
          <c:showBubbleSize val="1"/>
          <c:showLeaderLines val="1"/>
        </c:dLbls>
        <c:firstSliceAng val="15"/>
      </c:pieChart>
      <c:spPr>
        <a:noFill/>
        <a:ln>
          <a:noFill/>
        </a:ln>
        <a:effectLst/>
      </c:spPr>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Sheet1!$A$9:$A$10</c:f>
              <c:strCache>
                <c:ptCount val="2"/>
                <c:pt idx="0">
                  <c:v>财政拨款收入</c:v>
                </c:pt>
                <c:pt idx="1">
                  <c:v>其他收入</c:v>
                </c:pt>
              </c:strCache>
            </c:strRef>
          </c:cat>
          <c:val>
            <c:numRef>
              <c:f>Sheet1!$B$9:$B$10</c:f>
              <c:numCache>
                <c:formatCode>General</c:formatCode>
                <c:ptCount val="2"/>
                <c:pt idx="0" c:formatCode="General">
                  <c:v>268.83</c:v>
                </c:pt>
                <c:pt idx="1" c:formatCode="General">
                  <c:v>2.8</c:v>
                </c:pt>
              </c:numCache>
            </c:numRef>
          </c:val>
        </c:ser>
        <c:dLbls>
          <c:showLegendKey val="1"/>
          <c:showVal val="1"/>
          <c:showCatName val="1"/>
          <c:showSerName val="1"/>
          <c:showPercent val="1"/>
          <c:showBubbleSize val="1"/>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Sheet1!$A$14:$A$15</c:f>
              <c:strCache>
                <c:ptCount val="2"/>
                <c:pt idx="0">
                  <c:v>其中基本支出</c:v>
                </c:pt>
                <c:pt idx="1">
                  <c:v>项目支出</c:v>
                </c:pt>
              </c:strCache>
            </c:strRef>
          </c:cat>
          <c:val>
            <c:numRef>
              <c:f>Sheet1!$B$14:$B$15</c:f>
              <c:numCache>
                <c:formatCode>General</c:formatCode>
                <c:ptCount val="2"/>
                <c:pt idx="0" c:formatCode="General">
                  <c:v>213.48</c:v>
                </c:pt>
                <c:pt idx="1" c:formatCode="General">
                  <c:v>66.49</c:v>
                </c:pt>
              </c:numCache>
            </c:numRef>
          </c:val>
        </c:ser>
        <c:dLbls>
          <c:showLegendKey val="1"/>
          <c:showVal val="1"/>
          <c:showCatName val="1"/>
          <c:showSerName val="1"/>
          <c:showPercent val="1"/>
          <c:showBubbleSize val="1"/>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Sheet1!$A$18:$A$19</c:f>
              <c:strCache>
                <c:ptCount val="2"/>
                <c:pt idx="0">
                  <c:v>人员经费支出</c:v>
                </c:pt>
                <c:pt idx="1">
                  <c:v>日常公用经费支出</c:v>
                </c:pt>
              </c:strCache>
            </c:strRef>
          </c:cat>
          <c:val>
            <c:numRef>
              <c:f>Sheet1!$B$18:$B$19</c:f>
              <c:numCache>
                <c:formatCode>0.00%</c:formatCode>
                <c:ptCount val="2"/>
                <c:pt idx="0">
                  <c:v>0.9529</c:v>
                </c:pt>
                <c:pt idx="1">
                  <c:v>0.0471</c:v>
                </c:pt>
              </c:numCache>
            </c:numRef>
          </c:val>
        </c:ser>
        <c:dLbls>
          <c:showLegendKey val="1"/>
          <c:showVal val="1"/>
          <c:showCatName val="1"/>
          <c:showSerName val="1"/>
          <c:showPercent val="1"/>
          <c:showBubbleSize val="1"/>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Sheet1!$E$2:$E$6</c:f>
              <c:strCache>
                <c:ptCount val="5"/>
                <c:pt idx="0">
                  <c:v>农作物病虫害防控、夏玉米高产创建项目支出</c:v>
                </c:pt>
                <c:pt idx="1">
                  <c:v> 粮食作物病虫鼠害减药控害综合防控项目支出</c:v>
                </c:pt>
                <c:pt idx="2">
                  <c:v>草地贪夜蛾项目支出</c:v>
                </c:pt>
                <c:pt idx="3">
                  <c:v> 病虫害防治技术推广项目支出</c:v>
                </c:pt>
                <c:pt idx="4">
                  <c:v>农业污染源普查项目支出</c:v>
                </c:pt>
              </c:strCache>
            </c:strRef>
          </c:cat>
          <c:val>
            <c:numRef>
              <c:f>Sheet1!$F$2:$F$6</c:f>
              <c:numCache>
                <c:formatCode>General</c:formatCode>
                <c:ptCount val="5"/>
                <c:pt idx="0" c:formatCode="General">
                  <c:v>6.23</c:v>
                </c:pt>
                <c:pt idx="1" c:formatCode="General">
                  <c:v>30</c:v>
                </c:pt>
                <c:pt idx="2" c:formatCode="General">
                  <c:v>10</c:v>
                </c:pt>
                <c:pt idx="3" c:formatCode="General">
                  <c:v>19.15</c:v>
                </c:pt>
                <c:pt idx="4" c:formatCode="General">
                  <c:v>1.11</c:v>
                </c:pt>
              </c:numCache>
            </c:numRef>
          </c:val>
        </c:ser>
        <c:dLbls>
          <c:showLegendKey val="1"/>
          <c:showVal val="1"/>
          <c:showCatName val="1"/>
          <c:showSerName val="1"/>
          <c:showPercent val="1"/>
          <c:showBubbleSize val="1"/>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Sheet1!$E$10:$E$12</c:f>
              <c:strCache>
                <c:ptCount val="3"/>
                <c:pt idx="0">
                  <c:v>社会保障和就业支出</c:v>
                </c:pt>
                <c:pt idx="1">
                  <c:v>农林水支出</c:v>
                </c:pt>
                <c:pt idx="2">
                  <c:v>住房和保障支出</c:v>
                </c:pt>
              </c:strCache>
            </c:strRef>
          </c:cat>
          <c:val>
            <c:numRef>
              <c:f>Sheet1!$F$10:$F$12</c:f>
              <c:numCache>
                <c:formatCode>General</c:formatCode>
                <c:ptCount val="3"/>
                <c:pt idx="0" c:formatCode="General">
                  <c:v>20.52</c:v>
                </c:pt>
                <c:pt idx="1" c:formatCode="General">
                  <c:v>243.33</c:v>
                </c:pt>
                <c:pt idx="2" c:formatCode="General">
                  <c:v>12.85</c:v>
                </c:pt>
              </c:numCache>
            </c:numRef>
          </c:val>
        </c:ser>
        <c:dLbls>
          <c:showLegendKey val="1"/>
          <c:showVal val="1"/>
          <c:showCatName val="1"/>
          <c:showSerName val="1"/>
          <c:showPercent val="1"/>
          <c:showBubbleSize val="1"/>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张琳</cp:lastModifiedBy>
  <dcterms:modified xsi:type="dcterms:W3CDTF">2020-09-04T09:03:04Z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