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val="en-US" w:eastAsia="zh-CN"/>
        </w:rPr>
        <w:t>附件3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德宏州茶叶技术推广站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00" w:firstLineChars="200"/>
        <w:jc w:val="lef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德宏州茶叶技术推广站的部门预算编制遵循由政府批准的定机构、定编制、定职能“三定”方案，我站的主要职责是推广种植业（茶叶）技术，促进农业发展。种植业</w:t>
      </w:r>
      <w:r>
        <w:rPr>
          <w:rFonts w:hint="eastAsia" w:ascii="仿宋_GB2312" w:hAnsi="仿宋" w:eastAsia="仿宋_GB2312"/>
          <w:sz w:val="30"/>
          <w:szCs w:val="30"/>
        </w:rPr>
        <w:t>技术试验示范、技术引进、适应试验、规范制订，新技术成果推广管理，种植业系统技术培训、项目培训、绿色证书培训，技术推广机构与队伍建设、业务指导，农业技术推广法规宣传，种植业技术承包、科技成果转化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德宏州茶叶技术推广站是隶属于德宏州农业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农村</w:t>
      </w:r>
      <w:r>
        <w:rPr>
          <w:rFonts w:hint="eastAsia" w:ascii="仿宋_GB2312" w:hAnsi="仿宋" w:eastAsia="仿宋_GB2312"/>
          <w:sz w:val="30"/>
          <w:szCs w:val="30"/>
        </w:rPr>
        <w:t>局的二级事业单位，财政全额拨款的公益一类事业单位，我站属于独立编制单位和独立核算单位，在职人员编制17人，其中事业编制17人。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工作重点是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云茶体系德宏试验站建设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茶叶新技术集成推广与培训、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云南“三区”科技人才科技服务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等方面的工作。主要用于全州的茶叶技术培训及茶叶宣传资料的制作、茶园专用复合肥及黄蓝板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等物资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的发放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00" w:firstLineChars="200"/>
        <w:jc w:val="left"/>
        <w:textAlignment w:val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</w:t>
      </w:r>
      <w:r>
        <w:rPr>
          <w:rFonts w:hint="eastAsia" w:eastAsia="仿宋_GB2312"/>
          <w:kern w:val="0"/>
          <w:sz w:val="30"/>
          <w:szCs w:val="30"/>
        </w:rPr>
        <w:t>单位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</w:rPr>
        <w:t>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个。截止201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>年11月统计，部门基本情况如下：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与上年财务总收入对比增加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36.4万元，主要原因是在职人员工资略有提高，工资福利支出、机关事业基本养老保险缴费、住房公积金等相应增加。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与上年财政拨款收入对比增加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36.4万元，主要原因是在职人员工资略有提高，工资福利支出、机关事业基本养老保险缴费、住房公积金等相应增加。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预算单位支出情况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（本条分组按项级科目细化）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eastAsia="仿宋_GB2312"/>
          <w:kern w:val="0"/>
          <w:sz w:val="30"/>
          <w:szCs w:val="30"/>
          <w:lang w:val="en-US" w:eastAsia="zh-CN"/>
        </w:rPr>
        <w:t>2020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  <w:lang w:eastAsia="zh-CN"/>
        </w:rPr>
        <w:t>与上年部门预算总支出对比增加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36.4万元，主要原因是在职人员工资略有提高，工资福利支出、机关事业基本养老保险缴费、住房公积金等相应增加。</w:t>
      </w:r>
    </w:p>
    <w:p>
      <w:pPr>
        <w:widowControl/>
        <w:ind w:firstLine="300" w:firstLineChars="1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hAnsi="仿宋" w:eastAsia="仿宋_GB2312" w:cs="Arial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</w:t>
      </w:r>
      <w:r>
        <w:rPr>
          <w:rFonts w:hint="eastAsia" w:ascii="仿宋_GB2312" w:hAnsi="仿宋" w:eastAsia="仿宋_GB2312"/>
          <w:kern w:val="0"/>
          <w:sz w:val="30"/>
          <w:szCs w:val="30"/>
        </w:rPr>
        <w:t>按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支出功能科目分类，基本支出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万元，主要用于支出分别列“208（类）05（款）05（项）”</w:t>
      </w:r>
      <w:r>
        <w:rPr>
          <w:rFonts w:hint="eastAsia" w:ascii="仿宋_GB2312" w:hAnsi="仿宋" w:eastAsia="仿宋_GB2312" w:cs="Arial"/>
          <w:kern w:val="0"/>
          <w:sz w:val="30"/>
          <w:szCs w:val="30"/>
          <w:lang w:val="en-US" w:eastAsia="zh-CN"/>
        </w:rPr>
        <w:t>23.88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万元，主要反映机关事业单位基本养老保险费和</w:t>
      </w:r>
      <w:r>
        <w:rPr>
          <w:rFonts w:hint="eastAsia" w:ascii="仿宋_GB2312" w:hAnsi="仿宋" w:eastAsia="仿宋_GB2312" w:cs="Arial"/>
          <w:kern w:val="0"/>
          <w:sz w:val="30"/>
          <w:szCs w:val="30"/>
          <w:lang w:eastAsia="zh-CN"/>
        </w:rPr>
        <w:t>退休人员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商品服务支出</w:t>
      </w:r>
      <w:r>
        <w:rPr>
          <w:rFonts w:hint="eastAsia" w:ascii="仿宋_GB2312" w:hAnsi="仿宋" w:eastAsia="仿宋_GB2312" w:cs="Arial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“208（类）</w:t>
      </w:r>
      <w:r>
        <w:rPr>
          <w:rFonts w:hint="eastAsia" w:ascii="仿宋_GB2312" w:hAnsi="仿宋" w:eastAsia="仿宋_GB2312" w:cs="Arial"/>
          <w:kern w:val="0"/>
          <w:sz w:val="30"/>
          <w:szCs w:val="30"/>
          <w:lang w:val="en-US" w:eastAsia="zh-CN"/>
        </w:rPr>
        <w:t>99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（款）0</w:t>
      </w:r>
      <w:r>
        <w:rPr>
          <w:rFonts w:hint="eastAsia" w:ascii="仿宋_GB2312" w:hAnsi="仿宋" w:eastAsia="仿宋_GB2312" w:cs="Arial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（项）”</w:t>
      </w:r>
      <w:r>
        <w:rPr>
          <w:rFonts w:hint="eastAsia" w:ascii="仿宋_GB2312" w:hAnsi="仿宋" w:eastAsia="仿宋_GB2312" w:cs="Arial"/>
          <w:kern w:val="0"/>
          <w:sz w:val="30"/>
          <w:szCs w:val="30"/>
          <w:lang w:val="en-US" w:eastAsia="zh-CN"/>
        </w:rPr>
        <w:t>0.23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万元，主要反映机关事业单位</w:t>
      </w:r>
      <w:r>
        <w:rPr>
          <w:rFonts w:hint="eastAsia" w:ascii="仿宋_GB2312" w:hAnsi="仿宋" w:eastAsia="仿宋_GB2312" w:cs="Arial"/>
          <w:kern w:val="0"/>
          <w:sz w:val="30"/>
          <w:szCs w:val="30"/>
          <w:lang w:eastAsia="zh-CN"/>
        </w:rPr>
        <w:t>其他社会保障和就业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支出</w:t>
      </w:r>
      <w:r>
        <w:rPr>
          <w:rFonts w:hint="eastAsia" w:ascii="仿宋_GB2312" w:hAnsi="仿宋" w:eastAsia="仿宋_GB2312" w:cs="Arial"/>
          <w:kern w:val="0"/>
          <w:sz w:val="30"/>
          <w:szCs w:val="30"/>
          <w:lang w:eastAsia="zh-CN"/>
        </w:rPr>
        <w:t>（单位工伤保险）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；“</w:t>
      </w:r>
      <w:r>
        <w:rPr>
          <w:rFonts w:hint="eastAsia" w:ascii="仿宋_GB2312" w:hAnsi="仿宋" w:eastAsia="仿宋_GB2312"/>
          <w:sz w:val="30"/>
          <w:szCs w:val="30"/>
        </w:rPr>
        <w:t>213（类）01（款）04（项）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”</w:t>
      </w:r>
      <w:r>
        <w:rPr>
          <w:rFonts w:hint="eastAsia" w:ascii="仿宋_GB2312" w:hAnsi="仿宋" w:eastAsia="仿宋_GB2312" w:cs="Arial"/>
          <w:kern w:val="0"/>
          <w:sz w:val="30"/>
          <w:szCs w:val="30"/>
          <w:lang w:val="en-US" w:eastAsia="zh-CN"/>
        </w:rPr>
        <w:t>212.96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万元，主要反映事业运行</w:t>
      </w:r>
      <w:r>
        <w:rPr>
          <w:rFonts w:hint="eastAsia" w:ascii="仿宋_GB2312" w:hAnsi="仿宋" w:eastAsia="仿宋_GB2312"/>
          <w:sz w:val="30"/>
          <w:szCs w:val="30"/>
        </w:rPr>
        <w:t>工资福利和商品服务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支出；“221（类）02（款）01（项）”</w:t>
      </w:r>
      <w:r>
        <w:rPr>
          <w:rFonts w:hint="eastAsia" w:ascii="仿宋_GB2312" w:hAnsi="仿宋" w:eastAsia="仿宋_GB2312" w:cs="Arial"/>
          <w:kern w:val="0"/>
          <w:sz w:val="30"/>
          <w:szCs w:val="30"/>
          <w:lang w:val="en-US" w:eastAsia="zh-CN"/>
        </w:rPr>
        <w:t>17.6</w:t>
      </w:r>
      <w:r>
        <w:rPr>
          <w:rFonts w:hint="eastAsia" w:ascii="仿宋_GB2312" w:hAnsi="仿宋" w:eastAsia="仿宋_GB2312" w:cs="Arial"/>
          <w:kern w:val="0"/>
          <w:sz w:val="30"/>
          <w:szCs w:val="30"/>
        </w:rPr>
        <w:t>万元，主要反映财政匹配住房公积金的支出。</w:t>
      </w:r>
    </w:p>
    <w:p>
      <w:pPr>
        <w:widowControl/>
        <w:numPr>
          <w:ilvl w:val="0"/>
          <w:numId w:val="3"/>
        </w:numPr>
        <w:ind w:firstLine="450" w:firstLineChars="150"/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情况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按</w:t>
      </w:r>
      <w:r>
        <w:rPr>
          <w:rFonts w:eastAsia="仿宋_GB2312"/>
          <w:kern w:val="0"/>
          <w:sz w:val="30"/>
          <w:szCs w:val="30"/>
        </w:rPr>
        <w:t>经济科目分</w:t>
      </w:r>
      <w:r>
        <w:rPr>
          <w:rFonts w:hint="eastAsia" w:eastAsia="仿宋_GB2312"/>
          <w:kern w:val="0"/>
          <w:sz w:val="30"/>
          <w:szCs w:val="30"/>
        </w:rPr>
        <w:t>组</w:t>
      </w:r>
      <w:r>
        <w:rPr>
          <w:rFonts w:hint="eastAsia" w:eastAsia="仿宋_GB2312"/>
          <w:kern w:val="0"/>
          <w:sz w:val="30"/>
          <w:szCs w:val="30"/>
          <w:lang w:eastAsia="zh-CN"/>
        </w:rPr>
        <w:t>（其中：</w:t>
      </w:r>
      <w:r>
        <w:rPr>
          <w:rFonts w:eastAsia="仿宋_GB2312"/>
          <w:kern w:val="0"/>
          <w:sz w:val="30"/>
          <w:szCs w:val="30"/>
        </w:rPr>
        <w:t>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254.67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  <w:lang w:eastAsia="zh-CN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0万元）</w:t>
      </w:r>
    </w:p>
    <w:p>
      <w:pPr>
        <w:widowControl/>
        <w:spacing w:line="520" w:lineRule="exact"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  <w:lang w:val="en-US" w:eastAsia="zh-CN"/>
        </w:rPr>
        <w:t>1、基本支出254.67万元，其中：</w:t>
      </w:r>
    </w:p>
    <w:p>
      <w:pPr>
        <w:widowControl/>
        <w:spacing w:line="520" w:lineRule="exact"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  <w:lang w:val="en-US" w:eastAsia="zh-CN"/>
        </w:rPr>
        <w:t xml:space="preserve">301 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  <w:t>工资福利支出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  <w:lang w:val="en-US" w:eastAsia="zh-CN"/>
        </w:rPr>
        <w:t>244.95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  <w:t>万元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（1）30101 工资福利支出-</w:t>
      </w:r>
      <w:r>
        <w:rPr>
          <w:rFonts w:hint="eastAsia" w:eastAsia="仿宋_GB2312"/>
          <w:kern w:val="0"/>
          <w:sz w:val="30"/>
          <w:szCs w:val="30"/>
        </w:rPr>
        <w:t>基本工资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73.83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2）30102 工资福利支出-</w:t>
      </w:r>
      <w:r>
        <w:rPr>
          <w:rFonts w:hint="eastAsia" w:eastAsia="仿宋_GB2312"/>
          <w:kern w:val="0"/>
          <w:sz w:val="30"/>
          <w:szCs w:val="30"/>
        </w:rPr>
        <w:t>津贴补贴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39.89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3）30103 工资福利支出-</w:t>
      </w:r>
      <w:r>
        <w:rPr>
          <w:rFonts w:hint="eastAsia" w:eastAsia="仿宋_GB2312"/>
          <w:kern w:val="0"/>
          <w:sz w:val="30"/>
          <w:szCs w:val="30"/>
          <w:lang w:eastAsia="zh-CN"/>
        </w:rPr>
        <w:t>奖金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5.7万元；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（4）30107 工资福利支出-</w:t>
      </w:r>
      <w:r>
        <w:rPr>
          <w:rFonts w:hint="eastAsia" w:eastAsia="仿宋_GB2312"/>
          <w:kern w:val="0"/>
          <w:sz w:val="30"/>
          <w:szCs w:val="30"/>
        </w:rPr>
        <w:t>绩效工资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84.24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5）30108 工资福利支出-</w:t>
      </w:r>
      <w:r>
        <w:rPr>
          <w:rFonts w:hint="eastAsia" w:eastAsia="仿宋_GB2312"/>
          <w:kern w:val="0"/>
          <w:sz w:val="30"/>
          <w:szCs w:val="30"/>
        </w:rPr>
        <w:t>机关事业单位养老保险缴费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23.46</w:t>
      </w:r>
      <w:r>
        <w:rPr>
          <w:rFonts w:hint="eastAsia" w:eastAsia="仿宋_GB2312"/>
          <w:kern w:val="0"/>
          <w:sz w:val="30"/>
          <w:szCs w:val="30"/>
        </w:rPr>
        <w:t>万元；</w:t>
      </w:r>
    </w:p>
    <w:p>
      <w:pPr>
        <w:widowControl/>
        <w:spacing w:line="520" w:lineRule="exact"/>
        <w:ind w:left="2396" w:leftChars="284" w:hanging="1800" w:hangingChars="6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6）30112 工资福利支出-</w:t>
      </w:r>
      <w:r>
        <w:rPr>
          <w:rFonts w:hint="eastAsia" w:eastAsia="仿宋_GB2312"/>
          <w:kern w:val="0"/>
          <w:sz w:val="30"/>
          <w:szCs w:val="30"/>
          <w:lang w:eastAsia="zh-CN"/>
        </w:rPr>
        <w:t>其他社会保险缴费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0.23万元；</w:t>
      </w:r>
    </w:p>
    <w:p>
      <w:pPr>
        <w:widowControl/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（7）30113 工资福利支出-</w:t>
      </w:r>
      <w:r>
        <w:rPr>
          <w:rFonts w:hint="eastAsia" w:eastAsia="仿宋_GB2312"/>
          <w:kern w:val="0"/>
          <w:sz w:val="30"/>
          <w:szCs w:val="30"/>
        </w:rPr>
        <w:t>住房公积金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17.6</w:t>
      </w:r>
      <w:r>
        <w:rPr>
          <w:rFonts w:hint="eastAsia" w:eastAsia="仿宋_GB2312"/>
          <w:kern w:val="0"/>
          <w:sz w:val="30"/>
          <w:szCs w:val="30"/>
        </w:rPr>
        <w:t>万元；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  <w:lang w:val="en-US" w:eastAsia="zh-CN"/>
        </w:rPr>
        <w:t xml:space="preserve">302 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  <w:t>商品和服务支出9.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  <w:lang w:val="en-US" w:eastAsia="zh-CN"/>
        </w:rPr>
        <w:t>72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0"/>
          <w:szCs w:val="30"/>
        </w:rPr>
        <w:t>万元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1）30201 商品和服务支出-</w:t>
      </w:r>
      <w:r>
        <w:rPr>
          <w:rFonts w:hint="eastAsia" w:eastAsia="仿宋_GB2312"/>
          <w:kern w:val="0"/>
          <w:sz w:val="30"/>
          <w:szCs w:val="30"/>
        </w:rPr>
        <w:t>办公费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1.72万元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2）30205 商品和服务支出-</w:t>
      </w:r>
      <w:r>
        <w:rPr>
          <w:rFonts w:hint="eastAsia" w:eastAsia="仿宋_GB2312"/>
          <w:kern w:val="0"/>
          <w:sz w:val="30"/>
          <w:szCs w:val="30"/>
        </w:rPr>
        <w:t>水费0.3万元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3）30206 商品和服务支出-</w:t>
      </w:r>
      <w:r>
        <w:rPr>
          <w:rFonts w:hint="eastAsia" w:eastAsia="仿宋_GB2312"/>
          <w:kern w:val="0"/>
          <w:sz w:val="30"/>
          <w:szCs w:val="30"/>
        </w:rPr>
        <w:t>电费0.3万元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4）30207 商品和服务支出-</w:t>
      </w:r>
      <w:r>
        <w:rPr>
          <w:rFonts w:hint="eastAsia" w:eastAsia="仿宋_GB2312"/>
          <w:kern w:val="0"/>
          <w:sz w:val="30"/>
          <w:szCs w:val="30"/>
        </w:rPr>
        <w:t>邮电费1.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5）30211 商品和服务支出-</w:t>
      </w:r>
      <w:r>
        <w:rPr>
          <w:rFonts w:hint="eastAsia" w:eastAsia="仿宋_GB2312"/>
          <w:kern w:val="0"/>
          <w:sz w:val="30"/>
          <w:szCs w:val="30"/>
        </w:rPr>
        <w:t>差旅费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2.5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（6）30217 商品和服务支出-</w:t>
      </w:r>
      <w:r>
        <w:rPr>
          <w:rFonts w:hint="eastAsia" w:eastAsia="仿宋_GB2312"/>
          <w:kern w:val="0"/>
          <w:sz w:val="30"/>
          <w:szCs w:val="30"/>
        </w:rPr>
        <w:t>公务接待费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0.7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（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7）30226 商品和服务支出-</w:t>
      </w:r>
      <w:r>
        <w:rPr>
          <w:rFonts w:hint="eastAsia" w:eastAsia="仿宋_GB2312"/>
          <w:kern w:val="0"/>
          <w:sz w:val="30"/>
          <w:szCs w:val="30"/>
          <w:lang w:eastAsia="zh-CN"/>
        </w:rPr>
        <w:t>劳务费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0.8万元；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（8）30239 商品和服务支出-其他交通费用</w:t>
      </w:r>
      <w:r>
        <w:rPr>
          <w:rFonts w:hint="eastAsia" w:eastAsia="仿宋_GB2312"/>
          <w:kern w:val="0"/>
          <w:sz w:val="30"/>
          <w:szCs w:val="30"/>
        </w:rPr>
        <w:t>2.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0"/>
          <w:szCs w:val="30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0"/>
          <w:szCs w:val="30"/>
        </w:rPr>
        <w:t>项目支出0万元。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numPr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（本条分组按项级科目细化）</w:t>
      </w:r>
    </w:p>
    <w:p>
      <w:pPr>
        <w:widowControl/>
        <w:numPr>
          <w:ilvl w:val="0"/>
          <w:numId w:val="5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列入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eastAsia="仿宋_GB2312"/>
          <w:color w:val="auto"/>
          <w:kern w:val="0"/>
          <w:sz w:val="30"/>
          <w:szCs w:val="30"/>
          <w:highlight w:val="none"/>
        </w:rPr>
        <w:t>部门列入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州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对下专项转移支付项目清单项目为：金额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万元，主要用于……。</w:t>
      </w:r>
    </w:p>
    <w:p>
      <w:pPr>
        <w:widowControl/>
        <w:spacing w:line="520" w:lineRule="exact"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我单位没有</w:t>
      </w:r>
      <w:r>
        <w:rPr>
          <w:rFonts w:eastAsia="仿宋_GB2312"/>
          <w:kern w:val="0"/>
          <w:sz w:val="30"/>
          <w:szCs w:val="30"/>
        </w:rPr>
        <w:t>对下专项转移支付项目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5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与中央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eastAsia="仿宋_GB2312"/>
          <w:color w:val="auto"/>
          <w:kern w:val="0"/>
          <w:sz w:val="30"/>
          <w:szCs w:val="30"/>
          <w:highlight w:val="none"/>
        </w:rPr>
        <w:t>功能科目分组，主要用于……。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我单位没有与中央、省配套事项。</w:t>
      </w:r>
    </w:p>
    <w:p>
      <w:pPr>
        <w:widowControl/>
        <w:numPr>
          <w:ilvl w:val="0"/>
          <w:numId w:val="5"/>
        </w:numPr>
        <w:ind w:firstLine="600" w:firstLineChars="200"/>
        <w:jc w:val="left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ascii="楷体_GB2312" w:eastAsia="楷体_GB2312"/>
          <w:kern w:val="0"/>
          <w:sz w:val="30"/>
          <w:szCs w:val="30"/>
        </w:rPr>
        <w:t>按既定政策标准测算补助事项</w:t>
      </w:r>
    </w:p>
    <w:p>
      <w:pPr>
        <w:widowControl/>
        <w:numPr>
          <w:numId w:val="0"/>
        </w:numPr>
        <w:ind w:firstLine="600" w:firstLineChars="200"/>
        <w:jc w:val="left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eastAsia="仿宋_GB2312"/>
          <w:color w:val="auto"/>
          <w:kern w:val="0"/>
          <w:sz w:val="30"/>
          <w:szCs w:val="30"/>
          <w:highlight w:val="none"/>
        </w:rPr>
        <w:t>功能科目分组，主要用于……。</w:t>
      </w:r>
    </w:p>
    <w:p>
      <w:pPr>
        <w:widowControl/>
        <w:numPr>
          <w:numId w:val="0"/>
        </w:numPr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我单位无既定政策标准测算补助事项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ind w:firstLine="6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（无相关公开内容的，需保留标题并在表述内容的位置注明“无”。）</w:t>
      </w:r>
    </w:p>
    <w:p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</w:t>
      </w:r>
      <w:r>
        <w:rPr>
          <w:rFonts w:hint="eastAsia" w:eastAsia="仿宋_GB2312"/>
          <w:kern w:val="0"/>
          <w:sz w:val="30"/>
          <w:szCs w:val="30"/>
          <w:lang w:eastAsia="zh-CN"/>
        </w:rPr>
        <w:t>共</w:t>
      </w:r>
      <w:r>
        <w:rPr>
          <w:rFonts w:eastAsia="仿宋_GB2312"/>
          <w:kern w:val="0"/>
          <w:sz w:val="30"/>
          <w:szCs w:val="30"/>
        </w:rPr>
        <w:t>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楷体" w:hAnsi="楷体" w:eastAsia="楷体" w:cs="楷体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</w:t>
      </w: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部门“三公”经费增减变化情况及原因说明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德宏州茶叶技术推广站2020年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一般公共预算财政拨款“三公”经费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预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算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合计0.7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81.08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，具体变动情况如下：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（一）</w:t>
      </w:r>
      <w:r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因公出国（境）费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德宏州茶叶技术推广站2020年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因公出国（境）费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预算为0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%，共计安排因公出国（境）团组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个，因公出国（境）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人次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因公出国（境）费与上年对比无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增减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（二）</w:t>
      </w:r>
      <w:r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公务接待费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德宏州茶叶技术推广站2020年公务接待费预算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0.7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%，国内公务接待批次为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次，共计接待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58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人次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公务接待费与上年对比无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增减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（三）</w:t>
      </w:r>
      <w:r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公务用车购置及运行维护费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德宏州茶叶技术推广站2020年公务用车购置及运行维护费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100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其中：公务用车购置费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%；公务用车运行维护费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100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%。共计购置公务用车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辆，年末公务用车保有量为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公务用车购置及运行维护费与上年对比减少3万元，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/>
        </w:rPr>
        <w:t>主要原因是现在我单位无公务用车，预算减少的部分是公务用车运行维护费的支出。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仿宋_GB2312" w:eastAsia="仿宋_GB2312"/>
          <w:color w:val="auto"/>
          <w:spacing w:val="14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</w:rPr>
        <w:t>重点项目预算绩效目标情况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ascii="仿宋_GB2312" w:eastAsia="仿宋_GB2312"/>
          <w:color w:val="auto"/>
          <w:spacing w:val="14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pacing w:val="14"/>
          <w:sz w:val="30"/>
          <w:szCs w:val="30"/>
          <w:highlight w:val="none"/>
        </w:rPr>
        <w:t>（本条</w:t>
      </w:r>
      <w:r>
        <w:rPr>
          <w:rFonts w:ascii="仿宋_GB2312" w:eastAsia="仿宋_GB2312"/>
          <w:color w:val="auto"/>
          <w:spacing w:val="14"/>
          <w:sz w:val="30"/>
          <w:szCs w:val="30"/>
          <w:highlight w:val="none"/>
        </w:rPr>
        <w:t>分项目填写部门重点项目</w:t>
      </w:r>
      <w:r>
        <w:rPr>
          <w:rFonts w:hint="eastAsia" w:ascii="仿宋_GB2312" w:eastAsia="仿宋_GB2312"/>
          <w:color w:val="auto"/>
          <w:spacing w:val="14"/>
          <w:sz w:val="30"/>
          <w:szCs w:val="30"/>
          <w:highlight w:val="none"/>
        </w:rPr>
        <w:t>预</w:t>
      </w:r>
      <w:r>
        <w:rPr>
          <w:rFonts w:ascii="仿宋_GB2312" w:eastAsia="仿宋_GB2312"/>
          <w:color w:val="auto"/>
          <w:spacing w:val="14"/>
          <w:sz w:val="30"/>
          <w:szCs w:val="30"/>
          <w:highlight w:val="none"/>
        </w:rPr>
        <w:t>算的绩效目标）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我单位没有重点项目预算绩效目标情况。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九</w:t>
      </w:r>
      <w:r>
        <w:rPr>
          <w:rFonts w:ascii="黑体" w:hAnsi="黑体" w:eastAsia="黑体"/>
          <w:color w:val="auto"/>
          <w:kern w:val="0"/>
          <w:sz w:val="30"/>
          <w:szCs w:val="30"/>
          <w:highlight w:val="none"/>
        </w:rPr>
        <w:t>、其他公开信息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财政预算拨款：是指财政部门用一般预算收入安排的预算单位资金。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基本支出：反映为保障机构正常运转、完成日常工作任务而发生的人员支出和公用支出。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项目支出：反映行政事业单位为完成特定的工作任务或事业发展目标，在基本的预算支出以外，财政预算专款安排的支出。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工资福利支出（类）：反映单位开支的在职职工和编制外长期聘用人员的各类劳动报酬，以及为上述人员缴纳的各项社会保险费等。</w:t>
      </w:r>
    </w:p>
    <w:p>
      <w:pPr>
        <w:widowControl/>
        <w:spacing w:line="540" w:lineRule="exact"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商品和服务支出（类）：反映单位购买商品和服务的支出。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对个人和家庭补助支出（类）：反映政府用于对个人和家庭的补助支出。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color w:val="auto"/>
          <w:kern w:val="0"/>
          <w:sz w:val="30"/>
          <w:szCs w:val="30"/>
          <w:highlight w:val="none"/>
        </w:rPr>
      </w:pP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（二）机关运行经费安排</w:t>
      </w: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</w:rPr>
        <w:t>变化情况及原因</w:t>
      </w: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eastAsia="zh-CN"/>
        </w:rPr>
        <w:t>说明</w:t>
      </w:r>
    </w:p>
    <w:p>
      <w:pPr>
        <w:widowControl/>
        <w:ind w:firstLine="600"/>
        <w:jc w:val="left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（无相关公开内容的，需保留标题并在表述内容的位置注明“无”。）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德宏州茶叶技术推广站2020年机关运行经费安排0万元，与上年对比无增减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主要原因是</w:t>
      </w:r>
      <w:r>
        <w:rPr>
          <w:rFonts w:hint="eastAsia" w:eastAsia="仿宋_GB2312"/>
          <w:kern w:val="0"/>
          <w:sz w:val="30"/>
          <w:szCs w:val="30"/>
        </w:rPr>
        <w:t>我单位无机关运行经费</w:t>
      </w:r>
      <w:r>
        <w:rPr>
          <w:rFonts w:hint="eastAsia" w:eastAsia="仿宋_GB2312"/>
          <w:kern w:val="0"/>
          <w:sz w:val="30"/>
          <w:szCs w:val="30"/>
          <w:lang w:eastAsia="zh-CN"/>
        </w:rPr>
        <w:t>安排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无。</w:t>
      </w:r>
    </w:p>
    <w:p>
      <w:pPr>
        <w:widowControl/>
        <w:numPr>
          <w:ilvl w:val="0"/>
          <w:numId w:val="7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鉴于截至2020年12月31日的国有资产占有使用情况需在完成2020年决算编制后才能统计汇总相关数据，因此，将在公开2020年度部门决算时一并公开部门截至2020年12月31日的国有资产占有使用情况。</w:t>
      </w:r>
    </w:p>
    <w:p>
      <w:pPr>
        <w:widowControl/>
        <w:spacing w:line="540" w:lineRule="exact"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 xml:space="preserve">                                        2020年2月7日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A9B9"/>
    <w:multiLevelType w:val="singleLevel"/>
    <w:tmpl w:val="5C3DA9B9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C47BA42"/>
    <w:multiLevelType w:val="singleLevel"/>
    <w:tmpl w:val="5C47BA42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abstractNum w:abstractNumId="4">
    <w:nsid w:val="5E3B8CDD"/>
    <w:multiLevelType w:val="singleLevel"/>
    <w:tmpl w:val="5E3B8CDD"/>
    <w:lvl w:ilvl="0" w:tentative="0">
      <w:start w:val="2"/>
      <w:numFmt w:val="chineseCounting"/>
      <w:suff w:val="nothing"/>
      <w:lvlText w:val="%1、"/>
      <w:lvlJc w:val="left"/>
    </w:lvl>
  </w:abstractNum>
  <w:abstractNum w:abstractNumId="5">
    <w:nsid w:val="5E5F50D8"/>
    <w:multiLevelType w:val="singleLevel"/>
    <w:tmpl w:val="5E5F50D8"/>
    <w:lvl w:ilvl="0" w:tentative="0">
      <w:start w:val="1"/>
      <w:numFmt w:val="chineseCounting"/>
      <w:suff w:val="nothing"/>
      <w:lvlText w:val="（%1）"/>
      <w:lvlJc w:val="left"/>
    </w:lvl>
  </w:abstractNum>
  <w:abstractNum w:abstractNumId="6">
    <w:nsid w:val="5E5F51FE"/>
    <w:multiLevelType w:val="singleLevel"/>
    <w:tmpl w:val="5E5F51FE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5737A0"/>
    <w:rsid w:val="03F0214E"/>
    <w:rsid w:val="0457138A"/>
    <w:rsid w:val="05177DDF"/>
    <w:rsid w:val="06325B44"/>
    <w:rsid w:val="0AB77A2F"/>
    <w:rsid w:val="0EF41EBE"/>
    <w:rsid w:val="108B09B8"/>
    <w:rsid w:val="14EC2979"/>
    <w:rsid w:val="1A004813"/>
    <w:rsid w:val="1A0B3DDD"/>
    <w:rsid w:val="1E963EC3"/>
    <w:rsid w:val="230A432C"/>
    <w:rsid w:val="261C5BEC"/>
    <w:rsid w:val="39466C4F"/>
    <w:rsid w:val="3B5D48C6"/>
    <w:rsid w:val="3D681373"/>
    <w:rsid w:val="3E7B0117"/>
    <w:rsid w:val="40BA67CA"/>
    <w:rsid w:val="4DD3399B"/>
    <w:rsid w:val="51FE023A"/>
    <w:rsid w:val="61D0076F"/>
    <w:rsid w:val="66C215AC"/>
    <w:rsid w:val="6D6E27A9"/>
    <w:rsid w:val="724A4A01"/>
    <w:rsid w:val="7B1E5394"/>
    <w:rsid w:val="7EBB7CF7"/>
    <w:rsid w:val="7F5457C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2020-03-04T07:03:13Z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