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bookmarkStart w:id="0" w:name="_GoBack"/>
      <w:r>
        <w:rPr>
          <w:rFonts w:hint="eastAsia" w:ascii="黑体" w:hAnsi="宋体" w:eastAsia="黑体" w:cs="Times New Roman"/>
          <w:kern w:val="2"/>
          <w:sz w:val="36"/>
          <w:szCs w:val="36"/>
          <w:lang w:val="en-US" w:eastAsia="zh-CN" w:bidi="ar"/>
        </w:rPr>
        <w:t>德宏州农机安全监理所 2018</w:t>
      </w:r>
      <w:r>
        <w:rPr>
          <w:rFonts w:hint="eastAsia" w:ascii="黑体" w:hAnsi="黑体" w:eastAsia="黑体"/>
          <w:sz w:val="36"/>
          <w:szCs w:val="36"/>
        </w:rPr>
        <w:t>年度部门决算</w:t>
      </w:r>
    </w:p>
    <w:bookmarkEnd w:id="0"/>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宋体" w:eastAsia="黑体" w:cs="Times New Roman"/>
          <w:kern w:val="2"/>
          <w:sz w:val="30"/>
          <w:szCs w:val="30"/>
          <w:lang w:val="en-US" w:eastAsia="zh-CN" w:bidi="ar"/>
        </w:rPr>
        <w:t xml:space="preserve"> 德宏州农机安全监理所</w:t>
      </w:r>
      <w:r>
        <w:rPr>
          <w:rFonts w:hint="eastAsia" w:ascii="黑体" w:hAnsi="黑体" w:eastAsia="黑体"/>
          <w:sz w:val="30"/>
          <w:szCs w:val="30"/>
        </w:rPr>
        <w:t>概况</w:t>
      </w:r>
    </w:p>
    <w:p>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p>
    <w:p>
      <w:pPr>
        <w:spacing w:line="240" w:lineRule="atLeast"/>
        <w:jc w:val="left"/>
        <w:rPr>
          <w:rFonts w:hint="eastAsia" w:ascii="楷体" w:hAnsi="楷体" w:eastAsia="楷体"/>
          <w:sz w:val="30"/>
          <w:szCs w:val="30"/>
        </w:rPr>
      </w:pPr>
      <w:r>
        <w:rPr>
          <w:rFonts w:hint="eastAsia" w:ascii="楷体" w:hAnsi="楷体" w:eastAsia="楷体"/>
          <w:sz w:val="30"/>
          <w:szCs w:val="30"/>
        </w:rPr>
        <w:t>二、部门基本情况</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val="en-US" w:eastAsia="zh-CN"/>
        </w:rPr>
        <w:t>2018</w:t>
      </w:r>
      <w:r>
        <w:rPr>
          <w:rFonts w:hint="eastAsia" w:ascii="黑体" w:hAnsi="黑体" w:eastAsia="黑体"/>
          <w:sz w:val="30"/>
          <w:szCs w:val="30"/>
        </w:rPr>
        <w:t>年度部门决算表</w:t>
      </w:r>
    </w:p>
    <w:p>
      <w:pPr>
        <w:jc w:val="left"/>
        <w:rPr>
          <w:rFonts w:hint="eastAsia" w:ascii="楷体" w:hAnsi="楷体" w:eastAsia="楷体"/>
          <w:sz w:val="30"/>
          <w:szCs w:val="30"/>
        </w:rPr>
      </w:pPr>
      <w:r>
        <w:rPr>
          <w:rFonts w:hint="eastAsia" w:ascii="楷体" w:hAnsi="楷体" w:eastAsia="楷体"/>
          <w:sz w:val="30"/>
          <w:szCs w:val="30"/>
        </w:rPr>
        <w:t>一、收入支出决算总表</w:t>
      </w:r>
    </w:p>
    <w:p>
      <w:pPr>
        <w:jc w:val="left"/>
        <w:rPr>
          <w:rFonts w:hint="eastAsia" w:ascii="楷体" w:hAnsi="楷体" w:eastAsia="楷体"/>
          <w:sz w:val="30"/>
          <w:szCs w:val="30"/>
        </w:rPr>
      </w:pPr>
      <w:r>
        <w:rPr>
          <w:rFonts w:hint="eastAsia" w:ascii="楷体" w:hAnsi="楷体" w:eastAsia="楷体"/>
          <w:sz w:val="30"/>
          <w:szCs w:val="30"/>
        </w:rPr>
        <w:t>二、收入决算表</w:t>
      </w:r>
    </w:p>
    <w:p>
      <w:pPr>
        <w:jc w:val="left"/>
        <w:rPr>
          <w:rFonts w:hint="eastAsia" w:ascii="楷体" w:hAnsi="楷体" w:eastAsia="楷体"/>
          <w:sz w:val="30"/>
          <w:szCs w:val="30"/>
        </w:rPr>
      </w:pPr>
      <w:r>
        <w:rPr>
          <w:rFonts w:hint="eastAsia" w:ascii="楷体" w:hAnsi="楷体" w:eastAsia="楷体"/>
          <w:sz w:val="30"/>
          <w:szCs w:val="30"/>
        </w:rPr>
        <w:t>三、支出决算表</w:t>
      </w:r>
    </w:p>
    <w:p>
      <w:pPr>
        <w:jc w:val="left"/>
        <w:rPr>
          <w:rFonts w:hint="eastAsia" w:ascii="楷体" w:hAnsi="楷体" w:eastAsia="楷体"/>
          <w:sz w:val="30"/>
          <w:szCs w:val="30"/>
        </w:rPr>
      </w:pPr>
      <w:r>
        <w:rPr>
          <w:rFonts w:hint="eastAsia" w:ascii="楷体" w:hAnsi="楷体" w:eastAsia="楷体"/>
          <w:sz w:val="30"/>
          <w:szCs w:val="30"/>
        </w:rPr>
        <w:t>四、财政拨款收入支出决算总表</w:t>
      </w:r>
    </w:p>
    <w:p>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pPr>
        <w:jc w:val="left"/>
        <w:rPr>
          <w:rFonts w:hint="eastAsia"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hint="eastAsia" w:ascii="楷体" w:hAnsi="楷体" w:eastAsia="楷体"/>
          <w:sz w:val="30"/>
          <w:szCs w:val="30"/>
        </w:rPr>
      </w:pPr>
      <w:r>
        <w:rPr>
          <w:rFonts w:hint="eastAsia" w:ascii="楷体" w:hAnsi="楷体" w:eastAsia="楷体"/>
          <w:sz w:val="30"/>
          <w:szCs w:val="30"/>
        </w:rPr>
        <w:t>八、财政专户管理资金收入支出决算表</w:t>
      </w:r>
    </w:p>
    <w:p>
      <w:pPr>
        <w:jc w:val="left"/>
        <w:rPr>
          <w:rFonts w:hint="eastAsia" w:ascii="楷体" w:hAnsi="楷体" w:eastAsia="楷体"/>
          <w:sz w:val="30"/>
          <w:szCs w:val="30"/>
        </w:rPr>
      </w:pPr>
      <w:r>
        <w:rPr>
          <w:rFonts w:hint="eastAsia" w:ascii="楷体" w:hAnsi="楷体" w:eastAsia="楷体"/>
          <w:sz w:val="30"/>
          <w:szCs w:val="30"/>
        </w:rPr>
        <w:t>九、“三公”经费、行政参公单位机关运行经费情况表</w:t>
      </w:r>
    </w:p>
    <w:p>
      <w:pPr>
        <w:jc w:val="left"/>
        <w:rPr>
          <w:rFonts w:hint="eastAsia" w:ascii="黑体" w:hAnsi="黑体" w:eastAsia="黑体"/>
          <w:sz w:val="30"/>
          <w:szCs w:val="30"/>
        </w:rPr>
      </w:pPr>
      <w:r>
        <w:rPr>
          <w:rFonts w:hint="eastAsia" w:ascii="黑体" w:hAnsi="黑体" w:eastAsia="黑体"/>
          <w:sz w:val="30"/>
          <w:szCs w:val="30"/>
        </w:rPr>
        <w:t xml:space="preserve">第三部门  </w:t>
      </w:r>
      <w:r>
        <w:rPr>
          <w:rFonts w:hint="eastAsia" w:ascii="黑体" w:hAnsi="黑体" w:eastAsia="黑体"/>
          <w:sz w:val="30"/>
          <w:szCs w:val="30"/>
          <w:lang w:val="en-US" w:eastAsia="zh-CN"/>
        </w:rPr>
        <w:t>2018</w:t>
      </w:r>
      <w:r>
        <w:rPr>
          <w:rFonts w:hint="eastAsia" w:ascii="黑体" w:hAnsi="黑体" w:eastAsia="黑体"/>
          <w:sz w:val="30"/>
          <w:szCs w:val="30"/>
        </w:rPr>
        <w:t>年度部门决算情况说明</w:t>
      </w:r>
    </w:p>
    <w:p>
      <w:pPr>
        <w:jc w:val="left"/>
        <w:rPr>
          <w:rFonts w:hint="eastAsia" w:ascii="楷体" w:hAnsi="楷体" w:eastAsia="楷体"/>
          <w:sz w:val="30"/>
          <w:szCs w:val="30"/>
        </w:rPr>
      </w:pPr>
      <w:r>
        <w:rPr>
          <w:rFonts w:hint="eastAsia" w:ascii="楷体" w:hAnsi="楷体" w:eastAsia="楷体"/>
          <w:sz w:val="30"/>
          <w:szCs w:val="30"/>
        </w:rPr>
        <w:t>一、收入决算情况说明</w:t>
      </w:r>
    </w:p>
    <w:p>
      <w:pPr>
        <w:jc w:val="left"/>
        <w:rPr>
          <w:rFonts w:hint="eastAsia" w:ascii="楷体" w:hAnsi="楷体" w:eastAsia="楷体"/>
          <w:sz w:val="30"/>
          <w:szCs w:val="30"/>
        </w:rPr>
      </w:pPr>
      <w:r>
        <w:rPr>
          <w:rFonts w:hint="eastAsia" w:ascii="楷体" w:hAnsi="楷体" w:eastAsia="楷体"/>
          <w:sz w:val="30"/>
          <w:szCs w:val="30"/>
        </w:rPr>
        <w:t>二、支出决算情况说明</w:t>
      </w:r>
    </w:p>
    <w:p>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lang w:eastAsia="zh-CN"/>
        </w:rPr>
        <w:t>第四部分</w:t>
      </w:r>
      <w:r>
        <w:rPr>
          <w:rFonts w:hint="eastAsia" w:ascii="楷体" w:hAnsi="楷体" w:eastAsia="楷体"/>
          <w:sz w:val="30"/>
          <w:szCs w:val="30"/>
          <w:lang w:val="en-US" w:eastAsia="zh-CN"/>
        </w:rPr>
        <w:t xml:space="preserve">  </w:t>
      </w:r>
      <w:r>
        <w:rPr>
          <w:rFonts w:hint="eastAsia" w:ascii="黑体" w:hAnsi="黑体" w:eastAsia="黑体"/>
          <w:sz w:val="30"/>
          <w:szCs w:val="30"/>
        </w:rPr>
        <w:t>其他重要事项及相关口径情况说明</w:t>
      </w:r>
    </w:p>
    <w:p>
      <w:pPr>
        <w:jc w:val="left"/>
        <w:rPr>
          <w:rFonts w:hint="eastAsia" w:ascii="楷体" w:hAnsi="楷体" w:eastAsia="楷体"/>
          <w:sz w:val="30"/>
          <w:szCs w:val="30"/>
          <w:lang w:eastAsia="zh-CN"/>
        </w:rPr>
      </w:pPr>
      <w:r>
        <w:rPr>
          <w:rFonts w:hint="eastAsia" w:ascii="楷体" w:hAnsi="楷体" w:eastAsia="楷体"/>
          <w:sz w:val="30"/>
          <w:szCs w:val="30"/>
          <w:lang w:eastAsia="zh-CN"/>
        </w:rPr>
        <w:t>一、</w:t>
      </w:r>
      <w:r>
        <w:rPr>
          <w:rFonts w:hint="eastAsia" w:ascii="楷体" w:hAnsi="楷体" w:eastAsia="楷体"/>
          <w:sz w:val="30"/>
          <w:szCs w:val="30"/>
        </w:rPr>
        <w:t>机关运行经费支出情况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二、</w:t>
      </w:r>
      <w:r>
        <w:rPr>
          <w:rFonts w:hint="eastAsia" w:ascii="楷体" w:hAnsi="楷体" w:eastAsia="楷体"/>
          <w:sz w:val="30"/>
          <w:szCs w:val="30"/>
        </w:rPr>
        <w:t>国有资产占用情况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三、</w:t>
      </w:r>
      <w:r>
        <w:rPr>
          <w:rFonts w:hint="eastAsia" w:ascii="楷体" w:hAnsi="楷体" w:eastAsia="楷体"/>
          <w:sz w:val="30"/>
          <w:szCs w:val="30"/>
        </w:rPr>
        <w:t>政府采购支出情况</w:t>
      </w:r>
    </w:p>
    <w:p>
      <w:pPr>
        <w:jc w:val="left"/>
        <w:rPr>
          <w:rFonts w:hint="eastAsia" w:ascii="楷体" w:hAnsi="楷体" w:eastAsia="楷体"/>
          <w:sz w:val="30"/>
          <w:szCs w:val="30"/>
          <w:lang w:val="en-US" w:eastAsia="zh-CN"/>
        </w:rPr>
      </w:pPr>
      <w:r>
        <w:rPr>
          <w:rFonts w:hint="eastAsia" w:ascii="楷体" w:hAnsi="楷体" w:eastAsia="楷体"/>
          <w:sz w:val="30"/>
          <w:szCs w:val="30"/>
          <w:lang w:eastAsia="zh-CN"/>
        </w:rPr>
        <w:t>四、</w:t>
      </w:r>
      <w:r>
        <w:rPr>
          <w:rFonts w:hint="eastAsia" w:ascii="楷体" w:hAnsi="楷体" w:eastAsia="楷体"/>
          <w:sz w:val="30"/>
          <w:szCs w:val="30"/>
          <w:lang w:val="en-US" w:eastAsia="zh-CN"/>
        </w:rPr>
        <w:t>部门绩效自评情况</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（一）</w:t>
      </w:r>
      <w:r>
        <w:rPr>
          <w:rFonts w:hint="eastAsia" w:ascii="楷体" w:hAnsi="楷体" w:eastAsia="楷体"/>
          <w:sz w:val="30"/>
          <w:szCs w:val="30"/>
          <w:lang w:eastAsia="zh-CN"/>
        </w:rPr>
        <w:t>项目支出概况</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（二）</w:t>
      </w:r>
      <w:r>
        <w:rPr>
          <w:rFonts w:hint="eastAsia" w:ascii="楷体" w:hAnsi="楷体" w:eastAsia="楷体"/>
          <w:sz w:val="30"/>
          <w:szCs w:val="30"/>
          <w:lang w:eastAsia="zh-CN"/>
        </w:rPr>
        <w:t>项目支出绩效自评</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（三）</w:t>
      </w:r>
      <w:r>
        <w:rPr>
          <w:rFonts w:hint="eastAsia" w:ascii="楷体" w:hAnsi="楷体" w:eastAsia="楷体"/>
          <w:sz w:val="30"/>
          <w:szCs w:val="30"/>
          <w:lang w:eastAsia="zh-CN"/>
        </w:rPr>
        <w:t>项目绩效目标管理</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（四）</w:t>
      </w:r>
      <w:r>
        <w:rPr>
          <w:rFonts w:hint="eastAsia" w:ascii="楷体" w:hAnsi="楷体" w:eastAsia="楷体"/>
          <w:sz w:val="30"/>
          <w:szCs w:val="30"/>
          <w:lang w:eastAsia="zh-CN"/>
        </w:rPr>
        <w:t>2018部门整体支出绩效自评报告</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（五）</w:t>
      </w:r>
      <w:r>
        <w:rPr>
          <w:rFonts w:hint="eastAsia" w:ascii="楷体" w:hAnsi="楷体" w:eastAsia="楷体"/>
          <w:sz w:val="30"/>
          <w:szCs w:val="30"/>
          <w:lang w:eastAsia="zh-CN"/>
        </w:rPr>
        <w:t>部门整体支出绩效自评表</w:t>
      </w:r>
    </w:p>
    <w:p>
      <w:pPr>
        <w:jc w:val="left"/>
        <w:rPr>
          <w:rFonts w:hint="eastAsia" w:ascii="楷体" w:hAnsi="楷体" w:eastAsia="楷体"/>
          <w:sz w:val="30"/>
          <w:szCs w:val="30"/>
          <w:lang w:eastAsia="zh-CN"/>
        </w:rPr>
      </w:pPr>
      <w:r>
        <w:rPr>
          <w:rFonts w:hint="eastAsia" w:ascii="楷体" w:hAnsi="楷体" w:eastAsia="楷体"/>
          <w:sz w:val="30"/>
          <w:szCs w:val="30"/>
          <w:lang w:eastAsia="zh-CN"/>
        </w:rPr>
        <w:t>五、</w:t>
      </w:r>
      <w:r>
        <w:rPr>
          <w:rFonts w:hint="eastAsia" w:ascii="楷体" w:hAnsi="楷体" w:eastAsia="楷体"/>
          <w:sz w:val="30"/>
          <w:szCs w:val="30"/>
          <w:lang w:val="en-US" w:eastAsia="zh-CN"/>
        </w:rPr>
        <w:t>其他重要事项情况说明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w:t>
      </w:r>
      <w:r>
        <w:rPr>
          <w:rFonts w:hint="eastAsia" w:ascii="黑体" w:hAnsi="黑体" w:eastAsia="黑体"/>
          <w:sz w:val="30"/>
          <w:szCs w:val="30"/>
          <w:lang w:eastAsia="zh-CN"/>
        </w:rPr>
        <w:t>五</w:t>
      </w:r>
      <w:r>
        <w:rPr>
          <w:rFonts w:hint="eastAsia" w:ascii="黑体" w:hAnsi="黑体" w:eastAsia="黑体"/>
          <w:sz w:val="30"/>
          <w:szCs w:val="30"/>
        </w:rPr>
        <w:t>部分  名词解释</w:t>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both"/>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宋体" w:eastAsia="黑体" w:cs="Times New Roman"/>
          <w:kern w:val="2"/>
          <w:sz w:val="32"/>
          <w:szCs w:val="32"/>
          <w:lang w:val="en-US" w:eastAsia="zh-CN" w:bidi="ar"/>
        </w:rPr>
        <w:t xml:space="preserve"> 德宏州农机安全监理所</w:t>
      </w:r>
      <w:r>
        <w:rPr>
          <w:rFonts w:hint="eastAsia" w:ascii="黑体" w:hAnsi="黑体" w:eastAsia="黑体"/>
          <w:sz w:val="32"/>
          <w:szCs w:val="32"/>
        </w:rPr>
        <w:t>概况</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hint="eastAsia" w:ascii="楷体" w:hAnsi="楷体" w:eastAsia="楷体"/>
          <w:sz w:val="30"/>
          <w:szCs w:val="30"/>
        </w:rPr>
      </w:pPr>
      <w:r>
        <w:rPr>
          <w:rFonts w:hint="eastAsia" w:ascii="楷体" w:hAnsi="楷体" w:eastAsia="楷体"/>
          <w:bCs/>
          <w:sz w:val="30"/>
          <w:szCs w:val="30"/>
        </w:rPr>
        <w:t>（一）主要职能</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eastAsia" w:ascii="仿宋_GB2312" w:eastAsia="仿宋_GB2312" w:cs="仿宋_GB2312"/>
          <w:spacing w:val="-4"/>
          <w:sz w:val="30"/>
          <w:szCs w:val="30"/>
          <w:lang w:val="en-US"/>
        </w:rPr>
      </w:pPr>
      <w:r>
        <w:rPr>
          <w:rFonts w:hint="eastAsia" w:ascii="仿宋_GB2312" w:hAnsi="仿宋" w:eastAsia="仿宋_GB2312" w:cs="仿宋_GB2312"/>
          <w:kern w:val="2"/>
          <w:sz w:val="30"/>
          <w:szCs w:val="30"/>
          <w:lang w:val="en-US" w:eastAsia="zh-CN" w:bidi="ar"/>
        </w:rPr>
        <w:t>对全州</w:t>
      </w:r>
      <w:r>
        <w:rPr>
          <w:rFonts w:hint="eastAsia" w:ascii="仿宋_GB2312" w:hAnsi="Times New Roman" w:eastAsia="仿宋_GB2312" w:cs="仿宋_GB2312"/>
          <w:spacing w:val="-4"/>
          <w:kern w:val="2"/>
          <w:sz w:val="30"/>
          <w:szCs w:val="30"/>
          <w:lang w:val="en-US" w:eastAsia="zh-CN" w:bidi="ar"/>
        </w:rPr>
        <w:t>拖拉机驾驶证业务工作的指导、检查和监督，对全州拖拉机、联合收割登记业务工作的指导、检查和监督；定期分析所辖区安全生产形势，制定具体实施方案，强化农机安全生产管理。</w:t>
      </w:r>
    </w:p>
    <w:p>
      <w:pPr>
        <w:pStyle w:val="2"/>
        <w:adjustRightInd w:val="0"/>
        <w:snapToGrid w:val="0"/>
        <w:spacing w:line="600" w:lineRule="exact"/>
        <w:ind w:firstLine="630" w:firstLineChars="210"/>
        <w:rPr>
          <w:rFonts w:hint="eastAsia" w:ascii="楷体" w:hAnsi="楷体" w:eastAsia="楷体"/>
          <w:bCs/>
          <w:szCs w:val="30"/>
        </w:rPr>
      </w:pPr>
      <w:r>
        <w:rPr>
          <w:rFonts w:hint="eastAsia" w:ascii="楷体" w:hAnsi="楷体" w:eastAsia="楷体"/>
          <w:bCs/>
          <w:szCs w:val="30"/>
        </w:rPr>
        <w:t>（二）</w:t>
      </w:r>
      <w:r>
        <w:rPr>
          <w:rFonts w:hint="eastAsia" w:ascii="楷体" w:hAnsi="楷体" w:eastAsia="楷体"/>
          <w:bCs/>
          <w:szCs w:val="30"/>
          <w:lang w:val="en-US" w:eastAsia="zh-CN"/>
        </w:rPr>
        <w:t>2018</w:t>
      </w:r>
      <w:r>
        <w:rPr>
          <w:rFonts w:hint="eastAsia" w:ascii="楷体" w:hAnsi="楷体" w:eastAsia="楷体"/>
          <w:bCs/>
          <w:szCs w:val="30"/>
        </w:rPr>
        <w:t>年度重点工作任务介绍</w:t>
      </w:r>
    </w:p>
    <w:p>
      <w:pPr>
        <w:keepNext w:val="0"/>
        <w:keepLines w:val="0"/>
        <w:widowControl w:val="0"/>
        <w:suppressLineNumbers w:val="0"/>
        <w:spacing w:before="0" w:beforeAutospacing="0" w:after="0" w:afterAutospacing="0"/>
        <w:ind w:left="0" w:right="0" w:firstLine="900" w:firstLineChars="3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通过办公设备的购置，加强了全州窗口单位的建设，改善了办公条件。通过购买安全宣传资料，广泛开展农机安全生产检查，强化了各级干部、群众的安全生产意识，提高了拖拉机机手的持证率，维护了农机安全生产秩序，消除了事故隐患，2018年我州未发生农业机械作业事故。</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二、部门基本情况</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（一）部门决算单位构成</w:t>
      </w:r>
    </w:p>
    <w:p>
      <w:pPr>
        <w:keepNext w:val="0"/>
        <w:keepLines w:val="0"/>
        <w:widowControl w:val="0"/>
        <w:suppressLineNumbers w:val="0"/>
        <w:spacing w:before="0" w:beforeAutospacing="0" w:after="0" w:afterAutospacing="0" w:line="600" w:lineRule="exact"/>
        <w:ind w:left="0" w:right="0" w:firstLine="600" w:firstLineChars="200"/>
        <w:jc w:val="both"/>
        <w:rPr>
          <w:rFonts w:hint="eastAsia" w:ascii="仿宋_GB2312" w:eastAsia="仿宋_GB2312" w:cs="仿宋_GB2312"/>
          <w:sz w:val="30"/>
          <w:szCs w:val="30"/>
          <w:lang w:val="en-US"/>
        </w:rPr>
      </w:pPr>
      <w:r>
        <w:rPr>
          <w:rFonts w:hint="eastAsia" w:ascii="仿宋_GB2312" w:hAnsi="Times New Roman" w:eastAsia="仿宋_GB2312" w:cs="仿宋_GB2312"/>
          <w:kern w:val="2"/>
          <w:sz w:val="30"/>
          <w:szCs w:val="30"/>
          <w:lang w:val="en-US" w:eastAsia="zh-CN" w:bidi="ar"/>
        </w:rPr>
        <w:t>纳入德宏州农机安全监理所2018年度部门决算编报的单位共1个。其中：行政单位0个，参照公务员法管理的事业单位</w:t>
      </w:r>
      <w:r>
        <w:rPr>
          <w:rFonts w:hint="eastAsia" w:ascii="仿宋_GB2312" w:hAnsi="Times New Roman" w:eastAsia="仿宋_GB2312" w:cs="仿宋_GB2312"/>
          <w:bCs/>
          <w:kern w:val="2"/>
          <w:sz w:val="30"/>
          <w:szCs w:val="30"/>
          <w:lang w:val="en-US" w:eastAsia="zh-CN" w:bidi="ar"/>
        </w:rPr>
        <w:t>1</w:t>
      </w:r>
      <w:r>
        <w:rPr>
          <w:rFonts w:hint="eastAsia" w:ascii="仿宋_GB2312" w:hAnsi="Times New Roman" w:eastAsia="仿宋_GB2312" w:cs="仿宋_GB2312"/>
          <w:kern w:val="2"/>
          <w:sz w:val="30"/>
          <w:szCs w:val="30"/>
          <w:lang w:val="en-US" w:eastAsia="zh-CN" w:bidi="ar"/>
        </w:rPr>
        <w:t>个，其他事业单位0个。</w:t>
      </w:r>
    </w:p>
    <w:p>
      <w:pPr>
        <w:ind w:firstLine="600" w:firstLineChars="200"/>
        <w:rPr>
          <w:rFonts w:hint="eastAsia" w:ascii="楷体" w:hAnsi="楷体" w:eastAsia="楷体"/>
          <w:sz w:val="30"/>
          <w:szCs w:val="30"/>
        </w:rPr>
      </w:pPr>
      <w:r>
        <w:rPr>
          <w:rFonts w:hint="eastAsia" w:ascii="楷体" w:hAnsi="楷体" w:eastAsia="楷体"/>
          <w:sz w:val="30"/>
          <w:szCs w:val="30"/>
        </w:rPr>
        <w:t xml:space="preserve">（二）部门人员和车辆的编制及实有情况 </w:t>
      </w:r>
    </w:p>
    <w:p>
      <w:pPr>
        <w:keepNext w:val="0"/>
        <w:keepLines w:val="0"/>
        <w:widowControl w:val="0"/>
        <w:suppressLineNumbers w:val="0"/>
        <w:spacing w:before="0" w:beforeAutospacing="0" w:after="0" w:afterAutospacing="0" w:line="600" w:lineRule="exact"/>
        <w:ind w:left="0" w:right="0" w:firstLine="600" w:firstLineChars="200"/>
        <w:jc w:val="both"/>
        <w:rPr>
          <w:rFonts w:hint="eastAsia" w:ascii="仿宋_GB2312" w:hAnsi="宋体" w:eastAsia="仿宋_GB2312" w:cs="Arial"/>
          <w:kern w:val="0"/>
          <w:sz w:val="30"/>
          <w:szCs w:val="30"/>
          <w:lang w:val="en-US"/>
        </w:rPr>
      </w:pPr>
      <w:r>
        <w:rPr>
          <w:rFonts w:hint="eastAsia" w:ascii="仿宋_GB2312" w:hAnsi="Times New Roman" w:eastAsia="仿宋_GB2312" w:cs="仿宋_GB2312"/>
          <w:kern w:val="2"/>
          <w:sz w:val="30"/>
          <w:szCs w:val="30"/>
          <w:lang w:val="en-US" w:eastAsia="zh-CN" w:bidi="ar"/>
        </w:rPr>
        <w:t>德宏州农机安全监理所2018年末实有人员编制12</w:t>
      </w:r>
      <w:r>
        <w:rPr>
          <w:rFonts w:hint="eastAsia" w:ascii="仿宋_GB2312" w:hAnsi="宋体" w:eastAsia="仿宋_GB2312" w:cs="Arial"/>
          <w:kern w:val="0"/>
          <w:sz w:val="30"/>
          <w:szCs w:val="30"/>
          <w:lang w:val="en-US" w:eastAsia="zh-CN" w:bidi="ar"/>
        </w:rPr>
        <w:t>人。其中：行政编制</w:t>
      </w:r>
      <w:r>
        <w:rPr>
          <w:rFonts w:hint="eastAsia" w:ascii="仿宋_GB2312" w:hAnsi="Times New Roman" w:eastAsia="仿宋_GB2312" w:cs="仿宋_GB2312"/>
          <w:kern w:val="2"/>
          <w:sz w:val="30"/>
          <w:szCs w:val="30"/>
          <w:lang w:val="en-US" w:eastAsia="zh-CN" w:bidi="ar"/>
        </w:rPr>
        <w:t>0</w:t>
      </w:r>
      <w:r>
        <w:rPr>
          <w:rFonts w:hint="eastAsia" w:ascii="仿宋_GB2312" w:hAnsi="宋体" w:eastAsia="仿宋_GB2312" w:cs="Arial"/>
          <w:kern w:val="0"/>
          <w:sz w:val="30"/>
          <w:szCs w:val="30"/>
          <w:lang w:val="en-US" w:eastAsia="zh-CN" w:bidi="ar"/>
        </w:rPr>
        <w:t>人（含行政工勤编制</w:t>
      </w:r>
      <w:r>
        <w:rPr>
          <w:rFonts w:hint="eastAsia" w:ascii="仿宋_GB2312" w:hAnsi="Times New Roman" w:eastAsia="仿宋_GB2312" w:cs="仿宋_GB2312"/>
          <w:kern w:val="2"/>
          <w:sz w:val="30"/>
          <w:szCs w:val="30"/>
          <w:lang w:val="en-US" w:eastAsia="zh-CN" w:bidi="ar"/>
        </w:rPr>
        <w:t>0</w:t>
      </w:r>
      <w:r>
        <w:rPr>
          <w:rFonts w:hint="eastAsia" w:ascii="仿宋_GB2312" w:hAnsi="宋体" w:eastAsia="仿宋_GB2312" w:cs="Arial"/>
          <w:kern w:val="0"/>
          <w:sz w:val="30"/>
          <w:szCs w:val="30"/>
          <w:lang w:val="en-US" w:eastAsia="zh-CN" w:bidi="ar"/>
        </w:rPr>
        <w:t>人），事业编制</w:t>
      </w:r>
      <w:r>
        <w:rPr>
          <w:rFonts w:hint="eastAsia" w:ascii="仿宋_GB2312" w:hAnsi="Times New Roman" w:eastAsia="仿宋_GB2312" w:cs="仿宋_GB2312"/>
          <w:kern w:val="2"/>
          <w:sz w:val="30"/>
          <w:szCs w:val="30"/>
          <w:lang w:val="en-US" w:eastAsia="zh-CN" w:bidi="ar"/>
        </w:rPr>
        <w:t>12</w:t>
      </w:r>
      <w:r>
        <w:rPr>
          <w:rFonts w:hint="eastAsia" w:ascii="仿宋_GB2312" w:hAnsi="宋体" w:eastAsia="仿宋_GB2312" w:cs="Arial"/>
          <w:kern w:val="0"/>
          <w:sz w:val="30"/>
          <w:szCs w:val="30"/>
          <w:lang w:val="en-US" w:eastAsia="zh-CN" w:bidi="ar"/>
        </w:rPr>
        <w:t>人（含参公管理事业编制</w:t>
      </w:r>
      <w:r>
        <w:rPr>
          <w:rFonts w:hint="eastAsia" w:ascii="仿宋_GB2312" w:hAnsi="Times New Roman" w:eastAsia="仿宋_GB2312" w:cs="仿宋_GB2312"/>
          <w:kern w:val="2"/>
          <w:sz w:val="30"/>
          <w:szCs w:val="30"/>
          <w:lang w:val="en-US" w:eastAsia="zh-CN" w:bidi="ar"/>
        </w:rPr>
        <w:t>12</w:t>
      </w:r>
      <w:r>
        <w:rPr>
          <w:rFonts w:hint="eastAsia" w:ascii="仿宋_GB2312" w:hAnsi="宋体" w:eastAsia="仿宋_GB2312" w:cs="Arial"/>
          <w:kern w:val="0"/>
          <w:sz w:val="30"/>
          <w:szCs w:val="30"/>
          <w:lang w:val="en-US" w:eastAsia="zh-CN" w:bidi="ar"/>
        </w:rPr>
        <w:t>人）；在职在编实有行政人员</w:t>
      </w:r>
      <w:r>
        <w:rPr>
          <w:rFonts w:hint="eastAsia" w:ascii="仿宋_GB2312" w:hAnsi="Times New Roman" w:eastAsia="仿宋_GB2312" w:cs="仿宋_GB2312"/>
          <w:kern w:val="2"/>
          <w:sz w:val="30"/>
          <w:szCs w:val="30"/>
          <w:lang w:val="en-US" w:eastAsia="zh-CN" w:bidi="ar"/>
        </w:rPr>
        <w:t>0</w:t>
      </w:r>
      <w:r>
        <w:rPr>
          <w:rFonts w:hint="eastAsia" w:ascii="仿宋_GB2312" w:hAnsi="宋体" w:eastAsia="仿宋_GB2312" w:cs="Arial"/>
          <w:kern w:val="0"/>
          <w:sz w:val="30"/>
          <w:szCs w:val="30"/>
          <w:lang w:val="en-US" w:eastAsia="zh-CN" w:bidi="ar"/>
        </w:rPr>
        <w:t>人（含行政工勤人员</w:t>
      </w:r>
      <w:r>
        <w:rPr>
          <w:rFonts w:hint="eastAsia" w:ascii="仿宋_GB2312" w:hAnsi="Times New Roman" w:eastAsia="仿宋_GB2312" w:cs="仿宋_GB2312"/>
          <w:kern w:val="2"/>
          <w:sz w:val="30"/>
          <w:szCs w:val="30"/>
          <w:lang w:val="en-US" w:eastAsia="zh-CN" w:bidi="ar"/>
        </w:rPr>
        <w:t>0</w:t>
      </w:r>
      <w:r>
        <w:rPr>
          <w:rFonts w:hint="eastAsia" w:ascii="仿宋_GB2312" w:hAnsi="宋体" w:eastAsia="仿宋_GB2312" w:cs="Arial"/>
          <w:kern w:val="0"/>
          <w:sz w:val="30"/>
          <w:szCs w:val="30"/>
          <w:lang w:val="en-US" w:eastAsia="zh-CN" w:bidi="ar"/>
        </w:rPr>
        <w:t>人），事业人员</w:t>
      </w:r>
      <w:r>
        <w:rPr>
          <w:rFonts w:hint="eastAsia" w:ascii="仿宋_GB2312" w:hAnsi="Times New Roman" w:eastAsia="仿宋_GB2312" w:cs="仿宋_GB2312"/>
          <w:kern w:val="2"/>
          <w:sz w:val="30"/>
          <w:szCs w:val="30"/>
          <w:lang w:val="en-US" w:eastAsia="zh-CN" w:bidi="ar"/>
        </w:rPr>
        <w:t>12</w:t>
      </w:r>
      <w:r>
        <w:rPr>
          <w:rFonts w:hint="eastAsia" w:ascii="仿宋_GB2312" w:hAnsi="宋体" w:eastAsia="仿宋_GB2312" w:cs="Arial"/>
          <w:kern w:val="0"/>
          <w:sz w:val="30"/>
          <w:szCs w:val="30"/>
          <w:lang w:val="en-US" w:eastAsia="zh-CN" w:bidi="ar"/>
        </w:rPr>
        <w:t>人（含参公管理事业人员</w:t>
      </w:r>
      <w:r>
        <w:rPr>
          <w:rFonts w:hint="eastAsia" w:ascii="仿宋_GB2312" w:hAnsi="Times New Roman" w:eastAsia="仿宋_GB2312" w:cs="仿宋_GB2312"/>
          <w:kern w:val="2"/>
          <w:sz w:val="30"/>
          <w:szCs w:val="30"/>
          <w:lang w:val="en-US" w:eastAsia="zh-CN" w:bidi="ar"/>
        </w:rPr>
        <w:t>12</w:t>
      </w:r>
      <w:r>
        <w:rPr>
          <w:rFonts w:hint="eastAsia" w:ascii="仿宋_GB2312" w:hAnsi="宋体" w:eastAsia="仿宋_GB2312" w:cs="Arial"/>
          <w:kern w:val="0"/>
          <w:sz w:val="30"/>
          <w:szCs w:val="30"/>
          <w:lang w:val="en-US" w:eastAsia="zh-CN" w:bidi="ar"/>
        </w:rPr>
        <w:t>人）。</w:t>
      </w:r>
    </w:p>
    <w:p>
      <w:pPr>
        <w:keepNext w:val="0"/>
        <w:keepLines w:val="0"/>
        <w:widowControl w:val="0"/>
        <w:suppressLineNumbers w:val="0"/>
        <w:spacing w:before="0" w:beforeAutospacing="0" w:after="0" w:afterAutospacing="0" w:line="600" w:lineRule="exact"/>
        <w:ind w:left="0" w:right="0" w:firstLine="600" w:firstLineChars="200"/>
        <w:jc w:val="both"/>
        <w:rPr>
          <w:rFonts w:hint="eastAsia" w:ascii="仿宋_GB2312" w:hAnsi="宋体" w:eastAsia="仿宋_GB2312" w:cs="Arial"/>
          <w:kern w:val="0"/>
          <w:sz w:val="30"/>
          <w:szCs w:val="30"/>
          <w:lang w:val="en-US"/>
        </w:rPr>
      </w:pPr>
      <w:r>
        <w:rPr>
          <w:rFonts w:hint="eastAsia" w:ascii="仿宋_GB2312" w:hAnsi="宋体" w:eastAsia="仿宋_GB2312" w:cs="Arial"/>
          <w:kern w:val="0"/>
          <w:sz w:val="30"/>
          <w:szCs w:val="30"/>
          <w:lang w:val="en-US" w:eastAsia="zh-CN" w:bidi="ar"/>
        </w:rPr>
        <w:t>离退休人员</w:t>
      </w:r>
      <w:r>
        <w:rPr>
          <w:rFonts w:hint="eastAsia" w:ascii="仿宋_GB2312" w:hAnsi="Times New Roman" w:eastAsia="仿宋_GB2312" w:cs="仿宋_GB2312"/>
          <w:kern w:val="2"/>
          <w:sz w:val="30"/>
          <w:szCs w:val="30"/>
          <w:lang w:val="en-US" w:eastAsia="zh-CN" w:bidi="ar"/>
        </w:rPr>
        <w:t>6</w:t>
      </w:r>
      <w:r>
        <w:rPr>
          <w:rFonts w:hint="eastAsia" w:ascii="仿宋_GB2312" w:hAnsi="宋体" w:eastAsia="仿宋_GB2312" w:cs="Arial"/>
          <w:kern w:val="0"/>
          <w:sz w:val="30"/>
          <w:szCs w:val="30"/>
          <w:lang w:val="en-US" w:eastAsia="zh-CN" w:bidi="ar"/>
        </w:rPr>
        <w:t>人。其中：离休</w:t>
      </w:r>
      <w:r>
        <w:rPr>
          <w:rFonts w:hint="eastAsia" w:ascii="仿宋_GB2312" w:hAnsi="Times New Roman" w:eastAsia="仿宋_GB2312" w:cs="仿宋_GB2312"/>
          <w:kern w:val="2"/>
          <w:sz w:val="30"/>
          <w:szCs w:val="30"/>
          <w:lang w:val="en-US" w:eastAsia="zh-CN" w:bidi="ar"/>
        </w:rPr>
        <w:t>0</w:t>
      </w:r>
      <w:r>
        <w:rPr>
          <w:rFonts w:hint="eastAsia" w:ascii="仿宋_GB2312" w:hAnsi="宋体" w:eastAsia="仿宋_GB2312" w:cs="Arial"/>
          <w:kern w:val="0"/>
          <w:sz w:val="30"/>
          <w:szCs w:val="30"/>
          <w:lang w:val="en-US" w:eastAsia="zh-CN" w:bidi="ar"/>
        </w:rPr>
        <w:t>人，退休</w:t>
      </w:r>
      <w:r>
        <w:rPr>
          <w:rFonts w:hint="eastAsia" w:ascii="仿宋_GB2312" w:hAnsi="Times New Roman" w:eastAsia="仿宋_GB2312" w:cs="仿宋_GB2312"/>
          <w:kern w:val="2"/>
          <w:sz w:val="30"/>
          <w:szCs w:val="30"/>
          <w:lang w:val="en-US" w:eastAsia="zh-CN" w:bidi="ar"/>
        </w:rPr>
        <w:t>6</w:t>
      </w:r>
      <w:r>
        <w:rPr>
          <w:rFonts w:hint="eastAsia" w:ascii="仿宋_GB2312" w:hAnsi="宋体" w:eastAsia="仿宋_GB2312" w:cs="Arial"/>
          <w:kern w:val="0"/>
          <w:sz w:val="30"/>
          <w:szCs w:val="30"/>
          <w:lang w:val="en-US" w:eastAsia="zh-CN" w:bidi="ar"/>
        </w:rPr>
        <w:t>人。</w:t>
      </w:r>
    </w:p>
    <w:p>
      <w:pPr>
        <w:keepNext w:val="0"/>
        <w:keepLines w:val="0"/>
        <w:widowControl w:val="0"/>
        <w:suppressLineNumbers w:val="0"/>
        <w:spacing w:before="0" w:beforeAutospacing="0" w:after="0" w:afterAutospacing="0" w:line="600" w:lineRule="exact"/>
        <w:ind w:left="0" w:right="0" w:firstLine="600" w:firstLineChars="200"/>
        <w:jc w:val="both"/>
        <w:rPr>
          <w:rFonts w:hint="eastAsia" w:ascii="仿宋_GB2312" w:hAnsi="宋体" w:eastAsia="仿宋_GB2312" w:cs="Arial"/>
          <w:kern w:val="0"/>
          <w:sz w:val="30"/>
          <w:szCs w:val="30"/>
          <w:lang w:val="en-US"/>
        </w:rPr>
      </w:pPr>
      <w:r>
        <w:rPr>
          <w:rFonts w:hint="eastAsia" w:ascii="仿宋_GB2312" w:hAnsi="宋体" w:eastAsia="仿宋_GB2312" w:cs="Arial"/>
          <w:kern w:val="0"/>
          <w:sz w:val="30"/>
          <w:szCs w:val="30"/>
          <w:lang w:val="en-US" w:eastAsia="zh-CN" w:bidi="ar"/>
        </w:rPr>
        <w:t>实有车辆编制</w:t>
      </w:r>
      <w:r>
        <w:rPr>
          <w:rFonts w:hint="eastAsia" w:ascii="仿宋_GB2312" w:hAnsi="Times New Roman" w:eastAsia="仿宋_GB2312" w:cs="仿宋_GB2312"/>
          <w:kern w:val="2"/>
          <w:sz w:val="30"/>
          <w:szCs w:val="30"/>
          <w:lang w:val="en-US" w:eastAsia="zh-CN" w:bidi="ar"/>
        </w:rPr>
        <w:t>1</w:t>
      </w:r>
      <w:r>
        <w:rPr>
          <w:rFonts w:hint="eastAsia" w:ascii="仿宋_GB2312" w:hAnsi="宋体" w:eastAsia="仿宋_GB2312" w:cs="Arial"/>
          <w:kern w:val="0"/>
          <w:sz w:val="30"/>
          <w:szCs w:val="30"/>
          <w:lang w:val="en-US" w:eastAsia="zh-CN" w:bidi="ar"/>
        </w:rPr>
        <w:t>辆，在编实有车辆</w:t>
      </w:r>
      <w:r>
        <w:rPr>
          <w:rFonts w:hint="eastAsia" w:ascii="仿宋_GB2312" w:hAnsi="Times New Roman" w:eastAsia="仿宋_GB2312" w:cs="仿宋_GB2312"/>
          <w:kern w:val="2"/>
          <w:sz w:val="30"/>
          <w:szCs w:val="30"/>
          <w:lang w:val="en-US" w:eastAsia="zh-CN" w:bidi="ar"/>
        </w:rPr>
        <w:t>1</w:t>
      </w:r>
      <w:r>
        <w:rPr>
          <w:rFonts w:hint="eastAsia" w:ascii="仿宋_GB2312" w:hAnsi="宋体" w:eastAsia="仿宋_GB2312" w:cs="Arial"/>
          <w:kern w:val="0"/>
          <w:sz w:val="30"/>
          <w:szCs w:val="30"/>
          <w:lang w:val="en-US" w:eastAsia="zh-CN" w:bidi="ar"/>
        </w:rPr>
        <w:t>辆。</w:t>
      </w:r>
    </w:p>
    <w:p>
      <w:pPr>
        <w:jc w:val="cente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2018</w:t>
      </w:r>
      <w:r>
        <w:rPr>
          <w:rFonts w:hint="eastAsia" w:ascii="黑体" w:hAnsi="黑体" w:eastAsia="黑体"/>
          <w:sz w:val="32"/>
          <w:szCs w:val="32"/>
        </w:rPr>
        <w:t>年度部门决算表</w:t>
      </w:r>
    </w:p>
    <w:p>
      <w:pPr>
        <w:spacing w:line="600" w:lineRule="exact"/>
        <w:ind w:firstLine="600" w:firstLineChars="200"/>
        <w:jc w:val="center"/>
        <w:rPr>
          <w:rFonts w:hint="eastAsia" w:ascii="仿宋_GB2312" w:eastAsia="仿宋_GB2312"/>
          <w:sz w:val="30"/>
          <w:szCs w:val="30"/>
        </w:rPr>
      </w:pPr>
      <w:r>
        <w:rPr>
          <w:rFonts w:hint="eastAsia" w:ascii="仿宋_GB2312" w:eastAsia="仿宋_GB2312"/>
          <w:sz w:val="30"/>
          <w:szCs w:val="30"/>
        </w:rPr>
        <w:t>（详见附件）</w:t>
      </w:r>
    </w:p>
    <w:p>
      <w:pPr>
        <w:spacing w:line="600" w:lineRule="exact"/>
        <w:ind w:firstLine="600" w:firstLineChars="200"/>
        <w:jc w:val="center"/>
        <w:rPr>
          <w:rFonts w:hint="eastAsia" w:ascii="仿宋_GB2312" w:eastAsia="仿宋_GB2312"/>
          <w:sz w:val="30"/>
          <w:szCs w:val="30"/>
        </w:rPr>
      </w:pPr>
    </w:p>
    <w:p>
      <w:pPr>
        <w:jc w:val="center"/>
        <w:rPr>
          <w:rFonts w:hint="eastAsia" w:ascii="黑体" w:hAnsi="黑体" w:eastAsia="黑体"/>
          <w:sz w:val="32"/>
          <w:szCs w:val="32"/>
        </w:rPr>
      </w:pPr>
      <w:r>
        <w:rPr>
          <w:rFonts w:hint="eastAsia" w:ascii="黑体" w:hAnsi="黑体" w:eastAsia="黑体"/>
          <w:sz w:val="32"/>
          <w:szCs w:val="32"/>
        </w:rPr>
        <w:t xml:space="preserve">第三部门  </w:t>
      </w:r>
      <w:r>
        <w:rPr>
          <w:rFonts w:hint="eastAsia" w:ascii="黑体" w:hAnsi="黑体" w:eastAsia="黑体"/>
          <w:sz w:val="32"/>
          <w:szCs w:val="32"/>
          <w:lang w:val="en-US" w:eastAsia="zh-CN"/>
        </w:rPr>
        <w:t>2018</w:t>
      </w:r>
      <w:r>
        <w:rPr>
          <w:rFonts w:hint="eastAsia" w:ascii="黑体" w:hAnsi="黑体" w:eastAsia="黑体"/>
          <w:sz w:val="32"/>
          <w:szCs w:val="32"/>
        </w:rPr>
        <w:t>年度部门决算情况说明</w:t>
      </w:r>
    </w:p>
    <w:p>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pPr>
        <w:keepNext w:val="0"/>
        <w:keepLines w:val="0"/>
        <w:widowControl w:val="0"/>
        <w:suppressLineNumbers w:val="0"/>
        <w:spacing w:before="0" w:beforeAutospacing="0" w:after="0" w:afterAutospacing="0"/>
        <w:ind w:left="0" w:right="0" w:firstLine="600" w:firstLineChars="200"/>
        <w:jc w:val="both"/>
        <w:rPr>
          <w:rFonts w:hint="eastAsia" w:ascii="仿宋" w:hAnsi="仿宋" w:eastAsia="仿宋" w:cs="仿宋"/>
          <w:sz w:val="32"/>
          <w:szCs w:val="32"/>
          <w:lang w:val="en-US"/>
        </w:rPr>
      </w:pPr>
      <w:r>
        <w:rPr>
          <w:rFonts w:hint="eastAsia" w:ascii="仿宋_GB2312" w:hAnsi="Times New Roman" w:eastAsia="仿宋_GB2312" w:cs="仿宋_GB2312"/>
          <w:kern w:val="2"/>
          <w:sz w:val="30"/>
          <w:szCs w:val="30"/>
          <w:lang w:val="en-US" w:eastAsia="zh-CN" w:bidi="ar"/>
        </w:rPr>
        <w:t>德宏州农机安全监理所2018年度收入合计224.11万元。其中：财政拨款收入224.11万元，占总收入的100%。与上年对比202.24万元，增加21.87万元，</w:t>
      </w:r>
      <w:r>
        <w:rPr>
          <w:rFonts w:hint="eastAsia" w:ascii="仿宋" w:hAnsi="仿宋" w:eastAsia="仿宋" w:cs="仿宋"/>
          <w:kern w:val="2"/>
          <w:sz w:val="32"/>
          <w:szCs w:val="32"/>
          <w:lang w:val="en-US" w:eastAsia="zh-CN" w:bidi="ar"/>
        </w:rPr>
        <w:t>增幅10.81%；由于人员工资的增加造成。</w:t>
      </w:r>
    </w:p>
    <w:p>
      <w:pPr>
        <w:keepNext w:val="0"/>
        <w:keepLines w:val="0"/>
        <w:widowControl w:val="0"/>
        <w:suppressLineNumbers w:val="0"/>
        <w:snapToGrid w:val="0"/>
        <w:spacing w:before="0" w:beforeAutospacing="0" w:after="0" w:afterAutospacing="0"/>
        <w:ind w:left="0" w:right="0" w:firstLine="2240" w:firstLineChars="700"/>
        <w:jc w:val="both"/>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xml:space="preserve">各项收入占总收入的比重  </w:t>
      </w:r>
    </w:p>
    <w:tbl>
      <w:tblPr>
        <w:tblStyle w:val="8"/>
        <w:tblpPr w:leftFromText="180" w:rightFromText="180" w:vertAnchor="text" w:horzAnchor="page" w:tblpX="1856" w:tblpY="444"/>
        <w:tblOverlap w:val="never"/>
        <w:tblW w:w="8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716"/>
        <w:gridCol w:w="3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类款项</w:t>
            </w:r>
          </w:p>
        </w:tc>
        <w:tc>
          <w:tcPr>
            <w:tcW w:w="2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金 额（万元）</w:t>
            </w:r>
          </w:p>
        </w:tc>
        <w:tc>
          <w:tcPr>
            <w:tcW w:w="3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收入所占比重%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2019999</w:t>
            </w:r>
          </w:p>
        </w:tc>
        <w:tc>
          <w:tcPr>
            <w:tcW w:w="2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10.8</w:t>
            </w:r>
          </w:p>
        </w:tc>
        <w:tc>
          <w:tcPr>
            <w:tcW w:w="3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2080502</w:t>
            </w:r>
          </w:p>
        </w:tc>
        <w:tc>
          <w:tcPr>
            <w:tcW w:w="2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eastAsia="zh-CN"/>
              </w:rPr>
            </w:pPr>
            <w:r>
              <w:rPr>
                <w:rFonts w:hint="eastAsia" w:ascii="仿宋_GB2312" w:hAnsi="仿宋" w:eastAsia="仿宋_GB2312" w:cs="仿宋_GB2312"/>
                <w:sz w:val="24"/>
                <w:szCs w:val="24"/>
                <w:lang w:val="en-US" w:eastAsia="zh-CN"/>
              </w:rPr>
              <w:t>0.36</w:t>
            </w:r>
          </w:p>
        </w:tc>
        <w:tc>
          <w:tcPr>
            <w:tcW w:w="3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2080505</w:t>
            </w:r>
          </w:p>
        </w:tc>
        <w:tc>
          <w:tcPr>
            <w:tcW w:w="2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18.18</w:t>
            </w:r>
          </w:p>
        </w:tc>
        <w:tc>
          <w:tcPr>
            <w:tcW w:w="3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2130104</w:t>
            </w:r>
          </w:p>
        </w:tc>
        <w:tc>
          <w:tcPr>
            <w:tcW w:w="2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161.26</w:t>
            </w:r>
          </w:p>
        </w:tc>
        <w:tc>
          <w:tcPr>
            <w:tcW w:w="3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71.96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kern w:val="2"/>
                <w:sz w:val="24"/>
                <w:szCs w:val="24"/>
                <w:lang w:val="en-US" w:eastAsia="zh-CN" w:bidi="ar"/>
              </w:rPr>
            </w:pPr>
            <w:r>
              <w:rPr>
                <w:rFonts w:hint="eastAsia" w:ascii="仿宋_GB2312" w:hAnsi="仿宋" w:eastAsia="仿宋_GB2312" w:cs="仿宋_GB2312"/>
                <w:kern w:val="2"/>
                <w:sz w:val="24"/>
                <w:szCs w:val="24"/>
                <w:lang w:val="en-US" w:eastAsia="zh-CN" w:bidi="ar"/>
              </w:rPr>
              <w:t>2130106</w:t>
            </w:r>
          </w:p>
        </w:tc>
        <w:tc>
          <w:tcPr>
            <w:tcW w:w="2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kern w:val="2"/>
                <w:sz w:val="24"/>
                <w:szCs w:val="24"/>
                <w:lang w:val="en-US" w:eastAsia="zh-CN" w:bidi="ar"/>
              </w:rPr>
            </w:pPr>
            <w:r>
              <w:rPr>
                <w:rFonts w:hint="eastAsia" w:ascii="仿宋_GB2312" w:hAnsi="仿宋" w:eastAsia="仿宋_GB2312" w:cs="仿宋_GB2312"/>
                <w:kern w:val="2"/>
                <w:sz w:val="24"/>
                <w:szCs w:val="24"/>
                <w:lang w:val="en-US" w:eastAsia="zh-CN" w:bidi="ar"/>
              </w:rPr>
              <w:t>3</w:t>
            </w:r>
          </w:p>
        </w:tc>
        <w:tc>
          <w:tcPr>
            <w:tcW w:w="3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kern w:val="2"/>
                <w:sz w:val="24"/>
                <w:szCs w:val="24"/>
                <w:lang w:val="en-US" w:eastAsia="zh-CN" w:bidi="ar"/>
              </w:rPr>
            </w:pPr>
            <w:r>
              <w:rPr>
                <w:rFonts w:hint="eastAsia" w:ascii="仿宋_GB2312" w:hAnsi="仿宋" w:eastAsia="仿宋_GB2312" w:cs="仿宋_GB2312"/>
                <w:kern w:val="2"/>
                <w:sz w:val="24"/>
                <w:szCs w:val="24"/>
                <w:lang w:val="en-US" w:eastAsia="zh-CN" w:bidi="ar"/>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2130110</w:t>
            </w:r>
          </w:p>
        </w:tc>
        <w:tc>
          <w:tcPr>
            <w:tcW w:w="2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19.98</w:t>
            </w:r>
          </w:p>
        </w:tc>
        <w:tc>
          <w:tcPr>
            <w:tcW w:w="3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2210201</w:t>
            </w:r>
          </w:p>
        </w:tc>
        <w:tc>
          <w:tcPr>
            <w:tcW w:w="2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10.53</w:t>
            </w:r>
          </w:p>
        </w:tc>
        <w:tc>
          <w:tcPr>
            <w:tcW w:w="3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4.69</w:t>
            </w:r>
          </w:p>
        </w:tc>
      </w:tr>
    </w:tbl>
    <w:p>
      <w:pPr>
        <w:keepNext w:val="0"/>
        <w:keepLines w:val="0"/>
        <w:widowControl/>
        <w:suppressLineNumbers w:val="0"/>
        <w:snapToGrid w:val="0"/>
        <w:spacing w:before="100" w:beforeAutospacing="0" w:after="100" w:afterAutospacing="0" w:line="600" w:lineRule="exact"/>
        <w:ind w:right="0"/>
        <w:jc w:val="left"/>
        <w:rPr>
          <w:rFonts w:hint="eastAsia" w:ascii="黑体" w:hAnsi="宋体" w:eastAsia="黑体" w:cs="黑体"/>
          <w:sz w:val="30"/>
          <w:szCs w:val="30"/>
          <w:lang w:val="en-US"/>
        </w:rPr>
      </w:pPr>
    </w:p>
    <w:p>
      <w:pPr>
        <w:keepNext w:val="0"/>
        <w:keepLines w:val="0"/>
        <w:widowControl/>
        <w:suppressLineNumbers w:val="0"/>
        <w:snapToGrid w:val="0"/>
        <w:spacing w:before="100" w:beforeAutospacing="0" w:after="100" w:afterAutospacing="0" w:line="600" w:lineRule="exact"/>
        <w:ind w:right="0"/>
        <w:jc w:val="left"/>
        <w:rPr>
          <w:rFonts w:hint="eastAsia" w:ascii="黑体" w:hAnsi="黑体" w:eastAsia="黑体"/>
          <w:sz w:val="30"/>
          <w:szCs w:val="30"/>
        </w:rPr>
      </w:pPr>
      <w:r>
        <w:rPr>
          <w:rFonts w:hint="default" w:ascii="Times New Roman" w:hAnsi="Times New Roman" w:eastAsia="宋体" w:cs="Times New Roman"/>
          <w:snapToGrid w:val="0"/>
          <w:kern w:val="2"/>
          <w:sz w:val="21"/>
          <w:szCs w:val="24"/>
          <w:lang w:val="en-US" w:eastAsia="zh-CN" w:bidi="ar"/>
        </w:rPr>
        <w:pict>
          <v:shape id="_x0000_s1026" o:spid="_x0000_s1026" o:spt="75" type="#_x0000_t75" style="position:absolute;left:0pt;margin-left:16.5pt;margin-top:508.6pt;height:168.85pt;width:313.45pt;mso-wrap-distance-bottom:0pt;mso-wrap-distance-left:9pt;mso-wrap-distance-right:9pt;mso-wrap-distance-top:0pt;z-index:251659264;mso-width-relative:page;mso-height-relative:page;" o:ole="t" filled="f" o:preferrelative="t" stroked="f" coordsize="21600,21600">
            <v:path/>
            <v:fill on="f" focussize="0,0"/>
            <v:stroke on="f"/>
            <v:imagedata r:id="rId8" o:title=""/>
            <o:lock v:ext="edit" aspectratio="t"/>
            <w10:wrap type="square"/>
          </v:shape>
          <o:OLEObject Type="Embed" ProgID="MSGraph.Chart.8" ShapeID="_x0000_s1026" DrawAspect="Content" ObjectID="_1468075725" r:id="rId7">
            <o:LockedField>false</o:LockedField>
          </o:OLEObject>
        </w:pict>
      </w: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keepNext w:val="0"/>
        <w:keepLines w:val="0"/>
        <w:widowControl w:val="0"/>
        <w:suppressLineNumbers w:val="0"/>
        <w:spacing w:before="0" w:beforeAutospacing="0" w:after="0" w:afterAutospacing="0"/>
        <w:ind w:left="0" w:right="0" w:firstLine="600" w:firstLineChars="200"/>
        <w:jc w:val="both"/>
        <w:rPr>
          <w:rFonts w:hint="eastAsia" w:ascii="仿宋" w:hAnsi="仿宋" w:eastAsia="仿宋" w:cs="仿宋"/>
          <w:sz w:val="32"/>
          <w:szCs w:val="32"/>
          <w:lang w:val="en-US"/>
        </w:rPr>
      </w:pPr>
      <w:r>
        <w:rPr>
          <w:rFonts w:hint="eastAsia" w:ascii="仿宋_GB2312" w:hAnsi="Times New Roman" w:eastAsia="仿宋_GB2312" w:cs="仿宋_GB2312"/>
          <w:kern w:val="2"/>
          <w:sz w:val="30"/>
          <w:szCs w:val="30"/>
          <w:lang w:val="en-US" w:eastAsia="zh-CN" w:bidi="ar"/>
        </w:rPr>
        <w:t>德宏州农机安全监理所2018年度支出合计220.31万元。其中：</w:t>
      </w:r>
      <w:r>
        <w:rPr>
          <w:rFonts w:hint="eastAsia" w:ascii="仿宋_GB2312" w:hAnsi="宋体" w:eastAsia="仿宋_GB2312" w:cs="Arial"/>
          <w:kern w:val="0"/>
          <w:sz w:val="30"/>
          <w:szCs w:val="30"/>
          <w:lang w:val="en-US" w:eastAsia="zh-CN" w:bidi="ar"/>
        </w:rPr>
        <w:t>基本支出</w:t>
      </w:r>
      <w:r>
        <w:rPr>
          <w:rFonts w:hint="eastAsia" w:ascii="仿宋_GB2312" w:hAnsi="Times New Roman" w:eastAsia="仿宋_GB2312" w:cs="仿宋_GB2312"/>
          <w:kern w:val="2"/>
          <w:sz w:val="30"/>
          <w:szCs w:val="30"/>
          <w:lang w:val="en-US" w:eastAsia="zh-CN" w:bidi="ar"/>
        </w:rPr>
        <w:t>197.33</w:t>
      </w:r>
      <w:r>
        <w:rPr>
          <w:rFonts w:hint="eastAsia" w:ascii="仿宋_GB2312" w:hAnsi="宋体" w:eastAsia="仿宋_GB2312" w:cs="Arial"/>
          <w:kern w:val="0"/>
          <w:sz w:val="30"/>
          <w:szCs w:val="30"/>
          <w:lang w:val="en-US" w:eastAsia="zh-CN" w:bidi="ar"/>
        </w:rPr>
        <w:t>万元，占总支出的</w:t>
      </w:r>
      <w:r>
        <w:rPr>
          <w:rFonts w:hint="eastAsia" w:ascii="仿宋_GB2312" w:hAnsi="Times New Roman" w:eastAsia="仿宋_GB2312" w:cs="仿宋_GB2312"/>
          <w:kern w:val="2"/>
          <w:sz w:val="30"/>
          <w:szCs w:val="30"/>
          <w:lang w:val="en-US" w:eastAsia="zh-CN" w:bidi="ar"/>
        </w:rPr>
        <w:t>89.57</w:t>
      </w:r>
      <w:r>
        <w:rPr>
          <w:rFonts w:hint="eastAsia" w:ascii="仿宋_GB2312" w:hAnsi="宋体" w:eastAsia="仿宋_GB2312" w:cs="Arial"/>
          <w:kern w:val="0"/>
          <w:sz w:val="30"/>
          <w:szCs w:val="30"/>
          <w:lang w:val="en-US" w:eastAsia="zh-CN" w:bidi="ar"/>
        </w:rPr>
        <w:t>％；项目支出</w:t>
      </w:r>
      <w:r>
        <w:rPr>
          <w:rFonts w:hint="eastAsia" w:ascii="仿宋_GB2312" w:hAnsi="Times New Roman" w:eastAsia="仿宋_GB2312" w:cs="仿宋_GB2312"/>
          <w:kern w:val="2"/>
          <w:sz w:val="30"/>
          <w:szCs w:val="30"/>
          <w:lang w:val="en-US" w:eastAsia="zh-CN" w:bidi="ar"/>
        </w:rPr>
        <w:t>22.98</w:t>
      </w:r>
      <w:r>
        <w:rPr>
          <w:rFonts w:hint="eastAsia" w:ascii="仿宋_GB2312" w:hAnsi="宋体" w:eastAsia="仿宋_GB2312" w:cs="Arial"/>
          <w:kern w:val="0"/>
          <w:sz w:val="30"/>
          <w:szCs w:val="30"/>
          <w:lang w:val="en-US" w:eastAsia="zh-CN" w:bidi="ar"/>
        </w:rPr>
        <w:t>万元，占总支出的</w:t>
      </w:r>
      <w:r>
        <w:rPr>
          <w:rFonts w:hint="eastAsia" w:ascii="仿宋_GB2312" w:hAnsi="Times New Roman" w:eastAsia="仿宋_GB2312" w:cs="仿宋_GB2312"/>
          <w:kern w:val="2"/>
          <w:sz w:val="30"/>
          <w:szCs w:val="30"/>
          <w:lang w:val="en-US" w:eastAsia="zh-CN" w:bidi="ar"/>
        </w:rPr>
        <w:t>10.43</w:t>
      </w:r>
      <w:r>
        <w:rPr>
          <w:rFonts w:hint="eastAsia" w:ascii="仿宋_GB2312" w:hAnsi="宋体" w:eastAsia="仿宋_GB2312" w:cs="Arial"/>
          <w:kern w:val="0"/>
          <w:sz w:val="30"/>
          <w:szCs w:val="30"/>
          <w:lang w:val="en-US" w:eastAsia="zh-CN" w:bidi="ar"/>
        </w:rPr>
        <w:t>％。</w:t>
      </w:r>
      <w:r>
        <w:rPr>
          <w:rFonts w:hint="eastAsia" w:ascii="仿宋_GB2312" w:hAnsi="Times New Roman" w:eastAsia="仿宋_GB2312" w:cs="仿宋_GB2312"/>
          <w:kern w:val="2"/>
          <w:sz w:val="30"/>
          <w:szCs w:val="30"/>
          <w:lang w:val="en-US" w:eastAsia="zh-CN" w:bidi="ar"/>
        </w:rPr>
        <w:t>与上年对比205.30万元，增加15.01万元，</w:t>
      </w:r>
      <w:r>
        <w:rPr>
          <w:rFonts w:hint="eastAsia" w:ascii="仿宋" w:hAnsi="仿宋" w:eastAsia="仿宋" w:cs="仿宋"/>
          <w:kern w:val="2"/>
          <w:sz w:val="32"/>
          <w:szCs w:val="32"/>
          <w:lang w:val="en-US" w:eastAsia="zh-CN" w:bidi="ar"/>
        </w:rPr>
        <w:t>增幅7.31%；由于人员工资的增加造成。</w:t>
      </w: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sz w:val="30"/>
          <w:szCs w:val="30"/>
          <w:lang w:val="en-US"/>
        </w:rPr>
      </w:pPr>
      <w:r>
        <w:rPr>
          <w:rFonts w:hint="eastAsia" w:ascii="仿宋_GB2312" w:hAnsi="仿宋" w:eastAsia="仿宋_GB2312" w:cs="仿宋_GB2312"/>
          <w:kern w:val="2"/>
          <w:sz w:val="32"/>
          <w:szCs w:val="32"/>
          <w:lang w:val="en-US" w:eastAsia="zh-CN" w:bidi="ar"/>
        </w:rPr>
        <w:t>各项支出占总支出的比重</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208"/>
        <w:gridCol w:w="5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类款项</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金 额（万元）</w:t>
            </w:r>
          </w:p>
        </w:tc>
        <w:tc>
          <w:tcPr>
            <w:tcW w:w="5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支出所占比重%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2019999</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10.8</w:t>
            </w:r>
          </w:p>
        </w:tc>
        <w:tc>
          <w:tcPr>
            <w:tcW w:w="5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kern w:val="2"/>
                <w:sz w:val="24"/>
                <w:szCs w:val="24"/>
                <w:lang w:val="en-US" w:eastAsia="zh-CN" w:bidi="ar"/>
              </w:rPr>
            </w:pPr>
            <w:r>
              <w:rPr>
                <w:rFonts w:hint="eastAsia" w:ascii="仿宋_GB2312" w:hAnsi="仿宋" w:eastAsia="仿宋_GB2312" w:cs="仿宋_GB2312"/>
                <w:kern w:val="2"/>
                <w:sz w:val="24"/>
                <w:szCs w:val="24"/>
                <w:lang w:val="en-US" w:eastAsia="zh-CN" w:bidi="ar"/>
              </w:rPr>
              <w:t>2080502</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kern w:val="2"/>
                <w:sz w:val="24"/>
                <w:szCs w:val="24"/>
                <w:lang w:val="en-US" w:eastAsia="zh-CN" w:bidi="ar"/>
              </w:rPr>
            </w:pPr>
            <w:r>
              <w:rPr>
                <w:rFonts w:hint="eastAsia" w:ascii="仿宋_GB2312" w:hAnsi="仿宋" w:eastAsia="仿宋_GB2312" w:cs="仿宋_GB2312"/>
                <w:kern w:val="2"/>
                <w:sz w:val="24"/>
                <w:szCs w:val="24"/>
                <w:lang w:val="en-US" w:eastAsia="zh-CN" w:bidi="ar"/>
              </w:rPr>
              <w:t>0.36</w:t>
            </w:r>
          </w:p>
        </w:tc>
        <w:tc>
          <w:tcPr>
            <w:tcW w:w="5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kern w:val="2"/>
                <w:sz w:val="24"/>
                <w:szCs w:val="24"/>
                <w:lang w:val="en-US" w:eastAsia="zh-CN" w:bidi="ar"/>
              </w:rPr>
            </w:pPr>
            <w:r>
              <w:rPr>
                <w:rFonts w:hint="eastAsia" w:ascii="仿宋_GB2312" w:hAnsi="仿宋" w:eastAsia="仿宋_GB2312" w:cs="仿宋_GB2312"/>
                <w:kern w:val="2"/>
                <w:sz w:val="24"/>
                <w:szCs w:val="24"/>
                <w:lang w:val="en-US" w:eastAsia="zh-CN"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2080505</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18.18</w:t>
            </w:r>
          </w:p>
        </w:tc>
        <w:tc>
          <w:tcPr>
            <w:tcW w:w="5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2130104</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157.45</w:t>
            </w:r>
          </w:p>
        </w:tc>
        <w:tc>
          <w:tcPr>
            <w:tcW w:w="5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71.47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2130106</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3</w:t>
            </w:r>
          </w:p>
        </w:tc>
        <w:tc>
          <w:tcPr>
            <w:tcW w:w="5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2130110</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19.98</w:t>
            </w:r>
          </w:p>
        </w:tc>
        <w:tc>
          <w:tcPr>
            <w:tcW w:w="5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2210201</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10.53</w:t>
            </w:r>
          </w:p>
        </w:tc>
        <w:tc>
          <w:tcPr>
            <w:tcW w:w="5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9020" w:type="dxa"/>
            <w:gridSpan w:val="3"/>
            <w:tcBorders>
              <w:top w:val="single" w:color="auto" w:sz="4" w:space="0"/>
              <w:left w:val="nil"/>
              <w:bottom w:val="nil"/>
              <w:right w:val="nil"/>
            </w:tcBorders>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sz w:val="24"/>
                <w:szCs w:val="24"/>
                <w:lang w:val="en-US"/>
              </w:rPr>
            </w:pPr>
            <w:r>
              <w:rPr>
                <w:rFonts w:hint="default" w:ascii="Times New Roman" w:hAnsi="Times New Roman" w:eastAsia="宋体" w:cs="Times New Roman"/>
                <w:snapToGrid w:val="0"/>
                <w:kern w:val="2"/>
                <w:sz w:val="21"/>
                <w:szCs w:val="24"/>
                <w:lang w:val="en-US" w:eastAsia="zh-CN" w:bidi="ar"/>
              </w:rPr>
              <w:pict>
                <v:shape id="_x0000_s1027" o:spid="_x0000_s1027" o:spt="75" type="#_x0000_t75" style="position:absolute;left:0pt;margin-left:-4.5pt;margin-top:24.8pt;height:181.15pt;width:339.45pt;mso-wrap-distance-bottom:0pt;mso-wrap-distance-left:9pt;mso-wrap-distance-right:9pt;mso-wrap-distance-top:0pt;z-index:251658240;mso-width-relative:page;mso-height-relative:page;" o:ole="t" filled="f" o:preferrelative="t" stroked="f" coordsize="21600,21600">
                  <v:path/>
                  <v:fill on="f" focussize="0,0"/>
                  <v:stroke on="f"/>
                  <v:imagedata r:id="rId10" o:title=""/>
                  <o:lock v:ext="edit" aspectratio="t"/>
                  <w10:wrap type="square"/>
                </v:shape>
                <o:OLEObject Type="Embed" ProgID="MSGraph.Chart.8" ShapeID="_x0000_s1027" DrawAspect="Content" ObjectID="_1468075726" r:id="rId9">
                  <o:LockedField>false</o:LockedField>
                </o:OLEObject>
              </w:pict>
            </w:r>
          </w:p>
        </w:tc>
      </w:tr>
    </w:tbl>
    <w:p>
      <w:pPr>
        <w:keepNext w:val="0"/>
        <w:keepLines w:val="0"/>
        <w:widowControl w:val="0"/>
        <w:suppressLineNumbers w:val="0"/>
        <w:spacing w:before="0" w:beforeAutospacing="0" w:after="0" w:afterAutospacing="0" w:line="600" w:lineRule="exact"/>
        <w:ind w:left="0" w:right="0" w:firstLine="600" w:firstLineChars="200"/>
        <w:jc w:val="both"/>
        <w:rPr>
          <w:rFonts w:hint="eastAsia" w:ascii="仿宋_GB2312" w:eastAsia="仿宋_GB2312" w:cs="仿宋_GB2312"/>
          <w:sz w:val="30"/>
          <w:szCs w:val="30"/>
          <w:lang w:val="en-US"/>
        </w:rPr>
      </w:pPr>
    </w:p>
    <w:p>
      <w:pPr>
        <w:keepNext w:val="0"/>
        <w:keepLines w:val="0"/>
        <w:widowControl w:val="0"/>
        <w:suppressLineNumbers w:val="0"/>
        <w:spacing w:before="0" w:beforeAutospacing="0" w:after="0" w:afterAutospacing="0" w:line="600" w:lineRule="exact"/>
        <w:ind w:left="0" w:right="0" w:firstLine="420" w:firstLineChars="200"/>
        <w:jc w:val="both"/>
        <w:rPr>
          <w:rFonts w:hint="eastAsia" w:ascii="仿宋_GB2312" w:eastAsia="仿宋_GB2312" w:cs="仿宋_GB2312"/>
          <w:sz w:val="30"/>
          <w:szCs w:val="30"/>
          <w:lang w:val="en-US"/>
        </w:rPr>
      </w:pPr>
      <w:r>
        <w:rPr>
          <w:rFonts w:hint="default" w:ascii="Times New Roman" w:hAnsi="Times New Roman" w:eastAsia="宋体" w:cs="Times New Roman"/>
          <w:kern w:val="2"/>
          <w:sz w:val="21"/>
          <w:szCs w:val="24"/>
          <w:lang w:val="en-US" w:eastAsia="zh-CN" w:bidi="ar"/>
        </w:rPr>
        <w:object>
          <v:shape id="_x0000_i1025" o:spt="75" type="#_x0000_t75" style="height:241.5pt;width:390.75pt;" o:ole="t" filled="f" o:preferrelative="t" stroked="f" coordsize="21600,21600">
            <v:path/>
            <v:fill on="f" focussize="0,0"/>
            <v:stroke on="f" joinstyle="miter"/>
            <v:imagedata r:id="rId12" o:title=""/>
            <o:lock v:ext="edit" aspectratio="t"/>
            <w10:wrap type="none"/>
            <w10:anchorlock/>
          </v:shape>
          <o:OLEObject Type="Embed" ProgID="MSGraph.Chart.8" ShapeID="_x0000_i1025" DrawAspect="Content" ObjectID="_1468075727" r:id="rId11">
            <o:LockedField>false</o:LockedField>
          </o:OLEObject>
        </w:objec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pPr>
        <w:keepNext w:val="0"/>
        <w:keepLines w:val="0"/>
        <w:widowControl/>
        <w:suppressLineNumbers w:val="0"/>
        <w:snapToGrid w:val="0"/>
        <w:spacing w:before="100" w:beforeAutospacing="0" w:after="100" w:afterAutospacing="0" w:line="600" w:lineRule="exact"/>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kern w:val="2"/>
          <w:sz w:val="30"/>
          <w:szCs w:val="30"/>
          <w:lang w:val="en-US" w:eastAsia="zh-CN" w:bidi="ar"/>
        </w:rPr>
        <w:t>2018年用于保障德宏州农机安全监理所机构正常运转的日常支出197.33万元。与上年对比185.30万元，增加12.03万元，</w:t>
      </w:r>
      <w:r>
        <w:rPr>
          <w:rFonts w:hint="eastAsia" w:ascii="仿宋" w:hAnsi="仿宋" w:eastAsia="仿宋" w:cs="仿宋"/>
          <w:kern w:val="2"/>
          <w:sz w:val="32"/>
          <w:szCs w:val="32"/>
          <w:lang w:val="en-US" w:eastAsia="zh-CN" w:bidi="ar"/>
        </w:rPr>
        <w:t>增幅6.49%；由于人员工资的增加造成。</w:t>
      </w:r>
      <w:r>
        <w:rPr>
          <w:rFonts w:hint="eastAsia" w:ascii="仿宋_GB2312" w:hAnsi="Times New Roman" w:eastAsia="仿宋_GB2312" w:cs="仿宋_GB2312"/>
          <w:kern w:val="2"/>
          <w:sz w:val="30"/>
          <w:szCs w:val="30"/>
          <w:lang w:val="en-US" w:eastAsia="zh-CN" w:bidi="ar"/>
        </w:rPr>
        <w:t>包括基本工资39.46万元，津贴补贴62.41万元、奖金32.09万元、机关事业单位基本养老保险缴费18.18万元，办公经费1.18万元、差旅费0.92万元、维修（护）费6.9万元、公务接待费0.3万元、公务用车运行维护费1.64万元、其他交通费用10.72万元、其他商品服务支出0.5万元、医疗费1.7万元、奖励金10.8万元、住房公积金10.53万元。基本工资、津贴补贴等人员经费支出占基本支出的82.44％,办公费用等</w:t>
      </w:r>
      <w:r>
        <w:rPr>
          <w:rFonts w:hint="eastAsia" w:ascii="仿宋_GB2312" w:eastAsia="仿宋_GB2312"/>
          <w:sz w:val="30"/>
          <w:szCs w:val="30"/>
        </w:rPr>
        <w:t>日常公用经费占基本支出的</w:t>
      </w:r>
      <w:r>
        <w:rPr>
          <w:rFonts w:hint="eastAsia" w:ascii="仿宋_GB2312" w:eastAsia="仿宋_GB2312"/>
          <w:sz w:val="30"/>
          <w:szCs w:val="30"/>
          <w:lang w:val="en-US" w:eastAsia="zh-CN"/>
        </w:rPr>
        <w:t>17.56</w:t>
      </w:r>
      <w:r>
        <w:rPr>
          <w:rFonts w:hint="eastAsia" w:ascii="仿宋_GB2312" w:eastAsia="仿宋_GB2312"/>
          <w:sz w:val="30"/>
          <w:szCs w:val="30"/>
        </w:rPr>
        <w:t>％</w:t>
      </w:r>
      <w:r>
        <w:rPr>
          <w:rFonts w:hint="eastAsia" w:ascii="仿宋_GB2312" w:hAnsi="Times New Roman" w:eastAsia="仿宋_GB2312" w:cs="仿宋_GB2312"/>
          <w:kern w:val="2"/>
          <w:sz w:val="30"/>
          <w:szCs w:val="30"/>
          <w:lang w:val="en-US" w:eastAsia="zh-CN" w:bidi="ar"/>
        </w:rPr>
        <w:t>。</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（二）项目支出情况</w:t>
      </w:r>
    </w:p>
    <w:p>
      <w:pPr>
        <w:keepNext w:val="0"/>
        <w:keepLines w:val="0"/>
        <w:widowControl/>
        <w:suppressLineNumbers w:val="0"/>
        <w:snapToGrid w:val="0"/>
        <w:spacing w:before="100" w:beforeAutospacing="0" w:after="100" w:afterAutospacing="0" w:line="600" w:lineRule="exact"/>
        <w:ind w:left="0" w:right="0" w:firstLine="600" w:firstLineChars="200"/>
        <w:jc w:val="left"/>
        <w:rPr>
          <w:rFonts w:hint="eastAsia" w:ascii="仿宋_GB2312" w:eastAsia="仿宋_GB2312"/>
          <w:sz w:val="30"/>
          <w:szCs w:val="30"/>
        </w:rPr>
      </w:pPr>
      <w:r>
        <w:rPr>
          <w:rFonts w:hint="eastAsia" w:ascii="仿宋_GB2312" w:hAnsi="Times New Roman" w:eastAsia="仿宋_GB2312" w:cs="仿宋_GB2312"/>
          <w:kern w:val="2"/>
          <w:sz w:val="30"/>
          <w:szCs w:val="30"/>
          <w:lang w:val="en-US" w:eastAsia="zh-CN" w:bidi="ar"/>
        </w:rPr>
        <w:t>2018年用于保障德宏州农机安全监理所为完成特定的行政工作任务或事业发展目标，用于专项业务工作的经费支出22.98万元。与上年对比20万元增加2.98万元，</w:t>
      </w:r>
      <w:r>
        <w:rPr>
          <w:rFonts w:hint="eastAsia" w:ascii="仿宋" w:hAnsi="仿宋" w:eastAsia="仿宋" w:cs="仿宋"/>
          <w:kern w:val="2"/>
          <w:sz w:val="32"/>
          <w:szCs w:val="32"/>
          <w:lang w:val="en-US" w:eastAsia="zh-CN" w:bidi="ar"/>
        </w:rPr>
        <w:t>增幅14.9%</w:t>
      </w:r>
      <w:r>
        <w:rPr>
          <w:rFonts w:hint="eastAsia" w:ascii="仿宋_GB2312" w:hAnsi="Times New Roman" w:eastAsia="仿宋_GB2312" w:cs="仿宋_GB2312"/>
          <w:kern w:val="2"/>
          <w:sz w:val="30"/>
          <w:szCs w:val="30"/>
          <w:lang w:val="en-US" w:eastAsia="zh-CN" w:bidi="ar"/>
        </w:rPr>
        <w:t>，主要原因是为加强安全宣传加大工作检查增加了出差。具体项目开支为办公经费0.77万元、印刷费11.04万元、水费电费0.05万元、电费0.12万元、邮电费0.41万元、差旅费5.99万元、培训费0.06万元、办公设备购置3.26万元、信息网络及软件购置更新1.28万元。</w:t>
      </w:r>
    </w:p>
    <w:p>
      <w:pPr>
        <w:widowControl/>
        <w:snapToGrid w:val="0"/>
        <w:spacing w:before="100" w:after="100" w:line="600" w:lineRule="exact"/>
        <w:ind w:firstLine="600" w:firstLineChars="200"/>
        <w:jc w:val="left"/>
        <w:rPr>
          <w:rFonts w:hint="eastAsia"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宋体" w:eastAsia="仿宋_GB2312" w:cs="Arial"/>
          <w:kern w:val="0"/>
          <w:sz w:val="30"/>
          <w:szCs w:val="30"/>
          <w:lang w:val="en-US"/>
        </w:rPr>
      </w:pPr>
      <w:r>
        <w:rPr>
          <w:rFonts w:hint="eastAsia" w:ascii="仿宋_GB2312" w:hAnsi="Times New Roman" w:eastAsia="仿宋_GB2312" w:cs="仿宋_GB2312"/>
          <w:kern w:val="2"/>
          <w:sz w:val="30"/>
          <w:szCs w:val="30"/>
          <w:lang w:val="en-US" w:eastAsia="zh-CN" w:bidi="ar"/>
        </w:rPr>
        <w:t>2018年度一般公共预算财政拨款支出</w:t>
      </w:r>
      <w:r>
        <w:rPr>
          <w:rFonts w:hint="eastAsia" w:ascii="仿宋_GB2312" w:hAnsi="宋体" w:eastAsia="仿宋_GB2312" w:cs="Arial"/>
          <w:kern w:val="0"/>
          <w:sz w:val="30"/>
          <w:szCs w:val="30"/>
          <w:lang w:val="en-US" w:eastAsia="zh-CN" w:bidi="ar"/>
        </w:rPr>
        <w:t>220.31万元,占本年支出合计的</w:t>
      </w:r>
      <w:r>
        <w:rPr>
          <w:rFonts w:hint="eastAsia" w:ascii="仿宋_GB2312" w:hAnsi="Times New Roman" w:eastAsia="仿宋_GB2312" w:cs="仿宋_GB2312"/>
          <w:kern w:val="2"/>
          <w:sz w:val="30"/>
          <w:szCs w:val="30"/>
          <w:lang w:val="en-US" w:eastAsia="zh-CN" w:bidi="ar"/>
        </w:rPr>
        <w:t>100</w:t>
      </w:r>
      <w:r>
        <w:rPr>
          <w:rFonts w:hint="eastAsia" w:ascii="仿宋_GB2312" w:hAnsi="宋体" w:eastAsia="仿宋_GB2312" w:cs="Arial"/>
          <w:kern w:val="0"/>
          <w:sz w:val="30"/>
          <w:szCs w:val="30"/>
          <w:lang w:val="en-US" w:eastAsia="zh-CN" w:bidi="ar"/>
        </w:rPr>
        <w:t>%。</w:t>
      </w:r>
      <w:r>
        <w:rPr>
          <w:rFonts w:hint="eastAsia" w:ascii="仿宋_GB2312" w:hAnsi="Times New Roman" w:eastAsia="仿宋_GB2312" w:cs="仿宋_GB2312"/>
          <w:kern w:val="2"/>
          <w:sz w:val="30"/>
          <w:szCs w:val="30"/>
          <w:lang w:val="en-US" w:eastAsia="zh-CN" w:bidi="ar"/>
        </w:rPr>
        <w:t>与上年对比</w:t>
      </w:r>
      <w:r>
        <w:rPr>
          <w:rFonts w:hint="eastAsia" w:ascii="仿宋_GB2312" w:hAnsi="宋体" w:eastAsia="仿宋_GB2312" w:cs="Arial"/>
          <w:kern w:val="0"/>
          <w:sz w:val="30"/>
          <w:szCs w:val="30"/>
          <w:lang w:val="en-US" w:eastAsia="zh-CN" w:bidi="ar"/>
        </w:rPr>
        <w:t>205.3</w:t>
      </w:r>
      <w:r>
        <w:rPr>
          <w:rFonts w:hint="eastAsia" w:ascii="仿宋_GB2312" w:hAnsi="Times New Roman" w:eastAsia="仿宋_GB2312" w:cs="仿宋_GB2312"/>
          <w:kern w:val="2"/>
          <w:sz w:val="30"/>
          <w:szCs w:val="30"/>
          <w:lang w:val="en-US" w:eastAsia="zh-CN" w:bidi="ar"/>
        </w:rPr>
        <w:t>万元，增加15.01万元，</w:t>
      </w:r>
      <w:r>
        <w:rPr>
          <w:rFonts w:hint="eastAsia" w:ascii="仿宋" w:hAnsi="仿宋" w:eastAsia="仿宋" w:cs="仿宋"/>
          <w:kern w:val="2"/>
          <w:sz w:val="32"/>
          <w:szCs w:val="32"/>
          <w:lang w:val="en-US" w:eastAsia="zh-CN" w:bidi="ar"/>
        </w:rPr>
        <w:t>增幅7.31%；由于人员工资的增加造成。</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bidi="ar"/>
        </w:rPr>
        <w:t>1.一般公共服务（类）支出220.31万元，</w:t>
      </w:r>
      <w:r>
        <w:rPr>
          <w:rFonts w:hint="eastAsia" w:ascii="仿宋_GB2312" w:hAnsi="Times New Roman" w:eastAsia="仿宋_GB2312" w:cs="仿宋_GB2312"/>
          <w:kern w:val="2"/>
          <w:sz w:val="30"/>
          <w:szCs w:val="30"/>
          <w:lang w:val="en-US" w:eastAsia="zh-CN" w:bidi="ar"/>
        </w:rPr>
        <w:t>占一般公共预算财政拨款总支出的100%。</w:t>
      </w:r>
      <w:r>
        <w:rPr>
          <w:rFonts w:hint="eastAsia" w:ascii="仿宋_GB2312" w:hAnsi="宋体" w:eastAsia="仿宋_GB2312" w:cs="Arial"/>
          <w:kern w:val="0"/>
          <w:sz w:val="30"/>
          <w:szCs w:val="30"/>
          <w:lang w:val="en-US" w:eastAsia="zh-CN" w:bidi="ar"/>
        </w:rPr>
        <w:t>主要用于</w:t>
      </w:r>
      <w:r>
        <w:rPr>
          <w:rFonts w:hint="eastAsia" w:ascii="仿宋_GB2312" w:hAnsi="Times New Roman" w:eastAsia="仿宋_GB2312" w:cs="仿宋_GB2312"/>
          <w:kern w:val="2"/>
          <w:sz w:val="30"/>
          <w:szCs w:val="30"/>
          <w:lang w:val="en-US" w:eastAsia="zh-CN" w:bidi="ar"/>
        </w:rPr>
        <w:t>基本工资39.46万元，津贴补贴62.41万元、奖金32.09万元、机关事业单位基本养老保险缴费18.18万元、住房公积金10.53万元，办公费1.95万元、印刷费11.04万元、水费0.05万元、电费0.12万元、邮电费0.41万元、差旅费6.91万元、维修（护）费6.9万元、培训费0.06万元、公务接待费0.3万元、公务用车运行维护费1.64万元、其他交通费用10.72万元、其他商品服务支出0.5万元、医疗费1.7万元、奖励金10.8万元、办公设备购置3.26万元、信息网络及软件购置更新1.28万元。</w:t>
      </w:r>
    </w:p>
    <w:p>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kern w:val="2"/>
          <w:sz w:val="30"/>
          <w:szCs w:val="30"/>
          <w:lang w:val="en-US" w:eastAsia="zh-CN" w:bidi="ar"/>
        </w:rPr>
        <w:t>德宏州农机安全监理所2018年度“三公”经费财政拨款支出预算为3.9万元，支出决算为1.94万元，完成预算的49.74%。其中：因公出国（境）费支出决算为0万元，公务用车购置及运行费支出决算为1.64万元，完成预算的65.6%；公务接待费支出决算为0.3万元，完成预算的21.43%。2018年度“三公”经费支出决算数小于预算数的主要原因是公务用车维修及燃油费用及公务接待费严格控制。</w:t>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kern w:val="2"/>
          <w:sz w:val="30"/>
          <w:szCs w:val="30"/>
          <w:lang w:val="en-US" w:eastAsia="zh-CN" w:bidi="ar"/>
        </w:rPr>
        <w:t>2018年度“三公”经费财政拨款支出决算数比2017年减少2.14万元，减少52.45%。其中：公务用车购置及运行费支出决算减少1.35万元，减少45.15%。公务接待费支出决算减少0.81万元，减少72.97%。2018年度“三公”经费支出决算减少的主要原因公务用车维修、燃油费用及各地州来我州考察的人加强控制。</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(二)</w:t>
      </w:r>
      <w:r>
        <w:rPr>
          <w:rFonts w:hint="eastAsia" w:ascii="仿宋_GB2312" w:eastAsia="仿宋_GB2312"/>
          <w:sz w:val="30"/>
          <w:szCs w:val="30"/>
        </w:rPr>
        <w:t xml:space="preserve"> </w:t>
      </w:r>
      <w:r>
        <w:rPr>
          <w:rFonts w:hint="eastAsia" w:ascii="楷体" w:hAnsi="楷体" w:eastAsia="楷体"/>
          <w:sz w:val="30"/>
          <w:szCs w:val="30"/>
        </w:rPr>
        <w:t>一般公共预算财政拨款“三公”经费支出决算具体情况</w:t>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kern w:val="2"/>
          <w:sz w:val="30"/>
          <w:szCs w:val="30"/>
          <w:lang w:val="en-US" w:eastAsia="zh-CN" w:bidi="ar"/>
        </w:rPr>
        <w:t>2018年度“三公”经费财政拨款支出决算中，因公出国（境）费支出0万元；公务用车购置及运行维护费支出1.64万元，占0.74%；公务接待费支出0.3万元，占0.14%。具体情况如下：</w:t>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b/>
          <w:bCs w:val="0"/>
          <w:kern w:val="2"/>
          <w:sz w:val="30"/>
          <w:szCs w:val="30"/>
          <w:lang w:val="en-US" w:eastAsia="zh-CN" w:bidi="ar"/>
        </w:rPr>
        <w:t>1.因公出国（境）费</w:t>
      </w:r>
      <w:r>
        <w:rPr>
          <w:rFonts w:hint="eastAsia" w:ascii="仿宋_GB2312" w:hAnsi="Times New Roman" w:eastAsia="仿宋_GB2312" w:cs="仿宋_GB2312"/>
          <w:kern w:val="2"/>
          <w:sz w:val="30"/>
          <w:szCs w:val="30"/>
          <w:lang w:val="en-US" w:eastAsia="zh-CN" w:bidi="ar"/>
        </w:rPr>
        <w:t>支出0万元。</w:t>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b/>
          <w:bCs w:val="0"/>
          <w:kern w:val="2"/>
          <w:sz w:val="30"/>
          <w:szCs w:val="30"/>
          <w:lang w:val="en-US" w:eastAsia="zh-CN" w:bidi="ar"/>
        </w:rPr>
        <w:t>2. 公务用车购置及运行维护费</w:t>
      </w:r>
      <w:r>
        <w:rPr>
          <w:rFonts w:hint="eastAsia" w:ascii="仿宋_GB2312" w:hAnsi="Times New Roman" w:eastAsia="仿宋_GB2312" w:cs="仿宋_GB2312"/>
          <w:kern w:val="2"/>
          <w:sz w:val="30"/>
          <w:szCs w:val="30"/>
          <w:lang w:val="en-US" w:eastAsia="zh-CN" w:bidi="ar"/>
        </w:rPr>
        <w:t>支出1.64万元。其中：</w:t>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b/>
          <w:bCs w:val="0"/>
          <w:kern w:val="2"/>
          <w:sz w:val="30"/>
          <w:szCs w:val="30"/>
          <w:lang w:val="en-US" w:eastAsia="zh-CN" w:bidi="ar"/>
        </w:rPr>
        <w:t>公务用车购置</w:t>
      </w:r>
      <w:r>
        <w:rPr>
          <w:rFonts w:hint="eastAsia" w:ascii="仿宋_GB2312" w:hAnsi="Times New Roman" w:eastAsia="仿宋_GB2312" w:cs="仿宋_GB2312"/>
          <w:kern w:val="2"/>
          <w:sz w:val="30"/>
          <w:szCs w:val="30"/>
          <w:lang w:val="en-US" w:eastAsia="zh-CN" w:bidi="ar"/>
        </w:rPr>
        <w:t>支出0万元。</w:t>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b/>
          <w:bCs w:val="0"/>
          <w:kern w:val="2"/>
          <w:sz w:val="30"/>
          <w:szCs w:val="30"/>
          <w:lang w:val="en-US" w:eastAsia="zh-CN" w:bidi="ar"/>
        </w:rPr>
        <w:t>公务用车运行维护</w:t>
      </w:r>
      <w:r>
        <w:rPr>
          <w:rFonts w:hint="eastAsia" w:ascii="仿宋_GB2312" w:hAnsi="Times New Roman" w:eastAsia="仿宋_GB2312" w:cs="仿宋_GB2312"/>
          <w:kern w:val="2"/>
          <w:sz w:val="30"/>
          <w:szCs w:val="30"/>
          <w:lang w:val="en-US" w:eastAsia="zh-CN" w:bidi="ar"/>
        </w:rPr>
        <w:t>支出1.64万元，开支一般公共预算财政拨款的公务用车保有量为1辆。主要用于对各县市安全工作检查，所需车辆燃料费0.4万元、维修费0.18万元、过路过桥费0.5万元、保险费0.56万元等。</w:t>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b/>
          <w:bCs w:val="0"/>
          <w:kern w:val="2"/>
          <w:sz w:val="30"/>
          <w:szCs w:val="30"/>
          <w:lang w:val="en-US" w:eastAsia="zh-CN" w:bidi="ar"/>
        </w:rPr>
        <w:t>3.公务接待费</w:t>
      </w:r>
      <w:r>
        <w:rPr>
          <w:rFonts w:hint="eastAsia" w:ascii="仿宋_GB2312" w:hAnsi="Times New Roman" w:eastAsia="仿宋_GB2312" w:cs="仿宋_GB2312"/>
          <w:kern w:val="2"/>
          <w:sz w:val="30"/>
          <w:szCs w:val="30"/>
          <w:lang w:val="en-US" w:eastAsia="zh-CN" w:bidi="ar"/>
        </w:rPr>
        <w:t>支出0.3万元。其中：</w:t>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b/>
          <w:bCs w:val="0"/>
          <w:kern w:val="2"/>
          <w:sz w:val="30"/>
          <w:szCs w:val="30"/>
          <w:lang w:val="en-US" w:eastAsia="zh-CN" w:bidi="ar"/>
        </w:rPr>
        <w:t>国内接待费</w:t>
      </w:r>
      <w:r>
        <w:rPr>
          <w:rFonts w:hint="eastAsia" w:ascii="仿宋_GB2312" w:hAnsi="Times New Roman" w:eastAsia="仿宋_GB2312" w:cs="仿宋_GB2312"/>
          <w:kern w:val="2"/>
          <w:sz w:val="30"/>
          <w:szCs w:val="30"/>
          <w:lang w:val="en-US" w:eastAsia="zh-CN" w:bidi="ar"/>
        </w:rPr>
        <w:t>支出0.3万元。主要用于省级工作检查及各地到我所考察工作发生的接待支出。德宏州农机安全监理所2018年国内公务接待5批次，接待人次29人。</w:t>
      </w:r>
    </w:p>
    <w:p>
      <w:pPr>
        <w:keepNext w:val="0"/>
        <w:keepLines w:val="0"/>
        <w:widowControl/>
        <w:suppressLineNumbers w:val="0"/>
        <w:snapToGrid w:val="0"/>
        <w:spacing w:before="100" w:beforeAutospacing="0" w:after="100" w:afterAutospacing="0" w:line="360" w:lineRule="auto"/>
        <w:ind w:left="0" w:right="0" w:firstLine="600" w:firstLineChars="200"/>
        <w:jc w:val="left"/>
        <w:rPr>
          <w:rFonts w:hint="eastAsia" w:ascii="仿宋_GB2312" w:eastAsia="仿宋_GB2312" w:cs="仿宋_GB2312"/>
          <w:sz w:val="30"/>
          <w:szCs w:val="30"/>
          <w:lang w:val="en-US"/>
        </w:rPr>
      </w:pPr>
      <w:r>
        <w:rPr>
          <w:rFonts w:hint="eastAsia" w:ascii="仿宋_GB2312" w:hAnsi="Times New Roman" w:eastAsia="仿宋_GB2312" w:cs="仿宋_GB2312"/>
          <w:b/>
          <w:bCs w:val="0"/>
          <w:kern w:val="2"/>
          <w:sz w:val="30"/>
          <w:szCs w:val="30"/>
          <w:lang w:val="en-US" w:eastAsia="zh-CN" w:bidi="ar"/>
        </w:rPr>
        <w:t>国（境）外接待费</w:t>
      </w:r>
      <w:r>
        <w:rPr>
          <w:rFonts w:hint="eastAsia" w:ascii="仿宋_GB2312" w:hAnsi="Times New Roman" w:eastAsia="仿宋_GB2312" w:cs="仿宋_GB2312"/>
          <w:kern w:val="2"/>
          <w:sz w:val="30"/>
          <w:szCs w:val="30"/>
          <w:lang w:val="en-US" w:eastAsia="zh-CN" w:bidi="ar"/>
        </w:rPr>
        <w:t>支出0万元。</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rPr>
        <w:t>一</w:t>
      </w:r>
      <w:r>
        <w:rPr>
          <w:rFonts w:hint="eastAsia" w:ascii="黑体" w:hAnsi="黑体" w:eastAsia="黑体" w:cs="黑体"/>
          <w:sz w:val="30"/>
          <w:szCs w:val="30"/>
          <w:lang w:eastAsia="zh-CN"/>
        </w:rPr>
        <w:t>、</w:t>
      </w:r>
      <w:r>
        <w:rPr>
          <w:rFonts w:hint="eastAsia" w:ascii="黑体" w:hAnsi="黑体" w:eastAsia="黑体" w:cs="黑体"/>
          <w:sz w:val="30"/>
          <w:szCs w:val="30"/>
        </w:rPr>
        <w:t>机关运行经费支出情况</w:t>
      </w:r>
    </w:p>
    <w:p>
      <w:pPr>
        <w:keepNext w:val="0"/>
        <w:keepLines w:val="0"/>
        <w:widowControl w:val="0"/>
        <w:suppressLineNumbers w:val="0"/>
        <w:spacing w:before="0" w:beforeAutospacing="0" w:after="0" w:afterAutospacing="0"/>
        <w:ind w:left="0" w:right="0" w:firstLine="600" w:firstLineChars="200"/>
        <w:jc w:val="left"/>
        <w:rPr>
          <w:rFonts w:hint="eastAsia" w:ascii="仿宋_GB2312" w:hAnsi="宋体" w:eastAsia="仿宋_GB2312" w:cs="方正小标宋简体"/>
          <w:sz w:val="30"/>
          <w:szCs w:val="30"/>
          <w:lang w:val="en-US"/>
        </w:rPr>
      </w:pPr>
      <w:r>
        <w:rPr>
          <w:rFonts w:hint="eastAsia" w:ascii="仿宋_GB2312" w:hAnsi="Times New Roman" w:eastAsia="仿宋_GB2312" w:cs="仿宋_GB2312"/>
          <w:kern w:val="2"/>
          <w:sz w:val="30"/>
          <w:szCs w:val="30"/>
          <w:lang w:val="en-US" w:eastAsia="zh-CN" w:bidi="ar"/>
        </w:rPr>
        <w:t>德宏州农机安全监理所2018年</w:t>
      </w:r>
      <w:r>
        <w:rPr>
          <w:rFonts w:hint="eastAsia" w:ascii="仿宋_GB2312" w:hAnsi="宋体" w:eastAsia="仿宋_GB2312" w:cs="方正小标宋简体"/>
          <w:kern w:val="2"/>
          <w:sz w:val="30"/>
          <w:szCs w:val="30"/>
          <w:lang w:val="en-US" w:eastAsia="zh-CN" w:bidi="ar"/>
        </w:rPr>
        <w:t>机关运行经费支出22.16万元，与上年对比30.80万元，减少8.64万元,主要原因分析为加大对费用支出的控制。部门机关运行经费主要用于</w:t>
      </w:r>
      <w:r>
        <w:rPr>
          <w:rFonts w:hint="eastAsia" w:ascii="仿宋_GB2312" w:hAnsi="Times New Roman" w:eastAsia="仿宋_GB2312" w:cs="仿宋_GB2312"/>
          <w:kern w:val="2"/>
          <w:sz w:val="30"/>
          <w:szCs w:val="30"/>
          <w:lang w:val="en-US" w:eastAsia="zh-CN" w:bidi="ar"/>
        </w:rPr>
        <w:t>办公费1.18万元、差旅费0.92万元、维修（护）费6.9万元、公务接待费0.3万元、公务用车运行维护费1.64万元、其他交通费用10.72万元、其他商品服务支出0.5万元</w:t>
      </w:r>
      <w:r>
        <w:rPr>
          <w:rFonts w:hint="eastAsia" w:ascii="仿宋_GB2312" w:hAnsi="宋体" w:eastAsia="仿宋_GB2312" w:cs="方正小标宋简体"/>
          <w:kern w:val="2"/>
          <w:sz w:val="30"/>
          <w:szCs w:val="30"/>
          <w:lang w:val="en-US" w:eastAsia="zh-CN" w:bidi="ar"/>
        </w:rPr>
        <w:t>。</w:t>
      </w:r>
    </w:p>
    <w:p>
      <w:pPr>
        <w:widowControl/>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lang w:eastAsia="zh-CN"/>
        </w:rPr>
        <w:t>二、</w:t>
      </w:r>
      <w:r>
        <w:rPr>
          <w:rFonts w:hint="eastAsia" w:ascii="黑体" w:hAnsi="黑体" w:eastAsia="黑体" w:cs="黑体"/>
          <w:color w:val="000000"/>
          <w:kern w:val="0"/>
          <w:sz w:val="30"/>
          <w:szCs w:val="30"/>
        </w:rPr>
        <w:t>国有资产占用情况</w:t>
      </w:r>
    </w:p>
    <w:p>
      <w:pPr>
        <w:keepNext w:val="0"/>
        <w:keepLines w:val="0"/>
        <w:widowControl w:val="0"/>
        <w:suppressLineNumbers w:val="0"/>
        <w:spacing w:before="0" w:beforeAutospacing="0" w:after="0" w:afterAutospacing="0"/>
        <w:ind w:left="0" w:right="0" w:firstLine="600" w:firstLineChars="200"/>
        <w:jc w:val="left"/>
        <w:rPr>
          <w:rFonts w:hint="eastAsia" w:ascii="仿宋_GB2312" w:hAnsi="宋体" w:eastAsia="仿宋_GB2312" w:cs="方正小标宋简体"/>
          <w:kern w:val="2"/>
          <w:sz w:val="30"/>
          <w:szCs w:val="30"/>
          <w:lang w:val="en-US" w:eastAsia="zh-CN" w:bidi="ar"/>
        </w:rPr>
      </w:pPr>
      <w:r>
        <w:rPr>
          <w:rFonts w:hint="eastAsia" w:ascii="仿宋_GB2312" w:hAnsi="宋体" w:eastAsia="仿宋_GB2312" w:cs="方正小标宋简体"/>
          <w:kern w:val="2"/>
          <w:sz w:val="30"/>
          <w:szCs w:val="30"/>
          <w:lang w:val="en-US" w:eastAsia="zh-CN" w:bidi="ar"/>
        </w:rPr>
        <w:t>截至2018年12月31日，</w:t>
      </w:r>
      <w:r>
        <w:rPr>
          <w:rFonts w:hint="eastAsia" w:ascii="仿宋_GB2312" w:hAnsi="Times New Roman" w:eastAsia="仿宋_GB2312" w:cs="仿宋_GB2312"/>
          <w:kern w:val="2"/>
          <w:sz w:val="30"/>
          <w:szCs w:val="30"/>
          <w:lang w:val="en-US" w:eastAsia="zh-CN" w:bidi="ar"/>
        </w:rPr>
        <w:t>德宏州农机安全监理所</w:t>
      </w:r>
      <w:r>
        <w:rPr>
          <w:rFonts w:hint="eastAsia" w:ascii="仿宋_GB2312" w:hAnsi="宋体" w:eastAsia="仿宋_GB2312" w:cs="方正小标宋简体"/>
          <w:kern w:val="2"/>
          <w:sz w:val="30"/>
          <w:szCs w:val="30"/>
          <w:lang w:val="en-US" w:eastAsia="zh-CN" w:bidi="ar"/>
        </w:rPr>
        <w:t>资产总额114.82万元，其中，流动资产12.16万元，固定资产102.66万元。与上年相比，本年资产总额减少15.42万元，其中固定资产增加4.56万元。</w:t>
      </w:r>
    </w:p>
    <w:p>
      <w:pPr>
        <w:keepNext w:val="0"/>
        <w:keepLines w:val="0"/>
        <w:widowControl w:val="0"/>
        <w:suppressLineNumbers w:val="0"/>
        <w:spacing w:before="0" w:beforeAutospacing="0" w:after="0" w:afterAutospacing="0"/>
        <w:ind w:left="0" w:right="0" w:firstLine="600" w:firstLineChars="200"/>
        <w:jc w:val="left"/>
        <w:rPr>
          <w:rFonts w:hint="eastAsia" w:ascii="仿宋_GB2312" w:hAnsi="宋体" w:eastAsia="仿宋_GB2312" w:cs="方正小标宋简体"/>
          <w:kern w:val="2"/>
          <w:sz w:val="30"/>
          <w:szCs w:val="30"/>
          <w:lang w:val="en-US" w:eastAsia="zh-CN" w:bidi="ar"/>
        </w:rPr>
      </w:pPr>
    </w:p>
    <w:p>
      <w:pPr>
        <w:keepNext w:val="0"/>
        <w:keepLines w:val="0"/>
        <w:widowControl w:val="0"/>
        <w:suppressLineNumbers w:val="0"/>
        <w:spacing w:before="0" w:beforeAutospacing="0" w:after="0" w:afterAutospacing="0"/>
        <w:ind w:left="0" w:right="0" w:firstLine="600" w:firstLineChars="200"/>
        <w:jc w:val="left"/>
        <w:rPr>
          <w:rFonts w:hint="eastAsia" w:ascii="仿宋_GB2312" w:hAnsi="宋体" w:eastAsia="仿宋_GB2312" w:cs="方正小标宋简体"/>
          <w:kern w:val="2"/>
          <w:sz w:val="30"/>
          <w:szCs w:val="30"/>
          <w:lang w:val="en-US" w:eastAsia="zh-CN" w:bidi="ar"/>
        </w:rPr>
      </w:pPr>
    </w:p>
    <w:p>
      <w:pPr>
        <w:keepNext w:val="0"/>
        <w:keepLines w:val="0"/>
        <w:widowControl w:val="0"/>
        <w:suppressLineNumbers w:val="0"/>
        <w:spacing w:before="0" w:beforeAutospacing="0" w:after="0" w:afterAutospacing="0"/>
        <w:ind w:left="0" w:right="0" w:firstLine="600" w:firstLineChars="200"/>
        <w:jc w:val="left"/>
        <w:rPr>
          <w:rFonts w:hint="eastAsia" w:ascii="仿宋_GB2312" w:hAnsi="宋体" w:eastAsia="仿宋_GB2312" w:cs="方正小标宋简体"/>
          <w:kern w:val="2"/>
          <w:sz w:val="30"/>
          <w:szCs w:val="30"/>
          <w:lang w:val="en-US" w:eastAsia="zh-CN" w:bidi="ar"/>
        </w:rPr>
      </w:pPr>
    </w:p>
    <w:p>
      <w:pPr>
        <w:keepNext w:val="0"/>
        <w:keepLines w:val="0"/>
        <w:widowControl w:val="0"/>
        <w:suppressLineNumbers w:val="0"/>
        <w:spacing w:before="0" w:beforeAutospacing="0" w:after="0" w:afterAutospacing="0"/>
        <w:ind w:left="0" w:right="0" w:firstLine="600" w:firstLineChars="200"/>
        <w:jc w:val="left"/>
        <w:rPr>
          <w:rFonts w:hint="eastAsia" w:ascii="仿宋_GB2312" w:hAnsi="宋体" w:eastAsia="仿宋_GB2312" w:cs="方正小标宋简体"/>
          <w:kern w:val="2"/>
          <w:sz w:val="30"/>
          <w:szCs w:val="30"/>
          <w:lang w:val="en-US" w:eastAsia="zh-CN" w:bidi="ar"/>
        </w:rPr>
      </w:pPr>
    </w:p>
    <w:p>
      <w:pPr>
        <w:keepNext w:val="0"/>
        <w:keepLines w:val="0"/>
        <w:widowControl w:val="0"/>
        <w:suppressLineNumbers w:val="0"/>
        <w:spacing w:before="0" w:beforeAutospacing="0" w:after="0" w:afterAutospacing="0"/>
        <w:ind w:right="0"/>
        <w:jc w:val="left"/>
        <w:rPr>
          <w:rFonts w:hint="eastAsia" w:ascii="仿宋_GB2312" w:hAnsi="宋体" w:eastAsia="仿宋_GB2312" w:cs="方正小标宋简体"/>
          <w:kern w:val="2"/>
          <w:sz w:val="30"/>
          <w:szCs w:val="30"/>
          <w:lang w:val="en-US" w:eastAsia="zh-CN" w:bidi="ar"/>
        </w:rPr>
      </w:pPr>
    </w:p>
    <w:tbl>
      <w:tblPr>
        <w:tblStyle w:val="7"/>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731"/>
        <w:gridCol w:w="600"/>
        <w:gridCol w:w="637"/>
        <w:gridCol w:w="67"/>
        <w:gridCol w:w="865"/>
        <w:gridCol w:w="331"/>
        <w:gridCol w:w="643"/>
        <w:gridCol w:w="196"/>
        <w:gridCol w:w="978"/>
        <w:gridCol w:w="979"/>
        <w:gridCol w:w="360"/>
        <w:gridCol w:w="618"/>
        <w:gridCol w:w="360"/>
        <w:gridCol w:w="142"/>
        <w:gridCol w:w="476"/>
        <w:gridCol w:w="142"/>
      </w:tblGrid>
      <w:tr>
        <w:tblPrEx>
          <w:tblLayout w:type="fixed"/>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仿宋_GB2312" w:hAnsi="方正小标宋_GBK" w:eastAsia="仿宋_GB2312" w:cs="方正小标宋_GBK"/>
                <w:b/>
                <w:color w:val="000000"/>
                <w:kern w:val="0"/>
                <w:sz w:val="30"/>
                <w:szCs w:val="30"/>
                <w:lang w:bidi="ar"/>
              </w:rPr>
              <w:t>国有资产占有使用情况表</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单位：万元</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其他资产</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3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小计</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房屋构筑物</w:t>
            </w:r>
          </w:p>
        </w:tc>
        <w:tc>
          <w:tcPr>
            <w:tcW w:w="63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2</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3</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4</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11</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114.82</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12.16</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102.66</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35.94</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32.43</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34.29</w:t>
            </w:r>
            <w:r>
              <w:rPr>
                <w:rFonts w:hint="eastAsia" w:ascii="宋体" w:hAnsi="宋体" w:cs="宋体"/>
                <w:color w:val="000000"/>
                <w:kern w:val="0"/>
                <w:sz w:val="20"/>
                <w:szCs w:val="20"/>
              </w:rPr>
              <w:t> </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4"/>
                <w:szCs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填报说明：1.资产总额＝流动资产＋固定资产＋对外投资／有价证券＋在建工程＋无形资产＋其他资产</w:t>
            </w:r>
          </w:p>
          <w:p>
            <w:pPr>
              <w:widowControl/>
              <w:rPr>
                <w:rFonts w:ascii="宋体" w:hAnsi="宋体" w:cs="宋体"/>
                <w:color w:val="000000"/>
                <w:kern w:val="0"/>
                <w:sz w:val="20"/>
                <w:szCs w:val="20"/>
              </w:rPr>
            </w:pPr>
            <w:r>
              <w:rPr>
                <w:rFonts w:hint="eastAsia" w:ascii="宋体" w:hAnsi="宋体" w:cs="宋体"/>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szCs w:val="24"/>
              </w:rPr>
            </w:pPr>
            <w:r>
              <w:rPr>
                <w:rFonts w:ascii="Arial" w:hAnsi="Arial" w:cs="Arial"/>
                <w:color w:val="000000"/>
                <w:kern w:val="0"/>
                <w:sz w:val="20"/>
                <w:szCs w:val="20"/>
              </w:rPr>
              <w:t> </w:t>
            </w:r>
          </w:p>
        </w:tc>
        <w:tc>
          <w:tcPr>
            <w:tcW w:w="142" w:type="dxa"/>
            <w:vAlign w:val="center"/>
          </w:tcPr>
          <w:p>
            <w:pPr>
              <w:widowControl/>
              <w:jc w:val="left"/>
              <w:rPr>
                <w:rFonts w:ascii="Times New Roman" w:hAnsi="Times New Roman" w:eastAsia="Times New Roman"/>
                <w:kern w:val="0"/>
                <w:sz w:val="20"/>
                <w:szCs w:val="20"/>
              </w:rPr>
            </w:pPr>
          </w:p>
        </w:tc>
      </w:tr>
    </w:tbl>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政府采购支出情况</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2018年度，部门政府采购支出总额15.54万元，其中：政府采购货物支出15.54万元。授予中小企业合同金额15.54万元，占政府采购支出总额的100%。</w:t>
      </w:r>
    </w:p>
    <w:p>
      <w:pPr>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四、部门绩效自评情况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lang w:val="en-US" w:eastAsia="zh-CN"/>
        </w:rPr>
        <w:t>部门绩效自评情况详见附表</w:t>
      </w:r>
      <w:r>
        <w:rPr>
          <w:rFonts w:hint="eastAsia" w:ascii="仿宋_GB2312" w:hAnsi="仿宋_GB2312" w:eastAsia="仿宋_GB2312" w:cs="仿宋_GB2312"/>
          <w:sz w:val="30"/>
          <w:szCs w:val="30"/>
          <w:highlight w:val="none"/>
          <w:lang w:val="en-US" w:eastAsia="zh-CN"/>
        </w:rPr>
        <w:t>（附表10—附表14）。</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五、其他重要事项情况说明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……。（情况说明里没有介绍，但单位认为需要说明的情况在此说明。）</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六、相关口径说明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（一）</w:t>
      </w:r>
      <w:r>
        <w:rPr>
          <w:rFonts w:hint="eastAsia" w:ascii="仿宋_GB2312" w:hAnsi="黑体" w:eastAsia="仿宋_GB2312" w:cs="方正小标宋简体"/>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（二）</w:t>
      </w:r>
      <w:r>
        <w:rPr>
          <w:rFonts w:hint="eastAsia" w:ascii="仿宋_GB2312" w:hAnsi="黑体" w:eastAsia="仿宋_GB2312" w:cs="方正小标宋简体"/>
          <w:sz w:val="30"/>
          <w:szCs w:val="30"/>
        </w:rPr>
        <w:t>机关运行经费指行政单位和参照公务员法管理的事业单位使用一般公共预算财政拨款安排的基本支出中的日常公用经费支出</w:t>
      </w:r>
      <w:r>
        <w:rPr>
          <w:rFonts w:hint="eastAsia" w:ascii="仿宋_GB2312" w:hAnsi="黑体" w:eastAsia="仿宋_GB2312" w:cs="方正小标宋简体"/>
          <w:sz w:val="30"/>
          <w:szCs w:val="30"/>
          <w:lang w:eastAsia="zh-CN"/>
        </w:rPr>
        <w:t>。</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lang w:eastAsia="zh-CN"/>
        </w:rPr>
        <w:t>（三）</w:t>
      </w:r>
      <w:r>
        <w:rPr>
          <w:rFonts w:hint="eastAsia" w:ascii="仿宋_GB2312" w:hAnsi="黑体" w:eastAsia="仿宋_GB2312" w:cs="方正小标宋简体"/>
          <w:sz w:val="30"/>
          <w:szCs w:val="30"/>
        </w:rPr>
        <w:t>按照党中央、国务院有关文件及部门预算管理有关规定，“三公”经费包括因公出国（境）费、公务用车购置及运行维护费、公务接待费。</w:t>
      </w:r>
      <w:r>
        <w:rPr>
          <w:rFonts w:hint="eastAsia" w:ascii="仿宋_GB2312" w:hAnsi="黑体" w:eastAsia="仿宋_GB2312" w:cs="方正小标宋简体"/>
          <w:sz w:val="30"/>
          <w:szCs w:val="30"/>
          <w:highlight w:val="none"/>
        </w:rPr>
        <w:t>其中：因公出国（境）费，指单位工作人员公务出国（境）的国际旅费、国外城市间交通费、住宿费、伙食费、培训费、公杂费等支出；公务用车购置费，指单位公务用车车辆购置支出（含车辆购置税</w:t>
      </w:r>
      <w:r>
        <w:rPr>
          <w:rFonts w:hint="eastAsia" w:ascii="仿宋_GB2312" w:hAnsi="黑体" w:eastAsia="仿宋_GB2312" w:cs="方正小标宋简体"/>
          <w:sz w:val="30"/>
          <w:szCs w:val="30"/>
          <w:highlight w:val="none"/>
          <w:lang w:eastAsia="zh-CN"/>
        </w:rPr>
        <w:t>、牌照费等</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（四）</w:t>
      </w:r>
      <w:r>
        <w:rPr>
          <w:rFonts w:hint="eastAsia" w:ascii="仿宋_GB2312" w:hAnsi="黑体" w:eastAsia="仿宋_GB2312" w:cs="方正小标宋简体"/>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40" w:firstLineChars="200"/>
        <w:jc w:val="center"/>
        <w:rPr>
          <w:rFonts w:hint="eastAsia" w:ascii="黑体" w:hAnsi="黑体" w:eastAsia="黑体" w:cs="方正小标宋简体"/>
          <w:sz w:val="32"/>
          <w:szCs w:val="32"/>
        </w:rPr>
      </w:pPr>
      <w:r>
        <w:rPr>
          <w:rFonts w:hint="eastAsia" w:ascii="黑体" w:hAnsi="黑体" w:eastAsia="黑体" w:cs="方正小标宋简体"/>
          <w:sz w:val="32"/>
          <w:szCs w:val="32"/>
        </w:rPr>
        <w:t>第</w:t>
      </w:r>
      <w:r>
        <w:rPr>
          <w:rFonts w:hint="eastAsia" w:ascii="黑体" w:hAnsi="黑体" w:eastAsia="黑体" w:cs="方正小标宋简体"/>
          <w:sz w:val="32"/>
          <w:szCs w:val="32"/>
          <w:lang w:eastAsia="zh-CN"/>
        </w:rPr>
        <w:t>五</w:t>
      </w:r>
      <w:r>
        <w:rPr>
          <w:rFonts w:hint="eastAsia" w:ascii="黑体" w:hAnsi="黑体" w:eastAsia="黑体" w:cs="方正小标宋简体"/>
          <w:sz w:val="32"/>
          <w:szCs w:val="32"/>
        </w:rPr>
        <w:t>部分  名词解释</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rPr>
        <w:t>机关运行经费</w:t>
      </w:r>
      <w:r>
        <w:rPr>
          <w:rFonts w:hint="eastAsia" w:ascii="仿宋_GB2312" w:hAnsi="黑体" w:eastAsia="仿宋_GB2312" w:cs="方正小标宋简体"/>
          <w:sz w:val="30"/>
          <w:szCs w:val="30"/>
          <w:lang w:val="en-US" w:eastAsia="zh-CN"/>
        </w:rPr>
        <w:t>:</w:t>
      </w:r>
      <w:r>
        <w:rPr>
          <w:rFonts w:hint="eastAsia" w:ascii="仿宋_GB2312" w:hAnsi="黑体" w:eastAsia="仿宋_GB2312" w:cs="方正小标宋简体"/>
          <w:sz w:val="30"/>
          <w:szCs w:val="30"/>
        </w:rPr>
        <w:t>指行政单位和参照公务员法管理的事业单位使用一般公共预算财政拨款安排的基本支出中的日常公用经费支出</w:t>
      </w:r>
      <w:r>
        <w:rPr>
          <w:rFonts w:hint="eastAsia" w:ascii="仿宋_GB2312" w:hAnsi="黑体" w:eastAsia="仿宋_GB2312" w:cs="方正小标宋简体"/>
          <w:sz w:val="30"/>
          <w:szCs w:val="30"/>
          <w:lang w:eastAsia="zh-CN"/>
        </w:rPr>
        <w:t>。</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“三公”经费：指</w:t>
      </w:r>
      <w:r>
        <w:rPr>
          <w:rFonts w:hint="eastAsia" w:ascii="仿宋_GB2312" w:hAnsi="黑体" w:eastAsia="仿宋_GB2312" w:cs="方正小标宋简体"/>
          <w:sz w:val="30"/>
          <w:szCs w:val="30"/>
          <w:lang w:eastAsia="zh-CN"/>
        </w:rPr>
        <w:t>用于因</w:t>
      </w:r>
      <w:r>
        <w:rPr>
          <w:rFonts w:hint="eastAsia" w:ascii="仿宋_GB2312" w:hAnsi="黑体" w:eastAsia="仿宋_GB2312" w:cs="方正小标宋简体"/>
          <w:sz w:val="30"/>
          <w:szCs w:val="30"/>
        </w:rPr>
        <w:t>公出国（境）费、公务用车购置及运行维护费和公务接待费支出数。</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rPr>
        <w:t>人员经费</w:t>
      </w:r>
      <w:r>
        <w:rPr>
          <w:rFonts w:hint="eastAsia" w:ascii="仿宋_GB2312" w:hAnsi="黑体" w:eastAsia="仿宋_GB2312" w:cs="方正小标宋简体"/>
          <w:sz w:val="30"/>
          <w:szCs w:val="30"/>
          <w:lang w:eastAsia="zh-CN"/>
        </w:rPr>
        <w:t>支出：指</w:t>
      </w:r>
      <w:r>
        <w:rPr>
          <w:rFonts w:hint="eastAsia" w:ascii="仿宋_GB2312" w:hAnsi="黑体" w:eastAsia="仿宋_GB2312" w:cs="方正小标宋简体"/>
          <w:sz w:val="30"/>
          <w:szCs w:val="30"/>
        </w:rPr>
        <w:t>工资福利支出和对个人和家庭的补助</w:t>
      </w:r>
      <w:r>
        <w:rPr>
          <w:rFonts w:hint="eastAsia" w:ascii="仿宋_GB2312" w:hAnsi="黑体" w:eastAsia="仿宋_GB2312" w:cs="方正小标宋简体"/>
          <w:sz w:val="30"/>
          <w:szCs w:val="30"/>
          <w:lang w:eastAsia="zh-CN"/>
        </w:rPr>
        <w:t>支出。</w:t>
      </w:r>
    </w:p>
    <w:p>
      <w:pPr>
        <w:ind w:firstLine="600" w:firstLineChars="200"/>
        <w:jc w:val="left"/>
        <w:rPr>
          <w:rFonts w:hint="eastAsia" w:ascii="仿宋_GB2312" w:hAnsi="黑体" w:eastAsia="仿宋_GB2312" w:cs="方正小标宋简体"/>
          <w:sz w:val="30"/>
          <w:szCs w:val="30"/>
          <w:lang w:eastAsia="zh-CN"/>
        </w:rPr>
      </w:pPr>
    </w:p>
    <w:p>
      <w:pPr>
        <w:ind w:firstLine="600" w:firstLineChars="200"/>
        <w:jc w:val="left"/>
        <w:rPr>
          <w:rFonts w:hint="eastAsia" w:ascii="仿宋_GB2312" w:hAnsi="黑体" w:eastAsia="仿宋_GB2312" w:cs="方正小标宋简体"/>
          <w:sz w:val="30"/>
          <w:szCs w:val="30"/>
          <w:lang w:eastAsia="zh-CN"/>
        </w:rPr>
      </w:pPr>
    </w:p>
    <w:p>
      <w:pPr>
        <w:ind w:firstLine="600" w:firstLineChars="200"/>
        <w:jc w:val="left"/>
        <w:rPr>
          <w:rFonts w:hint="eastAsia" w:ascii="仿宋_GB2312" w:hAnsi="黑体" w:eastAsia="仿宋_GB2312" w:cs="方正小标宋简体"/>
          <w:sz w:val="30"/>
          <w:szCs w:val="30"/>
          <w:lang w:eastAsia="zh-CN"/>
        </w:rPr>
      </w:pPr>
    </w:p>
    <w:p>
      <w:pPr>
        <w:ind w:firstLine="600" w:firstLineChars="200"/>
        <w:jc w:val="left"/>
        <w:rPr>
          <w:rFonts w:hint="eastAsia" w:ascii="仿宋_GB2312" w:hAnsi="黑体" w:eastAsia="仿宋_GB2312" w:cs="方正小标宋简体"/>
          <w:sz w:val="30"/>
          <w:szCs w:val="30"/>
          <w:lang w:val="en-US" w:eastAsia="zh-CN"/>
        </w:rPr>
      </w:pPr>
      <w:r>
        <w:rPr>
          <w:rFonts w:hint="eastAsia" w:ascii="仿宋_GB2312" w:hAnsi="黑体" w:eastAsia="仿宋_GB2312" w:cs="方正小标宋简体"/>
          <w:sz w:val="30"/>
          <w:szCs w:val="30"/>
          <w:lang w:val="en-US" w:eastAsia="zh-CN"/>
        </w:rPr>
        <w:t xml:space="preserve">                                 2019年9月6日</w:t>
      </w:r>
    </w:p>
    <w:p>
      <w:pPr>
        <w:ind w:firstLine="600" w:firstLineChars="200"/>
        <w:jc w:val="left"/>
        <w:rPr>
          <w:rFonts w:hint="eastAsia" w:ascii="仿宋_GB2312" w:hAnsi="黑体" w:eastAsia="仿宋_GB2312" w:cs="方正小标宋简体"/>
          <w:sz w:val="30"/>
          <w:szCs w:val="30"/>
          <w:lang w:eastAsia="zh-CN"/>
        </w:rPr>
      </w:pPr>
    </w:p>
    <w:p>
      <w:pPr>
        <w:ind w:firstLine="600" w:firstLineChars="200"/>
        <w:jc w:val="left"/>
        <w:rPr>
          <w:rFonts w:hint="eastAsia" w:ascii="仿宋_GB2312" w:hAnsi="黑体" w:eastAsia="仿宋_GB2312" w:cs="方正小标宋简体"/>
          <w:sz w:val="30"/>
          <w:szCs w:val="30"/>
        </w:rPr>
      </w:pPr>
    </w:p>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D4F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table" w:styleId="8">
    <w:name w:val="Table Grid"/>
    <w:basedOn w:val="7"/>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2019-09-10T08:04:33Z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