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德宏州农业机械化技术推广站2019年部门预算编制说明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德宏州农业机械化技术推广站隶属德宏州农业局，主要职能有：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（1）负责推广先进农机技术，提高农业机械化水平；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（2）主持制定全州重大农机化技术推广计划并组织实施；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（3）组织农机化技术专业培训，负责全州农机化新技术、新机具的引进实验示范，农机新产品的鉴定推广；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（4）全州农机产品质量检测、投诉，农机修理工职业技能培训鉴定，农机维修网点管理；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（5）指导县、乡农机技术推广机构开展农机化技术推广工作；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我站2018编制18人，实有在职人员18人，退休12人。单位内设四个室组，分别是办公室、农机推广室、农机研究开发室和农机信息室。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（1）推广先进农机技术，提高农业机械化水平；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（2）主持制定全州重大农机化技术推广计划并组织实施；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（3）组织农机化技术专业培训，负责全州农机化新技术、新机具的引进实验示范，农机新产品的鉴定推广；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（4）全州农机产品质量检测、投诉、农机修理工职业技能培训鉴定，农机维修网点管理；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（5）指导县、乡农机技术推广机构开展农机化技术推广工作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个。截止20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eastAsia="仿宋_GB2312"/>
          <w:kern w:val="0"/>
          <w:sz w:val="30"/>
          <w:szCs w:val="30"/>
        </w:rPr>
        <w:t>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18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19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预算单位支出情况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黑体" w:hAnsi="黑体" w:eastAsia="黑体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（本条分组按项级科目细化）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: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ab/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ab/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社会保障就业支出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ab/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33.78万元，其中2080502事业单位离退休0.72万元；2080505机关事业单位基本养老保险缴费支出23.61万元；2080506机关事业单位职业年金缴费支出9.45万元。农林水支出172.55万元，其中2130104事业运行172.55万元，住房保障支出14.17万元，其中2210201住房公积金14.17万元。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numPr>
          <w:ilvl w:val="0"/>
          <w:numId w:val="0"/>
        </w:numPr>
        <w:ind w:firstLine="6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（本条按部门预算支出经济科目分类）</w:t>
      </w:r>
    </w:p>
    <w:p>
      <w:pPr>
        <w:widowControl/>
        <w:numPr>
          <w:ilvl w:val="0"/>
          <w:numId w:val="0"/>
        </w:numPr>
        <w:ind w:firstLine="600"/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工资福利支出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211.03万元，其中，基本工资59.11万元，津贴补贴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50.17万元，奖金4.93万元，绩效工资49.59万元，机关事业单位基本养老保险缴费23.61万元，职业年金缴费9.45万元，住房公积金14.17万元。商品和服务支出8.75万元，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其中，办公费2.45万元，水费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0.3万元，电费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0.3万元，邮电费1万元，公务接待费1万元，工会经费2.7万元，公务用车运行维护费1万元。对个人和家庭的补助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0.72万元，其中，其他对个人和家庭的补助0.72万元。</w:t>
      </w:r>
    </w:p>
    <w:p>
      <w:pPr>
        <w:widowControl/>
        <w:ind w:firstLine="900" w:firstLineChars="3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220.50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万元）。</w:t>
      </w:r>
    </w:p>
    <w:p>
      <w:pPr>
        <w:widowControl/>
        <w:numPr>
          <w:ilvl w:val="0"/>
          <w:numId w:val="3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对下转项转移支付情况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（本条分组按项级科目细化）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widowControl/>
        <w:ind w:firstLine="450" w:firstLineChars="15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（二）与中央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widowControl/>
        <w:ind w:firstLine="602" w:firstLineChars="200"/>
        <w:jc w:val="left"/>
        <w:rPr>
          <w:rFonts w:hint="eastAsia" w:eastAsia="仿宋_GB2312"/>
          <w:b/>
          <w:kern w:val="0"/>
          <w:sz w:val="30"/>
          <w:szCs w:val="30"/>
          <w:lang w:eastAsia="zh-CN"/>
        </w:rPr>
      </w:pPr>
      <w:r>
        <w:rPr>
          <w:rFonts w:hint="eastAsia" w:eastAsia="仿宋_GB2312"/>
          <w:b/>
          <w:kern w:val="0"/>
          <w:sz w:val="30"/>
          <w:szCs w:val="30"/>
          <w:lang w:eastAsia="zh-CN"/>
        </w:rPr>
        <w:t>无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ind w:firstLine="6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（无相关公开内容的，需保留标题并在表述内容的位置注明“无”。）</w:t>
      </w:r>
    </w:p>
    <w:p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  <w:lang w:eastAsia="zh-CN"/>
        </w:rPr>
        <w:t>，对本年与上年同口径数据比对情况分析。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ind w:firstLine="600" w:firstLineChars="200"/>
        <w:jc w:val="left"/>
        <w:rPr>
          <w:rFonts w:hint="eastAsia" w:ascii="楷体_GB2312" w:hAnsi="楷体_GB2312" w:eastAsia="楷体_GB2312" w:cs="楷体_GB2312"/>
          <w:b w:val="0"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部门“三公”经费增减变化情况及原因说明：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2019年公务接待费1万元，公车运行维护费1万元，与2018年一致。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（无相关公开内容的，需保留标题并在表述内容的位置注明“无”。）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无</w:t>
      </w:r>
    </w:p>
    <w:p>
      <w:pPr>
        <w:widowControl/>
        <w:numPr>
          <w:ilvl w:val="0"/>
          <w:numId w:val="4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本部门预算绩效情况说明</w:t>
      </w:r>
    </w:p>
    <w:p>
      <w:pPr>
        <w:widowControl/>
        <w:numPr>
          <w:ilvl w:val="0"/>
          <w:numId w:val="0"/>
        </w:numPr>
        <w:jc w:val="left"/>
        <w:rPr>
          <w:rFonts w:hint="eastAsia" w:ascii="楷体_GB2312" w:eastAsia="楷体_GB2312"/>
          <w:kern w:val="0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 xml:space="preserve">    无</w:t>
      </w:r>
    </w:p>
    <w:p>
      <w:pPr>
        <w:widowControl/>
        <w:ind w:firstLine="900" w:firstLineChars="3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2019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DA9B9"/>
    <w:multiLevelType w:val="singleLevel"/>
    <w:tmpl w:val="5C3DA9B9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C47BA42"/>
    <w:multiLevelType w:val="singleLevel"/>
    <w:tmpl w:val="5C47BA42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5C47DC0A"/>
    <w:multiLevelType w:val="singleLevel"/>
    <w:tmpl w:val="5C47DC0A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5737A0"/>
    <w:rsid w:val="03F0214E"/>
    <w:rsid w:val="06325B44"/>
    <w:rsid w:val="0AB77A2F"/>
    <w:rsid w:val="10097634"/>
    <w:rsid w:val="1A0B3DDD"/>
    <w:rsid w:val="28710EB5"/>
    <w:rsid w:val="2AD37CA8"/>
    <w:rsid w:val="39466C4F"/>
    <w:rsid w:val="44DC17EF"/>
    <w:rsid w:val="4B593A92"/>
    <w:rsid w:val="5CDB0CC8"/>
    <w:rsid w:val="69D42C86"/>
    <w:rsid w:val="724A4A01"/>
    <w:rsid w:val="7B1E5394"/>
    <w:rsid w:val="7C4E383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Administrator</cp:lastModifiedBy>
  <cp:lastPrinted>2018-01-31T03:32:00Z</cp:lastPrinted>
  <dcterms:modified xsi:type="dcterms:W3CDTF">2019-02-12T09:05:29Z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