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  <w:lang w:eastAsia="zh-CN"/>
        </w:rPr>
        <w:t>德宏州经营管理站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年部门预算编制说明</w:t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第二部分 </w:t>
      </w:r>
      <w:r>
        <w:rPr>
          <w:rFonts w:hint="eastAsia" w:ascii="黑体" w:hAnsi="黑体" w:eastAsia="黑体"/>
          <w:sz w:val="30"/>
          <w:szCs w:val="30"/>
          <w:lang w:eastAsia="zh-CN"/>
        </w:rPr>
        <w:t>德宏州经营管理站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2018</w:t>
      </w:r>
      <w:r>
        <w:rPr>
          <w:rFonts w:hint="eastAsia" w:ascii="黑体" w:hAnsi="黑体" w:eastAsia="黑体"/>
          <w:sz w:val="30"/>
          <w:szCs w:val="30"/>
        </w:rPr>
        <w:t>年部门预算表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一、部门财务收支总体情况表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二、部门收入总体情况表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三、部门支出总体情况表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四、部门财政拨款收支总体情况表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五、部门一般公共预算本级财力安排支出情况表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六、部门基本支出情况表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七、部门政府性基金预算支出情况表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八、财政拨款支出明细表（按经济科目分类）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九、部门一般公共预算“三公”经费支出情况表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十、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州</w:t>
      </w:r>
      <w:r>
        <w:rPr>
          <w:rFonts w:hint="eastAsia" w:ascii="Times New Roman" w:hAnsi="Times New Roman" w:eastAsia="仿宋_GB2312"/>
          <w:sz w:val="30"/>
          <w:szCs w:val="30"/>
        </w:rPr>
        <w:t>本级项目支出绩效目标表（本次下达）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十一、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州</w:t>
      </w:r>
      <w:r>
        <w:rPr>
          <w:rFonts w:hint="eastAsia" w:ascii="Times New Roman" w:hAnsi="Times New Roman" w:eastAsia="仿宋_GB2312"/>
          <w:sz w:val="30"/>
          <w:szCs w:val="30"/>
        </w:rPr>
        <w:t>本级项目支出绩效目标表（另文下达）</w:t>
      </w:r>
    </w:p>
    <w:p>
      <w:pPr>
        <w:jc w:val="lef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十二、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州</w:t>
      </w:r>
      <w:r>
        <w:rPr>
          <w:rFonts w:hint="eastAsia" w:ascii="Times New Roman" w:hAnsi="Times New Roman" w:eastAsia="仿宋_GB2312"/>
          <w:sz w:val="30"/>
          <w:szCs w:val="30"/>
        </w:rPr>
        <w:t>对下转移支付绩效目标表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十三、部门政府采购情况表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德宏州经营管理站2018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1" w:firstLineChars="100"/>
        <w:jc w:val="left"/>
        <w:rPr>
          <w:rFonts w:ascii="楷体_GB2312" w:eastAsia="楷体_GB2312"/>
          <w:b/>
          <w:bCs/>
          <w:kern w:val="0"/>
          <w:sz w:val="30"/>
          <w:szCs w:val="30"/>
        </w:rPr>
      </w:pPr>
      <w:r>
        <w:rPr>
          <w:rFonts w:hint="eastAsia" w:ascii="楷体_GB2312" w:eastAsia="楷体_GB2312"/>
          <w:b/>
          <w:bCs/>
          <w:kern w:val="0"/>
          <w:sz w:val="30"/>
          <w:szCs w:val="30"/>
        </w:rPr>
        <w:t>（一）部门主要职责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站主要负责全州农村集体“三资”管理、农村土地承包合同管理、农村土地承包经营权确权登记颁证工作、农民负担监督管理、发展壮大农村集体经济、指导农民专业合作组织发展、村容村貌整治工作、农业支持保护补贴工作、农村经营管理情况统计、农经体系建设及农村综合改革等相关业务工作。</w:t>
      </w:r>
    </w:p>
    <w:p>
      <w:pPr>
        <w:widowControl/>
        <w:ind w:firstLine="602" w:firstLineChars="200"/>
        <w:jc w:val="left"/>
        <w:rPr>
          <w:rFonts w:ascii="楷体_GB2312" w:eastAsia="楷体_GB2312"/>
          <w:b/>
          <w:bCs/>
          <w:kern w:val="0"/>
          <w:sz w:val="30"/>
          <w:szCs w:val="30"/>
        </w:rPr>
      </w:pPr>
      <w:r>
        <w:rPr>
          <w:rFonts w:hint="eastAsia" w:ascii="楷体_GB2312" w:eastAsia="楷体_GB2312"/>
          <w:b/>
          <w:bCs/>
          <w:kern w:val="0"/>
          <w:sz w:val="30"/>
          <w:szCs w:val="30"/>
        </w:rPr>
        <w:t>（二）机构设置情况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" w:eastAsia="仿宋_GB2312"/>
          <w:sz w:val="30"/>
          <w:szCs w:val="30"/>
          <w:lang w:val="en-US"/>
        </w:rPr>
      </w:pPr>
      <w:r>
        <w:rPr>
          <w:rFonts w:hint="eastAsia" w:ascii="仿宋_GB2312" w:hAnsi="仿宋" w:eastAsia="仿宋_GB2312"/>
          <w:sz w:val="30"/>
          <w:szCs w:val="30"/>
        </w:rPr>
        <w:t>我站为独立核算事业单位，单位编制数1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/>
          <w:sz w:val="30"/>
          <w:szCs w:val="30"/>
        </w:rPr>
        <w:t>人，上年末我站在职实有人数1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/>
          <w:sz w:val="30"/>
          <w:szCs w:val="30"/>
        </w:rPr>
        <w:t>人，退休人员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人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。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站内设机构6个组室，分别为：办公室、农村“三资”管理室、农村土地承包与农民负担监督管理室、农村经济调查与统计室、新型农业经营主体管理室、惠农补贴管理室。</w:t>
      </w:r>
      <w:bookmarkStart w:id="0" w:name="_GoBack"/>
      <w:bookmarkEnd w:id="0"/>
    </w:p>
    <w:p>
      <w:pPr>
        <w:widowControl/>
        <w:ind w:firstLine="602" w:firstLineChars="200"/>
        <w:jc w:val="left"/>
        <w:rPr>
          <w:rFonts w:ascii="楷体_GB2312" w:eastAsia="楷体_GB2312"/>
          <w:b/>
          <w:bCs/>
          <w:kern w:val="0"/>
          <w:sz w:val="30"/>
          <w:szCs w:val="30"/>
        </w:rPr>
      </w:pPr>
      <w:r>
        <w:rPr>
          <w:rFonts w:ascii="楷体_GB2312" w:eastAsia="楷体_GB2312"/>
          <w:b/>
          <w:bCs/>
          <w:kern w:val="0"/>
          <w:sz w:val="30"/>
          <w:szCs w:val="30"/>
        </w:rPr>
        <w:t>（</w:t>
      </w:r>
      <w:r>
        <w:rPr>
          <w:rFonts w:hint="eastAsia" w:ascii="楷体_GB2312" w:eastAsia="楷体_GB2312"/>
          <w:b/>
          <w:bCs/>
          <w:kern w:val="0"/>
          <w:sz w:val="30"/>
          <w:szCs w:val="30"/>
        </w:rPr>
        <w:t>三</w:t>
      </w:r>
      <w:r>
        <w:rPr>
          <w:rFonts w:ascii="楷体_GB2312" w:eastAsia="楷体_GB2312"/>
          <w:b/>
          <w:bCs/>
          <w:kern w:val="0"/>
          <w:sz w:val="30"/>
          <w:szCs w:val="30"/>
        </w:rPr>
        <w:t>）重点工作概述</w:t>
      </w:r>
    </w:p>
    <w:p>
      <w:pPr>
        <w:numPr>
          <w:ilvl w:val="0"/>
          <w:numId w:val="0"/>
        </w:numPr>
        <w:snapToGrid w:val="0"/>
        <w:spacing w:line="56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农村土地承包管理工作取得新成效。</w:t>
      </w:r>
      <w:r>
        <w:rPr>
          <w:rFonts w:hint="eastAsia" w:ascii="仿宋_GB2312" w:hAnsi="仿宋" w:eastAsia="仿宋_GB2312"/>
          <w:sz w:val="30"/>
          <w:szCs w:val="30"/>
        </w:rPr>
        <w:t>一是加强了农村土地承包档案管理，对部分土地承包档案不全或丢失的情况，积极做好补充完善工作，确保档案完整齐全；二是规范农村土地承包经营权流转合同，稳妥推进农村土地承包经营权流转。三是指导各县市建立土地承包经营纠纷调解仲裁庭，加强农村土地承包经营纠纷调解仲裁工作；四是积极做好农村土地承包经营权确权登记颁证工作。</w:t>
      </w:r>
    </w:p>
    <w:p>
      <w:pPr>
        <w:numPr>
          <w:ilvl w:val="0"/>
          <w:numId w:val="0"/>
        </w:numPr>
        <w:snapToGrid w:val="0"/>
        <w:spacing w:line="56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农村集体财务管理工作不断加强。</w:t>
      </w:r>
      <w:r>
        <w:rPr>
          <w:rFonts w:hint="eastAsia" w:ascii="仿宋_GB2312" w:hAnsi="仿宋" w:eastAsia="仿宋_GB2312"/>
          <w:sz w:val="30"/>
          <w:szCs w:val="30"/>
        </w:rPr>
        <w:t>一是以推进“村级会计委托代理服务”工作为重点继续推进村级会计委托代理服务及电算化工作；二是不断完善监督约束机制，巩固村组财务公开民主管理制度；三是开展农村集体财务的日常审计，努力化解了农村社会矛盾。</w:t>
      </w:r>
    </w:p>
    <w:p>
      <w:pPr>
        <w:numPr>
          <w:ilvl w:val="0"/>
          <w:numId w:val="0"/>
        </w:numPr>
        <w:snapToGrid w:val="0"/>
        <w:spacing w:line="56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val="en-US" w:eastAsia="zh-CN"/>
        </w:rPr>
        <w:t>3、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农民负担监督管理工作不断巩固。</w:t>
      </w:r>
      <w:r>
        <w:rPr>
          <w:rFonts w:hint="eastAsia" w:ascii="仿宋_GB2312" w:hAnsi="仿宋" w:eastAsia="仿宋_GB2312"/>
          <w:sz w:val="30"/>
          <w:szCs w:val="30"/>
        </w:rPr>
        <w:t>一年来，全州各级农经部门按照中央、省、州减轻农民负担工作的总体要求，严格执行“五项制度”，全面落实各项支农惠农政策，不断加强村级公益事业建设“一事一议”筹资筹劳管理，组织开展农民负担综合治理，深入开展减负执法检查。全州没有出现因加重农民负担而引发的群体性案（事）件。</w:t>
      </w:r>
    </w:p>
    <w:p>
      <w:pPr>
        <w:numPr>
          <w:ilvl w:val="0"/>
          <w:numId w:val="0"/>
        </w:numPr>
        <w:snapToGrid w:val="0"/>
        <w:spacing w:line="56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val="en-US" w:eastAsia="zh-CN"/>
        </w:rPr>
        <w:t>4、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培育新型农业经营主体工作取得新进展。</w:t>
      </w:r>
      <w:r>
        <w:rPr>
          <w:rFonts w:hint="eastAsia" w:ascii="仿宋_GB2312" w:hAnsi="仿宋" w:eastAsia="仿宋_GB2312"/>
          <w:sz w:val="30"/>
          <w:szCs w:val="30"/>
        </w:rPr>
        <w:t>一是扶持和发展农民专业合作社；二是支持发展家庭农场；三是发展壮大农村集体经济。</w:t>
      </w:r>
    </w:p>
    <w:p>
      <w:pPr>
        <w:snapToGrid w:val="0"/>
        <w:spacing w:line="560" w:lineRule="exact"/>
        <w:ind w:firstLine="602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  <w:lang w:val="en-US" w:eastAsia="zh-CN"/>
        </w:rPr>
        <w:t>5、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农业支持保护补贴兑付及时。</w:t>
      </w:r>
      <w:r>
        <w:rPr>
          <w:rFonts w:hint="eastAsia" w:ascii="仿宋_GB2312" w:hAnsi="仿宋" w:eastAsia="仿宋_GB2312"/>
          <w:sz w:val="30"/>
          <w:szCs w:val="30"/>
        </w:rPr>
        <w:t>一年来，全州各级农经部门按照省委、省政府和州委、州政府的安排部署，统一思想，提高认识，精心组织，严格按照农业支持保护补贴实施方案的要求，积极协调财政、农村信用部门，及时将农业支持保护补贴资金兑付到农户手中。</w:t>
      </w:r>
    </w:p>
    <w:p>
      <w:pPr>
        <w:snapToGrid w:val="0"/>
        <w:spacing w:line="56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</w:t>
      </w:r>
      <w:r>
        <w:rPr>
          <w:rFonts w:hint="eastAsia" w:ascii="仿宋_GB2312" w:hAnsi="仿宋" w:eastAsia="仿宋_GB2312"/>
          <w:b/>
          <w:bCs/>
          <w:sz w:val="30"/>
          <w:szCs w:val="30"/>
          <w:lang w:val="en-US" w:eastAsia="zh-CN"/>
        </w:rPr>
        <w:t>6、</w:t>
      </w:r>
      <w:r>
        <w:rPr>
          <w:rFonts w:hint="eastAsia" w:ascii="仿宋_GB2312" w:hAnsi="仿宋" w:eastAsia="仿宋_GB2312"/>
          <w:b/>
          <w:bCs/>
          <w:sz w:val="30"/>
          <w:szCs w:val="30"/>
        </w:rPr>
        <w:t>农村集体经济调查与统计工作不断强化。</w:t>
      </w:r>
      <w:r>
        <w:rPr>
          <w:rFonts w:hint="eastAsia" w:ascii="仿宋_GB2312" w:hAnsi="仿宋" w:eastAsia="仿宋_GB2312"/>
          <w:sz w:val="30"/>
          <w:szCs w:val="30"/>
        </w:rPr>
        <w:t>全州农经部门始终把提高统计数据质量作为统计工作的首要任务，在继续搞好部门统计工作任务的同时，突出以农民收入为重点的调查、统计、分析和预测，为各级领导及时掌握农产品市场价格变化、指导农村生产提供可靠的依据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个。财政全供给单位中非参公管理事业单位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人，其中：事业编制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离休 XX人，退休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XX万元，国有资本经营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XX万元，事业收入XX万元，事业单位经营收入XX万元，其他收入XX万元</w:t>
      </w:r>
      <w:r>
        <w:rPr>
          <w:rFonts w:hint="eastAsia" w:eastAsia="仿宋_GB2312"/>
          <w:kern w:val="0"/>
          <w:sz w:val="30"/>
          <w:szCs w:val="30"/>
        </w:rPr>
        <w:t>，上年结转XX万元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万元，上年结转XX万元。本年收入中，一般公共预算财政拨款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万元，专项收入XX万元，执法办案补助XX万元，收费成本补偿XX万元，财政专户管理的收入XX万元，国有资源（资产）有偿使用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eastAsia="仿宋_GB2312"/>
          <w:kern w:val="0"/>
          <w:sz w:val="30"/>
          <w:szCs w:val="30"/>
        </w:rPr>
        <w:t>XX万元），政府性基金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财政拨款XX万元，国有资本经营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财政拨款XX万元。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135.91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115.91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208类社会保障和就业支出23.54万元，其中：208类05款02项事业单位离退休支出0.3万元；208类05款05项机关事业单位基本养老保险缴费支出16.6万元；208类05款06项机关事业单位职业年金缴费支出6.64万元</w:t>
      </w:r>
      <w:r>
        <w:rPr>
          <w:rFonts w:eastAsia="仿宋_GB2312"/>
          <w:kern w:val="0"/>
          <w:sz w:val="30"/>
          <w:szCs w:val="30"/>
        </w:rPr>
        <w:t>。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用于213类农林水支出103.81万元，其中：213类01款04项事业运行支出83.81万元；213类01款11项统计监测与信息服务支出5万元；213类01款12项农业行业业务管理支出5万元；213类01款22项农业生产支持补贴支出5万元；213类01款24项农业组织化与产业化经营支出5万元。用于221类住房保障支出8.56万元，其中221类02款01项住房公积金8.56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115.91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万元）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301类工资福利支出110.36万元；302类商品和服务支出23.54万元，其中基本支出5.55万元，项目支出17.99万元；310类资本性支出2.01万元，为项目支出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hint="eastAsia" w:eastAsia="仿宋_GB2312"/>
          <w:kern w:val="0"/>
          <w:sz w:val="30"/>
          <w:szCs w:val="30"/>
          <w:lang w:eastAsia="zh-CN"/>
        </w:rPr>
        <w:t>州</w:t>
      </w:r>
      <w:r>
        <w:rPr>
          <w:rFonts w:eastAsia="仿宋_GB2312"/>
          <w:kern w:val="0"/>
          <w:sz w:val="30"/>
          <w:szCs w:val="30"/>
        </w:rPr>
        <w:t xml:space="preserve">对下专项转移支付项目清单项目为：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2018年预算安排州对下转移支付项目</w:t>
      </w:r>
      <w:r>
        <w:rPr>
          <w:rFonts w:eastAsia="仿宋_GB2312"/>
          <w:kern w:val="0"/>
          <w:sz w:val="30"/>
          <w:szCs w:val="30"/>
        </w:rPr>
        <w:t>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70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支持县市做好村级会计委托代理服务工作，建立县乡网络化管理体系，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2018年完成梁河县、瑞丽市两个县市、15个乡镇的网络化管理体系，每个县市县级平台建设经费20万元，每个乡镇设备购置2万元</w:t>
      </w:r>
      <w:r>
        <w:rPr>
          <w:rFonts w:eastAsia="仿宋_GB2312"/>
          <w:kern w:val="0"/>
          <w:sz w:val="30"/>
          <w:szCs w:val="30"/>
        </w:rPr>
        <w:t>。</w:t>
      </w:r>
      <w:r>
        <w:rPr>
          <w:rFonts w:hint="eastAsia" w:eastAsia="仿宋_GB2312"/>
          <w:kern w:val="0"/>
          <w:sz w:val="30"/>
          <w:szCs w:val="30"/>
          <w:lang w:eastAsia="zh-CN"/>
        </w:rPr>
        <w:t>分配情况：梁河县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38万元，瑞丽市32万元。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根据《中华人民共和国政府采购法》的有关规定，编制了政府采购预算，共涉及采购项目XXX个，采购预算资金XXX万元。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一</w:t>
      </w:r>
      <w:r>
        <w:rPr>
          <w:rFonts w:hint="eastAsia" w:eastAsia="仿宋_GB2312"/>
          <w:kern w:val="0"/>
          <w:sz w:val="30"/>
          <w:szCs w:val="30"/>
          <w:lang w:eastAsia="zh-CN"/>
        </w:rPr>
        <w:t>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2018年预算基本支出为115.91万元，较2017年预算基本支出127.55万元，减少11.64万元，主要是由于2018年在职人员减少1人。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（二）2018年预算项目支出20万元，较2017年预算项目支出的43万元，减少23万元，主要是由于预算制度改革，压缩了部分工作经费。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：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无；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：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无；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p>
      <w:pP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tabs>
          <w:tab w:val="left" w:pos="2724"/>
        </w:tabs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ab/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 xml:space="preserve">      </w:t>
      </w:r>
    </w:p>
    <w:p>
      <w:pPr>
        <w:tabs>
          <w:tab w:val="left" w:pos="2724"/>
        </w:tabs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tabs>
          <w:tab w:val="left" w:pos="2724"/>
        </w:tabs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tabs>
          <w:tab w:val="left" w:pos="2724"/>
        </w:tabs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tabs>
          <w:tab w:val="left" w:pos="2724"/>
        </w:tabs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tabs>
          <w:tab w:val="left" w:pos="2724"/>
        </w:tabs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</w:p>
    <w:p>
      <w:pPr>
        <w:tabs>
          <w:tab w:val="left" w:pos="2724"/>
        </w:tabs>
        <w:ind w:firstLine="3900" w:firstLineChars="1300"/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德宏州农村合作经济经营管理站</w:t>
      </w:r>
    </w:p>
    <w:p>
      <w:pPr>
        <w:tabs>
          <w:tab w:val="left" w:pos="2724"/>
        </w:tabs>
        <w:ind w:firstLine="4800" w:firstLineChars="1600"/>
        <w:jc w:val="left"/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2018年2月28日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48B4A2E"/>
    <w:rsid w:val="054C44FD"/>
    <w:rsid w:val="0D335F86"/>
    <w:rsid w:val="127F5FEC"/>
    <w:rsid w:val="24464F5C"/>
    <w:rsid w:val="2A210FE2"/>
    <w:rsid w:val="31681F0C"/>
    <w:rsid w:val="3F85182A"/>
    <w:rsid w:val="3FF07387"/>
    <w:rsid w:val="49FA718D"/>
    <w:rsid w:val="51E74316"/>
    <w:rsid w:val="6F060EC5"/>
    <w:rsid w:val="716A6A78"/>
    <w:rsid w:val="738069C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沈福英</cp:lastModifiedBy>
  <cp:lastPrinted>2018-01-31T03:32:00Z</cp:lastPrinted>
  <dcterms:modified xsi:type="dcterms:W3CDTF">2018-03-09T08:22:12Z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