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/>
        <w:jc w:val="center"/>
        <w:textAlignment w:val="auto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德宏州茶叶技术推广站2018年部门预算编制说明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（一）部门主要职责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德宏州茶叶技术推广站的部门预算编制遵循由政府批准的定机构、定编制、定职能“三定”方案，我站的主要职责是推广种植业（茶叶）技术，促进农业发展。种植业</w:t>
      </w:r>
      <w:r>
        <w:rPr>
          <w:rFonts w:hint="eastAsia" w:ascii="仿宋_GB2312" w:hAnsi="仿宋" w:eastAsia="仿宋_GB2312"/>
          <w:sz w:val="30"/>
          <w:szCs w:val="30"/>
        </w:rPr>
        <w:t>技术试验示范、技术引进、适应试验、规范制订，新技术成果推广管理，种植业系统技术培训、项目培训、绿色证书培训，技术推广机构与队伍建设、业务指导，农业技术推广法规宣传，种植业技术承包、科技成果转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320" w:firstLineChars="100"/>
        <w:jc w:val="lef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（二）机构设置情况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t>德宏州茶叶技术推广站是隶属于德宏州农业局的二级事业单位，财政全额拨款的公益一类事业单位，我站属于独立编制单位和独立核算单位，在职人员编制17人，其中事业编制17人。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320" w:firstLineChars="1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（三）重点工作概述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00" w:firstLineChars="200"/>
        <w:textAlignment w:val="auto"/>
        <w:outlineLvl w:val="0"/>
        <w:rPr>
          <w:rFonts w:ascii="仿宋_GB2312" w:hAnsi="仿宋" w:eastAsia="仿宋_GB2312" w:cs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2018年重点工作是完成老茶园改造技术模式集成示范片、云南省现代农业云茶体系德宏试验站建设、茶园病虫害绿色防控技术推广与培训、优势农产品基地建设等</w:t>
      </w:r>
      <w:r>
        <w:rPr>
          <w:rFonts w:hint="eastAsia" w:ascii="仿宋_GB2312" w:hAnsi="仿宋" w:eastAsia="仿宋_GB2312" w:cs="仿宋_GB2312"/>
          <w:bCs/>
          <w:sz w:val="30"/>
          <w:szCs w:val="30"/>
        </w:rPr>
        <w:t>茶叶技术推广工作。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hint="eastAsia" w:eastAsia="仿宋_GB2312"/>
          <w:kern w:val="0"/>
          <w:sz w:val="30"/>
          <w:szCs w:val="30"/>
        </w:rPr>
        <w:t>单位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bookmarkStart w:id="0" w:name="_GoBack"/>
      <w:bookmarkEnd w:id="0"/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</w:rPr>
        <w:t>17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</w:rPr>
        <w:t>17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</w:rPr>
        <w:t>15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</w:rPr>
        <w:t>15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</w:rPr>
        <w:t>7</w:t>
      </w:r>
      <w:r>
        <w:rPr>
          <w:rFonts w:eastAsia="仿宋_GB2312"/>
          <w:kern w:val="0"/>
          <w:sz w:val="30"/>
          <w:szCs w:val="30"/>
        </w:rPr>
        <w:t>人，其中： 离休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hint="eastAsia" w:eastAsia="仿宋_GB2312"/>
          <w:kern w:val="0"/>
          <w:sz w:val="30"/>
          <w:szCs w:val="30"/>
        </w:rPr>
        <w:t>7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spacing w:line="520" w:lineRule="exact"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spacing w:line="520" w:lineRule="exact"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财政拨款171.06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，上年结转0万元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spacing w:line="520" w:lineRule="exact"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</w:rPr>
        <w:t>170.26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，其他非税安排0.8万元</w:t>
      </w:r>
      <w:r>
        <w:rPr>
          <w:rFonts w:eastAsia="仿宋_GB2312"/>
          <w:kern w:val="0"/>
          <w:sz w:val="30"/>
          <w:szCs w:val="30"/>
        </w:rPr>
        <w:t>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spacing w:line="520" w:lineRule="exact"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spacing w:line="520" w:lineRule="exact"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功能科目分组，按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支出功能科目分类，基本支出171.06万元，主要用于支出分别列“208（类）05（款）05（项）”24.90万元，主要反映机关事业单位离退休基本养老保险缴费和商品服务支出，“208（类）05（款）06（项）”9.32万元，主要反映机关事业单位离退休职业年金缴费支出；“</w:t>
      </w:r>
      <w:r>
        <w:rPr>
          <w:rFonts w:hint="eastAsia" w:ascii="仿宋_GB2312" w:hAnsi="仿宋" w:eastAsia="仿宋_GB2312"/>
          <w:sz w:val="30"/>
          <w:szCs w:val="30"/>
        </w:rPr>
        <w:t>213（类）01（款）04（项）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”124.28万元，主要反映事业运行</w:t>
      </w:r>
      <w:r>
        <w:rPr>
          <w:rFonts w:hint="eastAsia" w:ascii="仿宋_GB2312" w:hAnsi="仿宋" w:eastAsia="仿宋_GB2312"/>
          <w:sz w:val="30"/>
          <w:szCs w:val="30"/>
        </w:rPr>
        <w:t>工资福利和商品服务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支出；“221（类）02（款）01（项）”12.56万元，主要反映财政匹配住房公积金的支出。</w:t>
      </w:r>
    </w:p>
    <w:p>
      <w:pPr>
        <w:widowControl/>
        <w:spacing w:line="520" w:lineRule="exact"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</w:t>
      </w:r>
      <w:r>
        <w:rPr>
          <w:rFonts w:eastAsia="仿宋_GB2312"/>
          <w:kern w:val="0"/>
          <w:sz w:val="30"/>
          <w:szCs w:val="30"/>
        </w:rPr>
        <w:t>经济科目分</w:t>
      </w:r>
      <w:r>
        <w:rPr>
          <w:rFonts w:hint="eastAsia" w:eastAsia="仿宋_GB2312"/>
          <w:kern w:val="0"/>
          <w:sz w:val="30"/>
          <w:szCs w:val="30"/>
        </w:rPr>
        <w:t>组，</w:t>
      </w:r>
      <w:r>
        <w:rPr>
          <w:rFonts w:eastAsia="仿宋_GB2312"/>
          <w:kern w:val="0"/>
          <w:sz w:val="30"/>
          <w:szCs w:val="30"/>
        </w:rPr>
        <w:t>基本支出</w:t>
      </w:r>
      <w:r>
        <w:rPr>
          <w:rFonts w:hint="eastAsia" w:eastAsia="仿宋_GB2312"/>
          <w:kern w:val="0"/>
          <w:sz w:val="30"/>
          <w:szCs w:val="30"/>
        </w:rPr>
        <w:t>171.06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其中：工资福利支出161.84万元（基本工资52.53万元、津贴补贴42.76万元、绩效工资20.19万元，机关事业单位养老保险缴费24.48万元；职业年金缴费9.32万元；住房公积金12.56万元）；商品和服务支出9.22万元（办公费1.22万元、水费0.3万元、电费0.3万元、邮电费1.2万元、差旅费3万元、公务接待费1万元、公务用车运行维护费2.2万元）。项目支出0万元。</w:t>
      </w:r>
    </w:p>
    <w:p>
      <w:pPr>
        <w:widowControl/>
        <w:spacing w:line="520" w:lineRule="exact"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</w:t>
      </w:r>
      <w:r>
        <w:rPr>
          <w:rFonts w:hint="eastAsia" w:ascii="黑体" w:hAnsi="黑体" w:eastAsia="黑体"/>
          <w:kern w:val="0"/>
          <w:sz w:val="30"/>
          <w:szCs w:val="30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spacing w:line="520" w:lineRule="exact"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widowControl/>
        <w:spacing w:line="520" w:lineRule="exact"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我单位没有</w:t>
      </w:r>
      <w:r>
        <w:rPr>
          <w:rFonts w:eastAsia="仿宋_GB2312"/>
          <w:kern w:val="0"/>
          <w:sz w:val="30"/>
          <w:szCs w:val="30"/>
        </w:rPr>
        <w:t>对下专项转移支付项目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spacing w:line="520" w:lineRule="exact"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hint="eastAsia" w:ascii="楷体_GB2312" w:eastAsia="楷体_GB2312"/>
          <w:kern w:val="0"/>
          <w:sz w:val="30"/>
          <w:szCs w:val="30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我单位没有与中央、省配套事项。</w:t>
      </w:r>
    </w:p>
    <w:p>
      <w:pPr>
        <w:widowControl/>
        <w:spacing w:line="520" w:lineRule="exact"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我单位无既定政策标准测算补助事项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spacing w:line="520" w:lineRule="exact"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spacing w:line="520" w:lineRule="exact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</w:t>
      </w:r>
      <w:r>
        <w:rPr>
          <w:rFonts w:hint="eastAsia" w:eastAsia="仿宋_GB2312"/>
          <w:kern w:val="0"/>
          <w:sz w:val="30"/>
          <w:szCs w:val="30"/>
        </w:rPr>
        <w:t>金0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spacing w:line="520" w:lineRule="exact"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spacing w:line="52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2018年基本支出预算171.06万元，比上年预算减少27.92万元，是因为2018年在职实有人数15人，比上年实有人数减少1人，在职人员的工资福利、商品和服务支出及财政匹配住房公积金就相应减少。</w:t>
      </w:r>
    </w:p>
    <w:p>
      <w:pPr>
        <w:widowControl/>
        <w:spacing w:line="540" w:lineRule="exact"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spacing w:line="540" w:lineRule="exact"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财政预算拨款：是指财政部门用一般预算收入安排的预算单位资金。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基本支出：反映为保障机构正常运转、完成日常工作任务而发生的人员支出和公用支出。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项目支出：反映行政事业单位为完成特定的工作任务或事业发展目标，在基本的预算支出以外，财政预算专款安排的支出。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工资福利支出（类）：反映单位开支的在职职工和编制外长期聘用人员的各类劳动报酬，以及为上述人员缴纳的各项社会保险费等。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商品和服务支出（类）：反映单位购买商品和服务的支出。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对个人和家庭补助支出（类）：反映政府用于对个人和家庭的补助支出。</w:t>
      </w:r>
    </w:p>
    <w:p>
      <w:pPr>
        <w:widowControl/>
        <w:spacing w:line="540" w:lineRule="exact"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我单位无机关运行经费安排。</w:t>
      </w:r>
    </w:p>
    <w:p>
      <w:pPr>
        <w:widowControl/>
        <w:spacing w:line="540" w:lineRule="exact"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鉴于截至2017年12月31日的国有资产占有使用情况需在完成2017年决算编制后才能统计汇总相关数据，因此，将在公开2017年度部门决算时一并公开部门截至2017年12月31日的国有资产占有使用情况。</w:t>
      </w:r>
    </w:p>
    <w:p>
      <w:pPr>
        <w:widowControl/>
        <w:spacing w:line="540" w:lineRule="exact"/>
        <w:ind w:firstLine="6000" w:firstLineChars="20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spacing w:line="540" w:lineRule="exact"/>
        <w:ind w:firstLine="6000" w:firstLineChars="20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spacing w:line="540" w:lineRule="exact"/>
        <w:ind w:firstLine="5250" w:firstLineChars="17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2018年3月5日</w:t>
      </w: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41E1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569D"/>
    <w:rsid w:val="00186C54"/>
    <w:rsid w:val="00192C05"/>
    <w:rsid w:val="00197CAA"/>
    <w:rsid w:val="00197E5D"/>
    <w:rsid w:val="001A1B3A"/>
    <w:rsid w:val="001A3CEE"/>
    <w:rsid w:val="001A784A"/>
    <w:rsid w:val="001B045D"/>
    <w:rsid w:val="001C1381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1D97"/>
    <w:rsid w:val="00262BAD"/>
    <w:rsid w:val="002726B1"/>
    <w:rsid w:val="002727D0"/>
    <w:rsid w:val="002749C8"/>
    <w:rsid w:val="00275325"/>
    <w:rsid w:val="00281C06"/>
    <w:rsid w:val="00284190"/>
    <w:rsid w:val="00285DC4"/>
    <w:rsid w:val="00294AE7"/>
    <w:rsid w:val="002A4F06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1685"/>
    <w:rsid w:val="002D27CD"/>
    <w:rsid w:val="002D3EC0"/>
    <w:rsid w:val="002D729F"/>
    <w:rsid w:val="002E0E3C"/>
    <w:rsid w:val="002E2F7F"/>
    <w:rsid w:val="002E4B20"/>
    <w:rsid w:val="002E5FC6"/>
    <w:rsid w:val="002E6D7D"/>
    <w:rsid w:val="002F1C5F"/>
    <w:rsid w:val="002F2C1E"/>
    <w:rsid w:val="002F6693"/>
    <w:rsid w:val="002F6E99"/>
    <w:rsid w:val="00300C47"/>
    <w:rsid w:val="003050B6"/>
    <w:rsid w:val="0030726B"/>
    <w:rsid w:val="0031118B"/>
    <w:rsid w:val="0031122F"/>
    <w:rsid w:val="003126D4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63AA8"/>
    <w:rsid w:val="003710A2"/>
    <w:rsid w:val="00372470"/>
    <w:rsid w:val="00376707"/>
    <w:rsid w:val="0037788A"/>
    <w:rsid w:val="0038029B"/>
    <w:rsid w:val="00383096"/>
    <w:rsid w:val="003900EB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2B24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1DAE"/>
    <w:rsid w:val="00467CD2"/>
    <w:rsid w:val="004718A9"/>
    <w:rsid w:val="00476EC1"/>
    <w:rsid w:val="00480582"/>
    <w:rsid w:val="0048694C"/>
    <w:rsid w:val="004911B1"/>
    <w:rsid w:val="00495E43"/>
    <w:rsid w:val="00497DDF"/>
    <w:rsid w:val="004A362F"/>
    <w:rsid w:val="004A742B"/>
    <w:rsid w:val="004B1A97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26C06"/>
    <w:rsid w:val="005431C8"/>
    <w:rsid w:val="005463F4"/>
    <w:rsid w:val="00552BA8"/>
    <w:rsid w:val="0055409A"/>
    <w:rsid w:val="00563EEF"/>
    <w:rsid w:val="00570F84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09F2"/>
    <w:rsid w:val="005D245F"/>
    <w:rsid w:val="005D3061"/>
    <w:rsid w:val="005D6260"/>
    <w:rsid w:val="005D6D58"/>
    <w:rsid w:val="005E6A58"/>
    <w:rsid w:val="005F310F"/>
    <w:rsid w:val="006001D6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548F4"/>
    <w:rsid w:val="00660B2A"/>
    <w:rsid w:val="00663D84"/>
    <w:rsid w:val="0068155D"/>
    <w:rsid w:val="00682553"/>
    <w:rsid w:val="0068515C"/>
    <w:rsid w:val="0068667C"/>
    <w:rsid w:val="006A26A0"/>
    <w:rsid w:val="006A4FDA"/>
    <w:rsid w:val="006B1C07"/>
    <w:rsid w:val="006B3DA5"/>
    <w:rsid w:val="006B5B25"/>
    <w:rsid w:val="006B6854"/>
    <w:rsid w:val="006B7827"/>
    <w:rsid w:val="006D0172"/>
    <w:rsid w:val="006E0316"/>
    <w:rsid w:val="006E1A3A"/>
    <w:rsid w:val="006E2230"/>
    <w:rsid w:val="006E2B9C"/>
    <w:rsid w:val="006E6800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038"/>
    <w:rsid w:val="007A05BD"/>
    <w:rsid w:val="007A725D"/>
    <w:rsid w:val="007B1BD0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2202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0B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2292"/>
    <w:rsid w:val="009142F4"/>
    <w:rsid w:val="0092138A"/>
    <w:rsid w:val="00921C07"/>
    <w:rsid w:val="009256DD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B58C2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2B2C"/>
    <w:rsid w:val="00A2566B"/>
    <w:rsid w:val="00A32086"/>
    <w:rsid w:val="00A339C9"/>
    <w:rsid w:val="00A34E84"/>
    <w:rsid w:val="00A352B0"/>
    <w:rsid w:val="00A37886"/>
    <w:rsid w:val="00A472C6"/>
    <w:rsid w:val="00A51E78"/>
    <w:rsid w:val="00A537F6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36EB1"/>
    <w:rsid w:val="00B43561"/>
    <w:rsid w:val="00B440DB"/>
    <w:rsid w:val="00B4415D"/>
    <w:rsid w:val="00B45103"/>
    <w:rsid w:val="00B45D24"/>
    <w:rsid w:val="00B518AC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2725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05A0"/>
    <w:rsid w:val="00BC1BA9"/>
    <w:rsid w:val="00BC3417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611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E3898"/>
    <w:rsid w:val="00CF3E52"/>
    <w:rsid w:val="00CF5EFD"/>
    <w:rsid w:val="00CF74AF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2A94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1156"/>
    <w:rsid w:val="00DA76AC"/>
    <w:rsid w:val="00DB3D0C"/>
    <w:rsid w:val="00DB4D49"/>
    <w:rsid w:val="00DB64AA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2281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2F5B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968E9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3E5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63D"/>
    <w:rsid w:val="00F238CE"/>
    <w:rsid w:val="00F24EE1"/>
    <w:rsid w:val="00F36445"/>
    <w:rsid w:val="00F37D41"/>
    <w:rsid w:val="00F412D7"/>
    <w:rsid w:val="00F41BC8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B3C75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10E94799"/>
    <w:rsid w:val="13C578F8"/>
    <w:rsid w:val="1F9C3AE5"/>
    <w:rsid w:val="24464F5C"/>
    <w:rsid w:val="24A708DB"/>
    <w:rsid w:val="57066633"/>
    <w:rsid w:val="62144041"/>
    <w:rsid w:val="689464ED"/>
    <w:rsid w:val="6EDA04DB"/>
    <w:rsid w:val="73F37488"/>
    <w:rsid w:val="7E76143D"/>
    <w:rsid w:val="7EA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link w:val="12"/>
    <w:qFormat/>
    <w:uiPriority w:val="0"/>
    <w:pPr>
      <w:spacing w:beforeLines="30"/>
    </w:pPr>
    <w:rPr>
      <w:rFonts w:ascii="仿宋_GB2312" w:eastAsia="仿宋_GB2312"/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文本 Char"/>
    <w:basedOn w:val="8"/>
    <w:link w:val="4"/>
    <w:qFormat/>
    <w:uiPriority w:val="0"/>
    <w:rPr>
      <w:rFonts w:ascii="仿宋_GB2312"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16B08-4283-41C1-AE09-1BA40E1417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4</Pages>
  <Words>341</Words>
  <Characters>1944</Characters>
  <Lines>16</Lines>
  <Paragraphs>4</Paragraphs>
  <TotalTime>0</TotalTime>
  <ScaleCrop>false</ScaleCrop>
  <LinksUpToDate>false</LinksUpToDate>
  <CharactersWithSpaces>2281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2018-03-06T02:46:01Z</dcterms:modified>
  <dc:title>年部门预算编制说明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