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德宏州农业广播电视学校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</w:t>
      </w: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kern w:val="0"/>
          <w:sz w:val="36"/>
          <w:szCs w:val="36"/>
        </w:rPr>
        <w:t>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负责全州新型农民科技教育培训工作；2、承担全州基层农技人员短期培训、学历教育培训工作；3、负责全州农业信息平台、办公自动化平台的管理和网络运行和服务工作；4、负责“德宏农业信息网”、“数字乡村网”两网的信息采集、录入、编辑、审核和发布工作；5、负责“三农通”、“12316”三农服务热线的畅通保障工作；6、承担州局机关、直属事业单位办公计算机网络技术服务工作；7、负责州局视频会议室的运行和管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德宏州农业广播电视学校，编制7个，在职人员7人。</w:t>
      </w:r>
    </w:p>
    <w:p>
      <w:pPr>
        <w:widowControl/>
        <w:ind w:firstLine="300" w:firstLineChars="1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（三）重点工作概述</w:t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一、抓好干部思想政治理论学习</w:t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以学习党的十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0"/>
          <w:szCs w:val="30"/>
        </w:rPr>
        <w:t>大、十八届六中全会和习近平总书记系列重要讲话精神为主要内容，并结合党员干部思想和农业系统工作实际，加强对相关党建理论知识、法律法规、岗位业务等知识的学习。</w:t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二、认真做好各项业务工作</w:t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（一）围绕产业发展，深入开展农民培训工作，继续争取省厅新型农民培训项目，推进全州“新型农民科技培训工程”、“绿色证书工程”和“蓝色证书工程”，不断提高我州农民的科技素养和文化水平。</w:t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（二）加强省农业厅授牌的“德宏州农业广播电视学校基层农技人员培训基地”建设 ，积极参与全省基层农技推广人员培训项目，把我校建成一个正规化、</w:t>
      </w:r>
      <w:r>
        <w:rPr>
          <w:rFonts w:hint="eastAsia" w:ascii="仿宋_GB2312" w:hAnsi="仿宋" w:eastAsia="仿宋_GB2312"/>
          <w:sz w:val="30"/>
          <w:szCs w:val="30"/>
        </w:rPr>
        <w:t>标准化和规范化的现代农业培训基地。</w:t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（三）认真开展好信息中心工作职责，进一步明确职责，使“两网”工作不断推进。</w:t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（四）做好视频会议室的建设、运行及管理工作。</w:t>
      </w:r>
    </w:p>
    <w:p>
      <w:pPr>
        <w:snapToGrid w:val="0"/>
        <w:spacing w:line="360" w:lineRule="auto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（五））完成上级部门交办的各项工作任务。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个。财政全供给单位中非参公管理事业单位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>人，其中： 离休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我部门无</w:t>
      </w: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数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  <w:r>
        <w:rPr>
          <w:rFonts w:eastAsia="仿宋_GB2312"/>
          <w:kern w:val="0"/>
          <w:sz w:val="30"/>
          <w:szCs w:val="30"/>
        </w:rPr>
        <w:t>车辆。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年部门财务总收入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67.26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67.26</w:t>
      </w:r>
      <w:r>
        <w:rPr>
          <w:rFonts w:eastAsia="仿宋_GB2312"/>
          <w:kern w:val="0"/>
          <w:sz w:val="30"/>
          <w:szCs w:val="30"/>
        </w:rPr>
        <w:t>万元，</w:t>
      </w: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  <w:r>
        <w:rPr>
          <w:rFonts w:eastAsia="仿宋_GB2312"/>
          <w:kern w:val="0"/>
          <w:sz w:val="30"/>
          <w:szCs w:val="30"/>
        </w:rPr>
        <w:t>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  <w:r>
        <w:rPr>
          <w:rFonts w:eastAsia="仿宋_GB2312"/>
          <w:kern w:val="0"/>
          <w:sz w:val="30"/>
          <w:szCs w:val="30"/>
        </w:rPr>
        <w:t>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  <w:r>
        <w:rPr>
          <w:rFonts w:eastAsia="仿宋_GB2312"/>
          <w:kern w:val="0"/>
          <w:sz w:val="30"/>
          <w:szCs w:val="30"/>
        </w:rPr>
        <w:t>事业收入，</w:t>
      </w: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  <w:r>
        <w:rPr>
          <w:rFonts w:eastAsia="仿宋_GB2312"/>
          <w:kern w:val="0"/>
          <w:sz w:val="30"/>
          <w:szCs w:val="30"/>
        </w:rPr>
        <w:t>事业单位经营收入，</w:t>
      </w: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  <w:r>
        <w:rPr>
          <w:rFonts w:eastAsia="仿宋_GB2312"/>
          <w:kern w:val="0"/>
          <w:sz w:val="30"/>
          <w:szCs w:val="30"/>
        </w:rPr>
        <w:t>其他收入</w:t>
      </w:r>
      <w:r>
        <w:rPr>
          <w:rFonts w:hint="eastAsia"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  <w:r>
        <w:rPr>
          <w:rFonts w:hint="eastAsia" w:eastAsia="仿宋_GB2312"/>
          <w:kern w:val="0"/>
          <w:sz w:val="30"/>
          <w:szCs w:val="30"/>
        </w:rPr>
        <w:t>上年结转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67.26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67.26</w:t>
      </w:r>
      <w:r>
        <w:rPr>
          <w:rFonts w:eastAsia="仿宋_GB2312"/>
          <w:kern w:val="0"/>
          <w:sz w:val="30"/>
          <w:szCs w:val="30"/>
        </w:rPr>
        <w:t>万元，</w:t>
      </w: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  <w:r>
        <w:rPr>
          <w:rFonts w:eastAsia="仿宋_GB2312"/>
          <w:kern w:val="0"/>
          <w:sz w:val="30"/>
          <w:szCs w:val="30"/>
        </w:rPr>
        <w:t>上年结转。本年收入中，一般公共预算财政拨款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67.26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67.26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67.26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67.26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67.26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snapToGrid w:val="0"/>
        <w:spacing w:before="100" w:after="100" w:line="60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  <w:lang w:eastAsia="zh-CN"/>
        </w:rPr>
        <w:t>以下三个科目列支：</w:t>
      </w:r>
      <w:r>
        <w:rPr>
          <w:rFonts w:hint="eastAsia" w:eastAsia="仿宋_GB2312"/>
          <w:kern w:val="0"/>
          <w:sz w:val="30"/>
          <w:szCs w:val="30"/>
        </w:rPr>
        <w:t>“208类－05款”支出，主要反映退休人员工资福利支出</w:t>
      </w:r>
      <w:r>
        <w:rPr>
          <w:rFonts w:hint="eastAsia" w:eastAsia="仿宋_GB2312"/>
          <w:kern w:val="0"/>
          <w:sz w:val="30"/>
          <w:szCs w:val="30"/>
          <w:lang w:eastAsia="zh-CN"/>
        </w:rPr>
        <w:t>及在职人员基本养老保险和职业年金缴费支出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，“213类－01款”支出，主要反映在职人员工资福利支出、商品和服务性支出；“221类－02款”支出，主要反映住房公积金的支出。</w:t>
      </w:r>
    </w:p>
    <w:p>
      <w:pPr>
        <w:widowControl/>
        <w:numPr>
          <w:ilvl w:val="0"/>
          <w:numId w:val="1"/>
        </w:numPr>
        <w:snapToGrid w:val="0"/>
        <w:spacing w:before="100" w:after="100" w:line="600" w:lineRule="exact"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numPr>
          <w:numId w:val="0"/>
        </w:numPr>
        <w:snapToGrid w:val="0"/>
        <w:spacing w:before="100" w:after="100" w:line="600" w:lineRule="exact"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</w:t>
      </w:r>
      <w:r>
        <w:rPr>
          <w:rFonts w:hint="eastAsia" w:eastAsia="仿宋_GB2312"/>
          <w:kern w:val="0"/>
          <w:sz w:val="30"/>
          <w:szCs w:val="30"/>
          <w:lang w:eastAsia="zh-CN"/>
        </w:rPr>
        <w:t>主要有：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301</w:t>
      </w:r>
      <w:r>
        <w:rPr>
          <w:rFonts w:hint="eastAsia" w:eastAsia="仿宋_GB2312"/>
          <w:kern w:val="0"/>
          <w:sz w:val="30"/>
          <w:szCs w:val="30"/>
          <w:lang w:eastAsia="zh-CN"/>
        </w:rPr>
        <w:t>工资福利支出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63.64万元，302商品和服务支出 3.62万元</w:t>
      </w:r>
      <w:r>
        <w:rPr>
          <w:rFonts w:eastAsia="仿宋_GB2312"/>
          <w:kern w:val="0"/>
          <w:sz w:val="30"/>
          <w:szCs w:val="30"/>
        </w:rPr>
        <w:t>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67.26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numPr>
          <w:ilvl w:val="0"/>
          <w:numId w:val="2"/>
        </w:numPr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州</w:t>
      </w:r>
      <w:r>
        <w:rPr>
          <w:rFonts w:ascii="黑体" w:hAnsi="黑体" w:eastAsia="黑体"/>
          <w:kern w:val="0"/>
          <w:sz w:val="30"/>
          <w:szCs w:val="30"/>
        </w:rPr>
        <w:t>对下转项转移支付情况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本部门无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州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对下转项转移支付情况</w:t>
      </w:r>
    </w:p>
    <w:p>
      <w:pPr>
        <w:widowControl/>
        <w:numPr>
          <w:ilvl w:val="0"/>
          <w:numId w:val="2"/>
        </w:numPr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政府采购预算情况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本部门无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政府采购预算情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本部门无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预算收支增减变化情况</w:t>
      </w:r>
      <w:r>
        <w:rPr>
          <w:rFonts w:hint="eastAsia" w:eastAsia="仿宋_GB2312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hint="eastAsia" w:eastAsia="仿宋_GB2312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hint="eastAsia" w:eastAsia="仿宋_GB2312"/>
          <w:kern w:val="0"/>
          <w:sz w:val="30"/>
          <w:szCs w:val="30"/>
        </w:rPr>
        <w:t>）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本部门无</w:t>
      </w:r>
      <w:r>
        <w:rPr>
          <w:rFonts w:ascii="楷体_GB2312" w:eastAsia="楷体_GB2312"/>
          <w:kern w:val="0"/>
          <w:sz w:val="30"/>
          <w:szCs w:val="30"/>
        </w:rPr>
        <w:t>专业名词解释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本部门无</w:t>
      </w:r>
      <w:r>
        <w:rPr>
          <w:rFonts w:ascii="楷体_GB2312" w:eastAsia="楷体_GB2312"/>
          <w:kern w:val="0"/>
          <w:sz w:val="30"/>
          <w:szCs w:val="30"/>
        </w:rPr>
        <w:t>机关运行经费安排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本部门无</w:t>
      </w:r>
      <w:r>
        <w:rPr>
          <w:rFonts w:ascii="楷体_GB2312" w:eastAsia="楷体_GB2312"/>
          <w:kern w:val="0"/>
          <w:sz w:val="30"/>
          <w:szCs w:val="30"/>
        </w:rPr>
        <w:t>国有资产占用情况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678FF"/>
    <w:multiLevelType w:val="singleLevel"/>
    <w:tmpl w:val="5A9678FF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5A9C9EE3"/>
    <w:multiLevelType w:val="singleLevel"/>
    <w:tmpl w:val="5A9C9EE3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54C44FD"/>
    <w:rsid w:val="093702FF"/>
    <w:rsid w:val="0DFE4D55"/>
    <w:rsid w:val="176107A7"/>
    <w:rsid w:val="24464F5C"/>
    <w:rsid w:val="28350A08"/>
    <w:rsid w:val="3B383889"/>
    <w:rsid w:val="5F946E1F"/>
    <w:rsid w:val="615C68BF"/>
    <w:rsid w:val="61803F9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ScaleCrop>false</ScaleCrop>
  <LinksUpToDate>false</LinksUpToDate>
  <CharactersWithSpaces>1196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2018-03-05T01:31:05Z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