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val="en-US" w:eastAsia="zh-CN"/>
        </w:rPr>
        <w:t>德宏州土壤肥料工作站2018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80" w:firstLineChars="150"/>
        <w:jc w:val="left"/>
        <w:rPr>
          <w:rFonts w:ascii="黑体" w:hAnsi="黑体" w:eastAsia="黑体"/>
          <w:kern w:val="0"/>
          <w:sz w:val="32"/>
          <w:szCs w:val="32"/>
        </w:rPr>
      </w:pPr>
      <w:r>
        <w:rPr>
          <w:rFonts w:ascii="黑体" w:hAnsi="黑体" w:eastAsia="黑体"/>
          <w:kern w:val="0"/>
          <w:sz w:val="32"/>
          <w:szCs w:val="32"/>
        </w:rPr>
        <w:t>一、基本职能及主要工作</w:t>
      </w:r>
    </w:p>
    <w:p>
      <w:pPr>
        <w:widowControl/>
        <w:ind w:firstLine="320" w:firstLineChars="100"/>
        <w:jc w:val="left"/>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kern w:val="0"/>
          <w:sz w:val="32"/>
          <w:szCs w:val="32"/>
        </w:rPr>
        <w:t>（一）部门主要职责</w:t>
      </w:r>
    </w:p>
    <w:p>
      <w:pPr>
        <w:ind w:firstLine="640" w:firstLineChars="200"/>
        <w:rPr>
          <w:rFonts w:hint="eastAsia"/>
          <w:sz w:val="32"/>
          <w:szCs w:val="32"/>
        </w:rPr>
      </w:pPr>
      <w:r>
        <w:rPr>
          <w:rFonts w:hint="eastAsia" w:ascii="宋体" w:hAnsi="宋体"/>
          <w:sz w:val="32"/>
          <w:szCs w:val="32"/>
        </w:rPr>
        <w:t>德宏州土壤肥料工作站是德宏州土壤肥料工作站、德宏州农业环境保护工作站、德宏州农产品质量安全监督监测中心三块牌子一套人员的州直属事业单位</w:t>
      </w:r>
      <w:r>
        <w:rPr>
          <w:rFonts w:hint="eastAsia"/>
          <w:sz w:val="32"/>
          <w:szCs w:val="32"/>
        </w:rPr>
        <w:t>，主管部门为德宏州农业局，本单位主要职责有：合理利用土肥水资源，保护农业生态环境，保障种植产品质量安全。耕地质量保护与提升，新肥料、新技术示范推广、节水技术示范推广。农田用水监测分析，农田废弃物资源化利用，土壤环境监测，农业野生资源保护，农业外来入侵有害生物防治。种植业农产品生产过程质量安全监督检测及风险平估，种植产品质量安全控制技术推广应用。</w:t>
      </w:r>
    </w:p>
    <w:p>
      <w:pPr>
        <w:numPr>
          <w:ilvl w:val="0"/>
          <w:numId w:val="1"/>
        </w:numPr>
        <w:ind w:firstLine="640" w:firstLineChars="200"/>
        <w:rPr>
          <w:rFonts w:hint="eastAsia"/>
          <w:sz w:val="32"/>
          <w:szCs w:val="32"/>
          <w:lang w:val="en-US" w:eastAsia="zh-CN"/>
        </w:rPr>
      </w:pPr>
      <w:r>
        <w:rPr>
          <w:rFonts w:hint="eastAsia"/>
          <w:sz w:val="32"/>
          <w:szCs w:val="32"/>
          <w:lang w:val="en-US" w:eastAsia="zh-CN"/>
        </w:rPr>
        <w:t>机构设置情况</w:t>
      </w:r>
    </w:p>
    <w:p>
      <w:pPr>
        <w:numPr>
          <w:ilvl w:val="0"/>
          <w:numId w:val="0"/>
        </w:numPr>
        <w:rPr>
          <w:rFonts w:hint="eastAsia"/>
          <w:sz w:val="32"/>
          <w:szCs w:val="32"/>
          <w:lang w:val="en-US" w:eastAsia="zh-CN"/>
        </w:rPr>
      </w:pPr>
      <w:r>
        <w:rPr>
          <w:rFonts w:hint="eastAsia"/>
          <w:sz w:val="32"/>
          <w:szCs w:val="32"/>
          <w:lang w:val="en-US" w:eastAsia="zh-CN"/>
        </w:rPr>
        <w:t xml:space="preserve">     我单位设办公室1个，财务室1个，农环室1个，土肥室1个，农产品检测室1个。</w:t>
      </w:r>
    </w:p>
    <w:p>
      <w:pPr>
        <w:widowControl/>
        <w:ind w:firstLine="320" w:firstLineChars="1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kern w:val="0"/>
          <w:sz w:val="32"/>
          <w:szCs w:val="32"/>
          <w:lang w:val="en-US" w:eastAsia="zh-CN"/>
        </w:rPr>
        <w:t>三</w:t>
      </w:r>
      <w:r>
        <w:rPr>
          <w:rFonts w:hint="eastAsia" w:asciiTheme="majorEastAsia" w:hAnsiTheme="majorEastAsia" w:eastAsiaTheme="majorEastAsia" w:cstheme="majorEastAsia"/>
          <w:kern w:val="0"/>
          <w:sz w:val="32"/>
          <w:szCs w:val="32"/>
        </w:rPr>
        <w:t>）重点工作概述</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德宏州土肥、农环、农产品质量安全工作以组织实施水稻绿色高产高效创建（测土配方施肥）项目和土壤有机质提升、薇甘菊防治、重金属污染普查、农产品质量安全监督检测、蔬菜农药残留检测为核心，开展薇甘菊防治技术试验、红薯替代薇甘菊种植示范建设</w:t>
      </w:r>
      <w:r>
        <w:rPr>
          <w:rFonts w:hint="eastAsia" w:asciiTheme="majorEastAsia" w:hAnsiTheme="majorEastAsia" w:eastAsiaTheme="majorEastAsia" w:cstheme="majorEastAsia"/>
          <w:sz w:val="32"/>
          <w:szCs w:val="32"/>
          <w:lang w:val="en-US" w:eastAsia="zh-CN"/>
        </w:rPr>
        <w:t>项目</w:t>
      </w:r>
      <w:r>
        <w:rPr>
          <w:rFonts w:hint="eastAsia" w:asciiTheme="majorEastAsia" w:hAnsiTheme="majorEastAsia" w:eastAsiaTheme="majorEastAsia" w:cstheme="majorEastAsia"/>
          <w:sz w:val="32"/>
          <w:szCs w:val="32"/>
        </w:rPr>
        <w:t>、开展水稻绿色高产高效创建、薇甘菊防治技术培训及土壤有机质提升——绿肥种植示范，农产品质量安全例行检测，蔬菜农药残留检测样品。</w:t>
      </w:r>
    </w:p>
    <w:p>
      <w:pPr>
        <w:widowControl/>
        <w:ind w:firstLine="643" w:firstLineChars="200"/>
        <w:jc w:val="left"/>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二、预算单位基本情况</w:t>
      </w:r>
    </w:p>
    <w:p>
      <w:pPr>
        <w:widowControl/>
        <w:ind w:firstLine="600" w:firstLineChars="200"/>
        <w:jc w:val="left"/>
        <w:rPr>
          <w:rFonts w:hint="eastAsia" w:asciiTheme="majorEastAsia" w:hAnsiTheme="majorEastAsia" w:eastAsiaTheme="majorEastAsia" w:cstheme="majorEastAsia"/>
          <w:kern w:val="0"/>
          <w:sz w:val="32"/>
          <w:szCs w:val="32"/>
        </w:rPr>
      </w:pPr>
      <w:r>
        <w:rPr>
          <w:rFonts w:hint="eastAsia"/>
          <w:sz w:val="30"/>
          <w:szCs w:val="30"/>
        </w:rPr>
        <w:t>纳入</w:t>
      </w:r>
      <w:r>
        <w:rPr>
          <w:rFonts w:hint="eastAsia" w:asciiTheme="majorEastAsia" w:hAnsiTheme="majorEastAsia" w:eastAsiaTheme="majorEastAsia" w:cstheme="majorEastAsia"/>
          <w:kern w:val="0"/>
          <w:sz w:val="32"/>
          <w:szCs w:val="32"/>
        </w:rPr>
        <w:t>部门编制</w:t>
      </w:r>
      <w:r>
        <w:rPr>
          <w:rFonts w:hint="eastAsia" w:asciiTheme="majorEastAsia" w:hAnsiTheme="majorEastAsia" w:eastAsiaTheme="majorEastAsia" w:cstheme="majorEastAsia"/>
          <w:kern w:val="0"/>
          <w:sz w:val="32"/>
          <w:szCs w:val="32"/>
          <w:lang w:val="en-US" w:eastAsia="zh-CN"/>
        </w:rPr>
        <w:t>2018</w:t>
      </w:r>
      <w:r>
        <w:rPr>
          <w:rFonts w:hint="eastAsia" w:asciiTheme="majorEastAsia" w:hAnsiTheme="majorEastAsia" w:eastAsiaTheme="majorEastAsia" w:cstheme="majorEastAsia"/>
          <w:kern w:val="0"/>
          <w:sz w:val="32"/>
          <w:szCs w:val="32"/>
        </w:rPr>
        <w:t>年部门预算单位共</w:t>
      </w:r>
      <w:bookmarkStart w:id="0" w:name="_GoBack"/>
      <w:bookmarkEnd w:id="0"/>
      <w:r>
        <w:rPr>
          <w:rFonts w:hint="eastAsia" w:asciiTheme="majorEastAsia" w:hAnsiTheme="majorEastAsia" w:eastAsiaTheme="majorEastAsia" w:cstheme="majorEastAsia"/>
          <w:kern w:val="0"/>
          <w:sz w:val="32"/>
          <w:szCs w:val="32"/>
          <w:lang w:val="en-US" w:eastAsia="zh-CN"/>
        </w:rPr>
        <w:t>1</w:t>
      </w:r>
      <w:r>
        <w:rPr>
          <w:rFonts w:hint="eastAsia" w:asciiTheme="majorEastAsia" w:hAnsiTheme="majorEastAsia" w:eastAsiaTheme="majorEastAsia" w:cstheme="majorEastAsia"/>
          <w:kern w:val="0"/>
          <w:sz w:val="32"/>
          <w:szCs w:val="32"/>
        </w:rPr>
        <w:t>个。</w:t>
      </w:r>
      <w:r>
        <w:rPr>
          <w:rFonts w:hint="eastAsia"/>
          <w:sz w:val="30"/>
          <w:szCs w:val="30"/>
        </w:rPr>
        <w:t>属全额拨款事业单位</w:t>
      </w:r>
      <w:r>
        <w:rPr>
          <w:rFonts w:hint="eastAsia" w:asciiTheme="majorEastAsia" w:hAnsiTheme="majorEastAsia" w:eastAsiaTheme="majorEastAsia" w:cstheme="majorEastAsia"/>
          <w:kern w:val="0"/>
          <w:sz w:val="32"/>
          <w:szCs w:val="32"/>
        </w:rPr>
        <w:t>。截止2017年11月统计，部门基本情况如下：</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在职人员编制</w:t>
      </w:r>
      <w:r>
        <w:rPr>
          <w:rFonts w:hint="eastAsia" w:asciiTheme="majorEastAsia" w:hAnsiTheme="majorEastAsia" w:eastAsiaTheme="majorEastAsia" w:cstheme="majorEastAsia"/>
          <w:kern w:val="0"/>
          <w:sz w:val="32"/>
          <w:szCs w:val="32"/>
          <w:lang w:val="en-US" w:eastAsia="zh-CN"/>
        </w:rPr>
        <w:t>18</w:t>
      </w:r>
      <w:r>
        <w:rPr>
          <w:rFonts w:hint="eastAsia" w:asciiTheme="majorEastAsia" w:hAnsiTheme="majorEastAsia" w:eastAsiaTheme="majorEastAsia" w:cstheme="majorEastAsia"/>
          <w:kern w:val="0"/>
          <w:sz w:val="32"/>
          <w:szCs w:val="32"/>
        </w:rPr>
        <w:t>人，其中：事业编制</w:t>
      </w:r>
      <w:r>
        <w:rPr>
          <w:rFonts w:hint="eastAsia" w:asciiTheme="majorEastAsia" w:hAnsiTheme="majorEastAsia" w:eastAsiaTheme="majorEastAsia" w:cstheme="majorEastAsia"/>
          <w:kern w:val="0"/>
          <w:sz w:val="32"/>
          <w:szCs w:val="32"/>
          <w:lang w:val="en-US" w:eastAsia="zh-CN"/>
        </w:rPr>
        <w:t>18</w:t>
      </w:r>
      <w:r>
        <w:rPr>
          <w:rFonts w:hint="eastAsia" w:asciiTheme="majorEastAsia" w:hAnsiTheme="majorEastAsia" w:eastAsiaTheme="majorEastAsia" w:cstheme="majorEastAsia"/>
          <w:kern w:val="0"/>
          <w:sz w:val="32"/>
          <w:szCs w:val="32"/>
        </w:rPr>
        <w:t>人。在职实有</w:t>
      </w:r>
      <w:r>
        <w:rPr>
          <w:rFonts w:hint="eastAsia" w:asciiTheme="majorEastAsia" w:hAnsiTheme="majorEastAsia" w:eastAsiaTheme="majorEastAsia" w:cstheme="majorEastAsia"/>
          <w:kern w:val="0"/>
          <w:sz w:val="32"/>
          <w:szCs w:val="32"/>
          <w:lang w:val="en-US" w:eastAsia="zh-CN"/>
        </w:rPr>
        <w:t>18</w:t>
      </w:r>
      <w:r>
        <w:rPr>
          <w:rFonts w:hint="eastAsia" w:asciiTheme="majorEastAsia" w:hAnsiTheme="majorEastAsia" w:eastAsiaTheme="majorEastAsia" w:cstheme="majorEastAsia"/>
          <w:kern w:val="0"/>
          <w:sz w:val="32"/>
          <w:szCs w:val="32"/>
        </w:rPr>
        <w:t xml:space="preserve">人，其中： 财政全供养 </w:t>
      </w:r>
      <w:r>
        <w:rPr>
          <w:rFonts w:hint="eastAsia" w:asciiTheme="majorEastAsia" w:hAnsiTheme="majorEastAsia" w:eastAsiaTheme="majorEastAsia" w:cstheme="majorEastAsia"/>
          <w:kern w:val="0"/>
          <w:sz w:val="32"/>
          <w:szCs w:val="32"/>
          <w:lang w:val="en-US" w:eastAsia="zh-CN"/>
        </w:rPr>
        <w:t>18</w:t>
      </w:r>
      <w:r>
        <w:rPr>
          <w:rFonts w:hint="eastAsia" w:asciiTheme="majorEastAsia" w:hAnsiTheme="majorEastAsia" w:eastAsiaTheme="majorEastAsia" w:cstheme="majorEastAsia"/>
          <w:kern w:val="0"/>
          <w:sz w:val="32"/>
          <w:szCs w:val="32"/>
        </w:rPr>
        <w:t>人。</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 xml:space="preserve">离退休人员 </w:t>
      </w:r>
      <w:r>
        <w:rPr>
          <w:rFonts w:hint="eastAsia" w:asciiTheme="majorEastAsia" w:hAnsiTheme="majorEastAsia" w:eastAsiaTheme="majorEastAsia" w:cstheme="majorEastAsia"/>
          <w:kern w:val="0"/>
          <w:sz w:val="32"/>
          <w:szCs w:val="32"/>
          <w:lang w:val="en-US" w:eastAsia="zh-CN"/>
        </w:rPr>
        <w:t>4</w:t>
      </w:r>
      <w:r>
        <w:rPr>
          <w:rFonts w:hint="eastAsia" w:asciiTheme="majorEastAsia" w:hAnsiTheme="majorEastAsia" w:eastAsiaTheme="majorEastAsia" w:cstheme="majorEastAsia"/>
          <w:kern w:val="0"/>
          <w:sz w:val="32"/>
          <w:szCs w:val="32"/>
        </w:rPr>
        <w:t>人，其中：退休</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人</w:t>
      </w:r>
      <w:r>
        <w:rPr>
          <w:rFonts w:hint="eastAsia" w:asciiTheme="majorEastAsia" w:hAnsiTheme="majorEastAsia" w:eastAsiaTheme="majorEastAsia" w:cstheme="majorEastAsia"/>
          <w:kern w:val="0"/>
          <w:sz w:val="32"/>
          <w:szCs w:val="32"/>
          <w:lang w:eastAsia="zh-CN"/>
        </w:rPr>
        <w:t>，</w:t>
      </w:r>
      <w:r>
        <w:rPr>
          <w:rFonts w:hint="eastAsia" w:asciiTheme="majorEastAsia" w:hAnsiTheme="majorEastAsia" w:eastAsiaTheme="majorEastAsia" w:cstheme="majorEastAsia"/>
          <w:kern w:val="0"/>
          <w:sz w:val="32"/>
          <w:szCs w:val="32"/>
          <w:lang w:val="en-US" w:eastAsia="zh-CN"/>
        </w:rPr>
        <w:t>提前退休1人。</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车辆编制</w:t>
      </w:r>
      <w:r>
        <w:rPr>
          <w:rFonts w:hint="eastAsia" w:asciiTheme="majorEastAsia" w:hAnsiTheme="majorEastAsia" w:eastAsiaTheme="majorEastAsia" w:cstheme="majorEastAsia"/>
          <w:kern w:val="0"/>
          <w:sz w:val="32"/>
          <w:szCs w:val="32"/>
          <w:lang w:val="en-US" w:eastAsia="zh-CN"/>
        </w:rPr>
        <w:t>2</w:t>
      </w:r>
      <w:r>
        <w:rPr>
          <w:rFonts w:hint="eastAsia" w:asciiTheme="majorEastAsia" w:hAnsiTheme="majorEastAsia" w:eastAsiaTheme="majorEastAsia" w:cstheme="majorEastAsia"/>
          <w:kern w:val="0"/>
          <w:sz w:val="32"/>
          <w:szCs w:val="32"/>
        </w:rPr>
        <w:t>辆，实有车辆</w:t>
      </w:r>
      <w:r>
        <w:rPr>
          <w:rFonts w:hint="eastAsia" w:asciiTheme="majorEastAsia" w:hAnsiTheme="majorEastAsia" w:eastAsiaTheme="majorEastAsia" w:cstheme="majorEastAsia"/>
          <w:kern w:val="0"/>
          <w:sz w:val="32"/>
          <w:szCs w:val="32"/>
          <w:lang w:val="en-US" w:eastAsia="zh-CN"/>
        </w:rPr>
        <w:t>2</w:t>
      </w:r>
      <w:r>
        <w:rPr>
          <w:rFonts w:hint="eastAsia" w:asciiTheme="majorEastAsia" w:hAnsiTheme="majorEastAsia" w:eastAsiaTheme="majorEastAsia" w:cstheme="majorEastAsia"/>
          <w:kern w:val="0"/>
          <w:sz w:val="32"/>
          <w:szCs w:val="32"/>
        </w:rPr>
        <w:t>辆。</w:t>
      </w:r>
    </w:p>
    <w:p>
      <w:pPr>
        <w:widowControl/>
        <w:ind w:firstLine="643" w:firstLineChars="200"/>
        <w:jc w:val="left"/>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三、预算单位收入情况</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201</w:t>
      </w:r>
      <w:r>
        <w:rPr>
          <w:rFonts w:hint="eastAsia" w:asciiTheme="majorEastAsia" w:hAnsiTheme="majorEastAsia" w:eastAsiaTheme="majorEastAsia" w:cstheme="majorEastAsia"/>
          <w:sz w:val="32"/>
          <w:szCs w:val="32"/>
          <w:lang w:val="en-US" w:eastAsia="zh-CN"/>
        </w:rPr>
        <w:t>8</w:t>
      </w:r>
      <w:r>
        <w:rPr>
          <w:rFonts w:hint="eastAsia" w:asciiTheme="majorEastAsia" w:hAnsiTheme="majorEastAsia" w:eastAsiaTheme="majorEastAsia" w:cstheme="majorEastAsia"/>
          <w:sz w:val="32"/>
          <w:szCs w:val="32"/>
        </w:rPr>
        <w:t>年德宏州土肥站预算总收入</w:t>
      </w:r>
      <w:r>
        <w:rPr>
          <w:rFonts w:hint="eastAsia" w:asciiTheme="majorEastAsia" w:hAnsiTheme="majorEastAsia" w:eastAsiaTheme="majorEastAsia" w:cstheme="majorEastAsia"/>
          <w:sz w:val="32"/>
          <w:szCs w:val="32"/>
          <w:lang w:val="en-US" w:eastAsia="zh-CN"/>
        </w:rPr>
        <w:t>205.51</w:t>
      </w:r>
      <w:r>
        <w:rPr>
          <w:rFonts w:hint="eastAsia" w:asciiTheme="majorEastAsia" w:hAnsiTheme="majorEastAsia" w:eastAsiaTheme="majorEastAsia" w:cstheme="majorEastAsia"/>
          <w:sz w:val="32"/>
          <w:szCs w:val="32"/>
        </w:rPr>
        <w:t>万元，其中：财政拨款（补助）</w:t>
      </w:r>
      <w:r>
        <w:rPr>
          <w:rFonts w:hint="eastAsia" w:asciiTheme="majorEastAsia" w:hAnsiTheme="majorEastAsia" w:eastAsiaTheme="majorEastAsia" w:cstheme="majorEastAsia"/>
          <w:sz w:val="32"/>
          <w:szCs w:val="32"/>
          <w:lang w:val="en-US" w:eastAsia="zh-CN"/>
        </w:rPr>
        <w:t>205.51</w:t>
      </w:r>
      <w:r>
        <w:rPr>
          <w:rFonts w:hint="eastAsia" w:asciiTheme="majorEastAsia" w:hAnsiTheme="majorEastAsia" w:eastAsiaTheme="majorEastAsia" w:cstheme="majorEastAsia"/>
          <w:sz w:val="32"/>
          <w:szCs w:val="32"/>
        </w:rPr>
        <w:t>万元。</w:t>
      </w:r>
    </w:p>
    <w:p>
      <w:p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201</w:t>
      </w:r>
      <w:r>
        <w:rPr>
          <w:rFonts w:hint="eastAsia" w:asciiTheme="majorEastAsia" w:hAnsiTheme="majorEastAsia" w:eastAsiaTheme="majorEastAsia" w:cstheme="majorEastAsia"/>
          <w:sz w:val="32"/>
          <w:szCs w:val="32"/>
          <w:lang w:val="en-US" w:eastAsia="zh-CN"/>
        </w:rPr>
        <w:t>8</w:t>
      </w:r>
      <w:r>
        <w:rPr>
          <w:rFonts w:hint="eastAsia" w:asciiTheme="majorEastAsia" w:hAnsiTheme="majorEastAsia" w:eastAsiaTheme="majorEastAsia" w:cstheme="majorEastAsia"/>
          <w:sz w:val="32"/>
          <w:szCs w:val="32"/>
        </w:rPr>
        <w:t>年部门预算总支出</w:t>
      </w:r>
      <w:r>
        <w:rPr>
          <w:rFonts w:hint="eastAsia" w:asciiTheme="majorEastAsia" w:hAnsiTheme="majorEastAsia" w:eastAsiaTheme="majorEastAsia" w:cstheme="majorEastAsia"/>
          <w:sz w:val="32"/>
          <w:szCs w:val="32"/>
          <w:lang w:val="en-US" w:eastAsia="zh-CN"/>
        </w:rPr>
        <w:t>205.51</w:t>
      </w:r>
      <w:r>
        <w:rPr>
          <w:rFonts w:hint="eastAsia" w:asciiTheme="majorEastAsia" w:hAnsiTheme="majorEastAsia" w:eastAsiaTheme="majorEastAsia" w:cstheme="majorEastAsia"/>
          <w:sz w:val="32"/>
          <w:szCs w:val="32"/>
        </w:rPr>
        <w:t>万元，基本支出</w:t>
      </w:r>
      <w:r>
        <w:rPr>
          <w:rFonts w:hint="eastAsia" w:asciiTheme="majorEastAsia" w:hAnsiTheme="majorEastAsia" w:eastAsiaTheme="majorEastAsia" w:cstheme="majorEastAsia"/>
          <w:sz w:val="32"/>
          <w:szCs w:val="32"/>
          <w:lang w:val="en-US" w:eastAsia="zh-CN"/>
        </w:rPr>
        <w:t>205.51</w:t>
      </w:r>
      <w:r>
        <w:rPr>
          <w:rFonts w:hint="eastAsia" w:asciiTheme="majorEastAsia" w:hAnsiTheme="majorEastAsia" w:eastAsiaTheme="majorEastAsia" w:cstheme="majorEastAsia"/>
          <w:sz w:val="32"/>
          <w:szCs w:val="32"/>
        </w:rPr>
        <w:t>万元，占总支出的100%。无项目支出。按支出功能科目分类，支出分别列“213（类）-01（款）04（项）”支出，主要反映工资福利支出和商品服务的支出；“208（类）-05（款）02（项）”支出，主要反映事业单位离退休的支出；</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208（类）</w:t>
      </w:r>
    </w:p>
    <w:p>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-05(款）-05（项）”支出，主要反映事业单位基本养老保险缴费支出；</w:t>
      </w: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208（类）-05(款）-06（项）”支出，主要反映事业单位职业年金缴费支出；</w:t>
      </w:r>
      <w:r>
        <w:rPr>
          <w:rFonts w:hint="eastAsia" w:asciiTheme="majorEastAsia" w:hAnsiTheme="majorEastAsia" w:eastAsiaTheme="majorEastAsia" w:cstheme="majorEastAsia"/>
          <w:sz w:val="32"/>
          <w:szCs w:val="32"/>
        </w:rPr>
        <w:t>“221（类）-02（款）01（项）</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支出主要反映财政匹配住房公积金的支出。</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（一）基本支出情况</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201</w:t>
      </w:r>
      <w:r>
        <w:rPr>
          <w:rFonts w:hint="eastAsia" w:asciiTheme="majorEastAsia" w:hAnsiTheme="majorEastAsia" w:eastAsiaTheme="majorEastAsia" w:cstheme="majorEastAsia"/>
          <w:sz w:val="32"/>
          <w:szCs w:val="32"/>
          <w:lang w:val="en-US" w:eastAsia="zh-CN"/>
        </w:rPr>
        <w:t>8</w:t>
      </w:r>
      <w:r>
        <w:rPr>
          <w:rFonts w:hint="eastAsia" w:asciiTheme="majorEastAsia" w:hAnsiTheme="majorEastAsia" w:eastAsiaTheme="majorEastAsia" w:cstheme="majorEastAsia"/>
          <w:sz w:val="32"/>
          <w:szCs w:val="32"/>
        </w:rPr>
        <w:t>年州土肥站用于保障机构正常运转的日常支出</w:t>
      </w:r>
      <w:r>
        <w:rPr>
          <w:rFonts w:hint="eastAsia" w:asciiTheme="majorEastAsia" w:hAnsiTheme="majorEastAsia" w:eastAsiaTheme="majorEastAsia" w:cstheme="majorEastAsia"/>
          <w:sz w:val="32"/>
          <w:szCs w:val="32"/>
          <w:lang w:val="en-US" w:eastAsia="zh-CN"/>
        </w:rPr>
        <w:t>205.51</w:t>
      </w:r>
      <w:r>
        <w:rPr>
          <w:rFonts w:hint="eastAsia" w:asciiTheme="majorEastAsia" w:hAnsiTheme="majorEastAsia" w:eastAsiaTheme="majorEastAsia" w:cstheme="majorEastAsia"/>
          <w:sz w:val="32"/>
          <w:szCs w:val="32"/>
        </w:rPr>
        <w:t>万元。其中：工资福利支出</w:t>
      </w:r>
      <w:r>
        <w:rPr>
          <w:rFonts w:hint="eastAsia" w:asciiTheme="majorEastAsia" w:hAnsiTheme="majorEastAsia" w:eastAsiaTheme="majorEastAsia" w:cstheme="majorEastAsia"/>
          <w:sz w:val="32"/>
          <w:szCs w:val="32"/>
          <w:lang w:val="en-US" w:eastAsia="zh-CN"/>
        </w:rPr>
        <w:t>141.24</w:t>
      </w:r>
      <w:r>
        <w:rPr>
          <w:rFonts w:hint="eastAsia" w:asciiTheme="majorEastAsia" w:hAnsiTheme="majorEastAsia" w:eastAsiaTheme="majorEastAsia" w:cstheme="majorEastAsia"/>
          <w:sz w:val="32"/>
          <w:szCs w:val="32"/>
        </w:rPr>
        <w:t>万元，占基本支出的</w:t>
      </w:r>
      <w:r>
        <w:rPr>
          <w:rFonts w:hint="eastAsia" w:asciiTheme="majorEastAsia" w:hAnsiTheme="majorEastAsia" w:eastAsiaTheme="majorEastAsia" w:cstheme="majorEastAsia"/>
          <w:sz w:val="32"/>
          <w:szCs w:val="32"/>
          <w:lang w:val="en-US" w:eastAsia="zh-CN"/>
        </w:rPr>
        <w:t>69</w:t>
      </w:r>
      <w:r>
        <w:rPr>
          <w:rFonts w:hint="eastAsia" w:asciiTheme="majorEastAsia" w:hAnsiTheme="majorEastAsia" w:eastAsiaTheme="majorEastAsia" w:cstheme="majorEastAsia"/>
          <w:sz w:val="32"/>
          <w:szCs w:val="32"/>
        </w:rPr>
        <w:t>%；办公经费、印刷费、水电费、汽燃费、办公设备购置等日常公用经费支出</w:t>
      </w:r>
      <w:r>
        <w:rPr>
          <w:rFonts w:hint="eastAsia" w:asciiTheme="majorEastAsia" w:hAnsiTheme="majorEastAsia" w:eastAsiaTheme="majorEastAsia" w:cstheme="majorEastAsia"/>
          <w:sz w:val="32"/>
          <w:szCs w:val="32"/>
          <w:lang w:val="en-US" w:eastAsia="zh-CN"/>
        </w:rPr>
        <w:t>9.24</w:t>
      </w:r>
      <w:r>
        <w:rPr>
          <w:rFonts w:hint="eastAsia" w:asciiTheme="majorEastAsia" w:hAnsiTheme="majorEastAsia" w:eastAsiaTheme="majorEastAsia" w:cstheme="majorEastAsia"/>
          <w:sz w:val="32"/>
          <w:szCs w:val="32"/>
        </w:rPr>
        <w:t>万元，占基本支出的</w:t>
      </w: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%；对个人和家庭的补助支出</w:t>
      </w:r>
      <w:r>
        <w:rPr>
          <w:rFonts w:hint="eastAsia" w:asciiTheme="majorEastAsia" w:hAnsiTheme="majorEastAsia" w:eastAsiaTheme="majorEastAsia" w:cstheme="majorEastAsia"/>
          <w:sz w:val="32"/>
          <w:szCs w:val="32"/>
          <w:lang w:val="en-US" w:eastAsia="zh-CN"/>
        </w:rPr>
        <w:t>55.03</w:t>
      </w:r>
      <w:r>
        <w:rPr>
          <w:rFonts w:hint="eastAsia" w:asciiTheme="majorEastAsia" w:hAnsiTheme="majorEastAsia" w:eastAsiaTheme="majorEastAsia" w:cstheme="majorEastAsia"/>
          <w:sz w:val="32"/>
          <w:szCs w:val="32"/>
        </w:rPr>
        <w:t>万元，占基本支出的</w:t>
      </w:r>
      <w:r>
        <w:rPr>
          <w:rFonts w:hint="eastAsia" w:asciiTheme="majorEastAsia" w:hAnsiTheme="majorEastAsia" w:eastAsiaTheme="majorEastAsia" w:cstheme="majorEastAsia"/>
          <w:sz w:val="32"/>
          <w:szCs w:val="32"/>
          <w:lang w:val="en-US" w:eastAsia="zh-CN"/>
        </w:rPr>
        <w:t>27</w:t>
      </w:r>
      <w:r>
        <w:rPr>
          <w:rFonts w:hint="eastAsia" w:asciiTheme="majorEastAsia" w:hAnsiTheme="majorEastAsia" w:eastAsiaTheme="majorEastAsia" w:cstheme="majorEastAsia"/>
          <w:sz w:val="32"/>
          <w:szCs w:val="32"/>
        </w:rPr>
        <w:t>%。与上年对比增加支出</w:t>
      </w:r>
      <w:r>
        <w:rPr>
          <w:rFonts w:hint="eastAsia" w:asciiTheme="majorEastAsia" w:hAnsiTheme="majorEastAsia" w:eastAsiaTheme="majorEastAsia" w:cstheme="majorEastAsia"/>
          <w:sz w:val="32"/>
          <w:szCs w:val="32"/>
          <w:lang w:val="en-US" w:eastAsia="zh-CN"/>
        </w:rPr>
        <w:t>11.02</w:t>
      </w:r>
      <w:r>
        <w:rPr>
          <w:rFonts w:hint="eastAsia" w:asciiTheme="majorEastAsia" w:hAnsiTheme="majorEastAsia" w:eastAsiaTheme="majorEastAsia" w:cstheme="majorEastAsia"/>
          <w:sz w:val="32"/>
          <w:szCs w:val="32"/>
        </w:rPr>
        <w:t>万元，其中：基本工资、津贴补贴等工资福利支出增加</w:t>
      </w:r>
      <w:r>
        <w:rPr>
          <w:rFonts w:hint="eastAsia" w:asciiTheme="majorEastAsia" w:hAnsiTheme="majorEastAsia" w:eastAsiaTheme="majorEastAsia" w:cstheme="majorEastAsia"/>
          <w:sz w:val="32"/>
          <w:szCs w:val="32"/>
          <w:lang w:val="en-US" w:eastAsia="zh-CN"/>
        </w:rPr>
        <w:t>11.02</w:t>
      </w:r>
      <w:r>
        <w:rPr>
          <w:rFonts w:hint="eastAsia" w:asciiTheme="majorEastAsia" w:hAnsiTheme="majorEastAsia" w:eastAsiaTheme="majorEastAsia" w:cstheme="majorEastAsia"/>
          <w:sz w:val="32"/>
          <w:szCs w:val="32"/>
        </w:rPr>
        <w:t>万元。</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（二）项目支出情况</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201</w:t>
      </w:r>
      <w:r>
        <w:rPr>
          <w:rFonts w:hint="eastAsia" w:asciiTheme="majorEastAsia" w:hAnsiTheme="majorEastAsia" w:eastAsiaTheme="majorEastAsia" w:cstheme="majorEastAsia"/>
          <w:sz w:val="32"/>
          <w:szCs w:val="32"/>
          <w:lang w:val="en-US" w:eastAsia="zh-CN"/>
        </w:rPr>
        <w:t>8</w:t>
      </w:r>
      <w:r>
        <w:rPr>
          <w:rFonts w:hint="eastAsia" w:asciiTheme="majorEastAsia" w:hAnsiTheme="majorEastAsia" w:eastAsiaTheme="majorEastAsia" w:cstheme="majorEastAsia"/>
          <w:sz w:val="32"/>
          <w:szCs w:val="32"/>
        </w:rPr>
        <w:t>年德宏州土肥站无项目支出预算。</w:t>
      </w:r>
    </w:p>
    <w:p>
      <w:pPr>
        <w:ind w:firstLine="640" w:firstLineChars="200"/>
        <w:rPr>
          <w:rFonts w:hint="eastAsia" w:asciiTheme="majorEastAsia" w:hAnsiTheme="majorEastAsia" w:eastAsiaTheme="majorEastAsia" w:cstheme="majorEastAsia"/>
          <w:sz w:val="32"/>
          <w:szCs w:val="32"/>
        </w:rPr>
      </w:pPr>
    </w:p>
    <w:p>
      <w:pPr>
        <w:ind w:firstLine="640" w:firstLineChars="200"/>
        <w:rPr>
          <w:rFonts w:hint="eastAsia" w:asciiTheme="majorEastAsia" w:hAnsiTheme="majorEastAsia" w:eastAsiaTheme="majorEastAsia" w:cstheme="majorEastAsia"/>
          <w:sz w:val="32"/>
          <w:szCs w:val="32"/>
        </w:rPr>
      </w:pPr>
    </w:p>
    <w:p>
      <w:pPr>
        <w:ind w:firstLine="640" w:firstLineChars="200"/>
        <w:rPr>
          <w:rFonts w:hint="eastAsia" w:asciiTheme="majorEastAsia" w:hAnsiTheme="majorEastAsia" w:eastAsiaTheme="majorEastAsia" w:cstheme="majorEastAsia"/>
          <w:sz w:val="32"/>
          <w:szCs w:val="32"/>
        </w:rPr>
      </w:pPr>
    </w:p>
    <w:p>
      <w:pPr>
        <w:ind w:firstLine="640" w:firstLineChars="200"/>
        <w:rPr>
          <w:rFonts w:hint="eastAsia" w:asciiTheme="majorEastAsia" w:hAnsiTheme="majorEastAsia" w:eastAsiaTheme="majorEastAsia" w:cstheme="majorEastAsia"/>
          <w:sz w:val="32"/>
          <w:szCs w:val="32"/>
        </w:rPr>
      </w:pPr>
    </w:p>
    <w:p>
      <w:pPr>
        <w:ind w:firstLine="640" w:firstLineChars="200"/>
        <w:rPr>
          <w:rFonts w:hint="eastAsia" w:asciiTheme="majorEastAsia" w:hAnsiTheme="majorEastAsia" w:eastAsiaTheme="majorEastAsia" w:cstheme="majorEastAsia"/>
          <w:sz w:val="32"/>
          <w:szCs w:val="32"/>
          <w:lang w:val="en-US" w:eastAsia="zh-CN"/>
        </w:rPr>
      </w:pPr>
    </w:p>
    <w:p>
      <w:pPr>
        <w:ind w:firstLine="640" w:firstLineChars="200"/>
        <w:rPr>
          <w:rFonts w:hint="eastAsia" w:asciiTheme="majorEastAsia" w:hAnsiTheme="majorEastAsia" w:eastAsiaTheme="majorEastAsia" w:cstheme="majorEastAsia"/>
          <w:sz w:val="32"/>
          <w:szCs w:val="32"/>
          <w:lang w:val="en-US" w:eastAsia="zh-CN"/>
        </w:rPr>
      </w:pPr>
    </w:p>
    <w:p>
      <w:pPr>
        <w:ind w:firstLine="4160" w:firstLineChars="13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德宏州土壤肥料工作站</w:t>
      </w:r>
    </w:p>
    <w:p>
      <w:pPr>
        <w:ind w:firstLine="4160" w:firstLineChars="13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二0一八年二月二十八日</w:t>
      </w:r>
    </w:p>
    <w:p>
      <w:pPr>
        <w:rPr>
          <w:rFonts w:hint="eastAsia" w:asciiTheme="majorEastAsia" w:hAnsiTheme="majorEastAsia" w:eastAsiaTheme="majorEastAsia" w:cstheme="majorEastAsia"/>
          <w:sz w:val="32"/>
          <w:szCs w:val="32"/>
        </w:rPr>
      </w:pPr>
    </w:p>
    <w:p>
      <w:pPr>
        <w:rPr>
          <w:rFonts w:hint="eastAsia" w:asciiTheme="majorEastAsia" w:hAnsiTheme="majorEastAsia" w:eastAsiaTheme="majorEastAsia" w:cstheme="majorEastAsia"/>
          <w:sz w:val="32"/>
          <w:szCs w:val="32"/>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A0000287" w:usb1="28C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6206B"/>
    <w:multiLevelType w:val="singleLevel"/>
    <w:tmpl w:val="5A96206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F47DF"/>
    <w:rsid w:val="011C5CD9"/>
    <w:rsid w:val="1FFE13EB"/>
    <w:rsid w:val="389F47DF"/>
    <w:rsid w:val="3FA8595D"/>
    <w:rsid w:val="41EF670C"/>
    <w:rsid w:val="49255B38"/>
    <w:rsid w:val="73BA3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2018-02-28T02:17:00Z</dcterms:created>
  <dc:creator>dhjy</dc:creator>
  <cp:lastModifiedBy>dhjy</cp:lastModifiedBy>
  <dcterms:modified xsi:type="dcterms:W3CDTF">2018-02-28T06:53:26Z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