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eastAsia="方正黑体_GBK" w:cs="Times New Roman"/>
          <w:color w:val="auto"/>
          <w:sz w:val="32"/>
          <w:szCs w:val="32"/>
          <w:lang w:val="en-US" w:eastAsia="zh-CN"/>
        </w:rPr>
      </w:pPr>
      <w:r>
        <w:rPr>
          <w:rFonts w:hint="eastAsia" w:eastAsia="方正黑体_GBK" w:cs="Times New Roman"/>
          <w:color w:val="auto"/>
          <w:sz w:val="32"/>
          <w:szCs w:val="32"/>
          <w:lang w:val="en-US" w:eastAsia="zh-CN"/>
        </w:rPr>
        <w:t xml:space="preserve">                                                 A</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lang w:eastAsia="zh-CN"/>
        </w:rPr>
      </w:pPr>
      <w:r>
        <w:rPr>
          <w:rFonts w:hint="eastAsia" w:eastAsia="方正黑体_GBK" w:cs="Times New Roman"/>
          <w:color w:val="auto"/>
          <w:sz w:val="32"/>
          <w:szCs w:val="32"/>
          <w:lang w:val="en-US" w:eastAsia="zh-CN"/>
        </w:rPr>
        <w:t>公开</w:t>
      </w: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spacing w:line="520" w:lineRule="exact"/>
        <w:rPr>
          <w:rFonts w:hint="default" w:ascii="Times New Roman" w:hAnsi="Times New Roman" w:cs="Times New Roman"/>
          <w:b/>
          <w:color w:val="FF0000"/>
          <w:sz w:val="32"/>
          <w:szCs w:val="32"/>
        </w:rPr>
      </w:pPr>
      <w:r>
        <w:rPr>
          <w:rFonts w:hint="default" w:ascii="Times New Roman" w:hAnsi="Times New Roman" w:cs="Times New Roman"/>
          <w:sz w:val="21"/>
        </w:rPr>
        <w:pict>
          <v:shape id="艺术字 127" o:spid="_x0000_s1026" o:spt="136" type="#_x0000_t136" style="position:absolute;left:0pt;margin-left:1.6pt;margin-top:5.65pt;height:41.4pt;width:439.05pt;z-index:251659264;mso-width-relative:page;mso-height-relative:page;" fillcolor="#FF0000" filled="t" stroked="f" coordsize="21600,21600" adj="10800">
            <v:path/>
            <v:fill on="t" color2="#FFFFFF" focussize="0,0"/>
            <v:stroke on="f"/>
            <v:imagedata o:title=""/>
            <o:lock v:ext="edit" aspectratio="f"/>
            <v:textpath on="t" fitshape="t" fitpath="t" trim="t" xscale="f" string="德宏        自治州文化和旅游局文件" style="font-family:方正小标宋简体;font-size:36pt;v-rotate-letters:f;v-same-letter-heights:f;v-text-align:justify;"/>
          </v:shape>
        </w:pict>
      </w:r>
      <w:r>
        <w:rPr>
          <w:rFonts w:hint="default" w:ascii="Times New Roman" w:hAnsi="Times New Roman" w:cs="Times New Roman"/>
        </w:rPr>
        <w:pict>
          <v:shape id="艺术字 128" o:spid="_x0000_s1027" o:spt="136" type="#_x0000_t136" style="position:absolute;left:0pt;margin-left:66pt;margin-top:9.3pt;height:37.5pt;width:50.25pt;z-index:251660288;mso-width-relative:page;mso-height-relative:page;" fillcolor="#FF0000" filled="t" stroked="f" coordsize="21600,21600">
            <v:path/>
            <v:fill on="t" focussize="0,0"/>
            <v:stroke on="f"/>
            <v:imagedata o:title=""/>
            <o:lock v:ext="edit"/>
            <v:textpath on="t" fitshape="t" fitpath="t" trim="t" xscale="f" string="傣　族&#10;景颇族" style="font-family:方正小标宋简体;font-size:36pt;v-rotate-letters:f;v-same-letter-heights:f;v-text-align:center;"/>
          </v:shape>
        </w:pict>
      </w:r>
    </w:p>
    <w:p>
      <w:pPr>
        <w:spacing w:line="400" w:lineRule="exact"/>
        <w:jc w:val="both"/>
        <w:rPr>
          <w:rFonts w:hint="default" w:ascii="Times New Roman" w:hAnsi="Times New Roman" w:eastAsia="方正小标宋简体" w:cs="Times New Roman"/>
          <w:sz w:val="44"/>
          <w:szCs w:val="44"/>
        </w:rPr>
      </w:pPr>
    </w:p>
    <w:p>
      <w:pPr>
        <w:spacing w:line="300" w:lineRule="exact"/>
        <w:rPr>
          <w:rFonts w:hint="default" w:ascii="Times New Roman" w:hAnsi="Times New Roman" w:eastAsia="方正仿宋_GBK" w:cs="Times New Roman"/>
          <w:color w:val="auto"/>
          <w:sz w:val="32"/>
          <w:szCs w:val="32"/>
        </w:rPr>
      </w:pPr>
    </w:p>
    <w:tbl>
      <w:tblPr>
        <w:tblStyle w:val="8"/>
        <w:tblW w:w="0" w:type="auto"/>
        <w:tblInd w:w="-72" w:type="dxa"/>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
      <w:tblGrid>
        <w:gridCol w:w="9213"/>
      </w:tblGrid>
      <w:tr>
        <w:tblPrEx>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CellMar>
            <w:top w:w="0" w:type="dxa"/>
            <w:left w:w="108" w:type="dxa"/>
            <w:bottom w:w="0" w:type="dxa"/>
            <w:right w:w="108" w:type="dxa"/>
          </w:tblCellMar>
        </w:tblPrEx>
        <w:trPr>
          <w:trHeight w:val="698" w:hRule="atLeast"/>
        </w:trPr>
        <w:tc>
          <w:tcPr>
            <w:tcW w:w="9213" w:type="dxa"/>
            <w:tcBorders>
              <w:top w:val="thinThickSmallGap" w:color="FF0000" w:sz="24" w:space="0"/>
              <w:left w:val="nil"/>
              <w:bottom w:val="nil"/>
              <w:right w:val="nil"/>
            </w:tcBorders>
            <w:noWrap w:val="0"/>
            <w:vAlign w:val="top"/>
          </w:tcPr>
          <w:p>
            <w:pPr>
              <w:spacing w:line="160" w:lineRule="exac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wordWrap w:val="0"/>
              <w:spacing w:line="400" w:lineRule="exact"/>
              <w:jc w:val="right"/>
              <w:rPr>
                <w:rFonts w:hint="default" w:ascii="Times New Roman" w:hAnsi="Times New Roman" w:eastAsia="仿宋_GB2312" w:cs="Times New Roman"/>
                <w:b/>
                <w:color w:val="auto"/>
                <w:sz w:val="32"/>
                <w:szCs w:val="32"/>
              </w:rPr>
            </w:pPr>
            <w:r>
              <w:rPr>
                <w:rFonts w:hint="default" w:ascii="Times New Roman" w:hAnsi="Times New Roman" w:eastAsia="方正仿宋_GBK" w:cs="Times New Roman"/>
                <w:color w:val="auto"/>
                <w:sz w:val="32"/>
                <w:szCs w:val="32"/>
                <w:lang w:eastAsia="zh-CN"/>
              </w:rPr>
              <w:t>德文旅</w:t>
            </w:r>
            <w:r>
              <w:rPr>
                <w:rFonts w:hint="default" w:ascii="Times New Roman" w:hAnsi="Times New Roman" w:eastAsia="方正仿宋_GBK" w:cs="Times New Roman"/>
                <w:color w:val="auto"/>
                <w:sz w:val="32"/>
                <w:szCs w:val="32"/>
              </w:rPr>
              <w:t>函〔</w:t>
            </w:r>
            <w:r>
              <w:rPr>
                <w:rFonts w:hint="default" w:ascii="Times New Roman" w:hAnsi="Times New Roman" w:eastAsia="方正仿宋_GBK" w:cs="Times New Roman"/>
                <w:color w:val="auto"/>
                <w:sz w:val="32"/>
                <w:szCs w:val="32"/>
                <w:lang w:val="en-US" w:eastAsia="zh-CN"/>
              </w:rPr>
              <w:t>2021</w:t>
            </w:r>
            <w:r>
              <w:rPr>
                <w:rFonts w:hint="default" w:ascii="Times New Roman" w:hAnsi="Times New Roman" w:eastAsia="方正仿宋_GBK" w:cs="Times New Roman"/>
                <w:color w:val="auto"/>
                <w:sz w:val="32"/>
                <w:szCs w:val="32"/>
              </w:rPr>
              <w:t>〕</w:t>
            </w:r>
            <w:r>
              <w:rPr>
                <w:rFonts w:hint="eastAsia" w:eastAsia="方正仿宋_GBK" w:cs="Times New Roman"/>
                <w:color w:val="auto"/>
                <w:sz w:val="32"/>
                <w:szCs w:val="32"/>
                <w:lang w:val="en-US" w:eastAsia="zh-CN"/>
              </w:rPr>
              <w:t>24</w:t>
            </w:r>
            <w:r>
              <w:rPr>
                <w:rFonts w:hint="default" w:ascii="Times New Roman" w:hAnsi="Times New Roman" w:eastAsia="方正仿宋_GBK" w:cs="Times New Roman"/>
                <w:color w:val="auto"/>
                <w:sz w:val="32"/>
                <w:szCs w:val="32"/>
              </w:rPr>
              <w:t>号</w:t>
            </w:r>
            <w:r>
              <w:rPr>
                <w:rFonts w:hint="default" w:ascii="Times New Roman" w:hAnsi="Times New Roman" w:eastAsia="仿宋_GB2312" w:cs="Times New Roman"/>
                <w:color w:val="auto"/>
                <w:sz w:val="32"/>
                <w:szCs w:val="32"/>
              </w:rPr>
              <w:t xml:space="preserve">   </w:t>
            </w:r>
          </w:p>
        </w:tc>
      </w:tr>
    </w:tbl>
    <w:p>
      <w:pPr>
        <w:spacing w:line="300" w:lineRule="exact"/>
        <w:rPr>
          <w:rFonts w:hint="default" w:ascii="Times New Roman" w:hAnsi="Times New Roman" w:eastAsia="FZFSK--GBK1-0" w:cs="Times New Roman"/>
          <w:color w:val="auto"/>
          <w:sz w:val="32"/>
        </w:rPr>
      </w:pP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对政协德宏州十二届四次会议</w:t>
      </w:r>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第65号提案的答复</w:t>
      </w:r>
    </w:p>
    <w:p>
      <w:pPr>
        <w:spacing w:line="540" w:lineRule="exact"/>
        <w:ind w:firstLine="64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郭畅竑委员：</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您提出的关于加快德宏州乡村旅游发展，助推魅力德宏建设的提案，已交由我局研究办理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现答复如下：</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首先，非常感谢您对德宏乡村旅游发展的关注和支持！</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近年来，德宏州的乡村旅游产业发展取得明显成效，十三五期间，我州乡村旅游收入36</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69</w:t>
      </w:r>
      <w:r>
        <w:rPr>
          <w:rFonts w:hint="default" w:ascii="Times New Roman" w:hAnsi="Times New Roman" w:eastAsia="方正仿宋_GBK" w:cs="Times New Roman"/>
          <w:sz w:val="32"/>
          <w:szCs w:val="32"/>
        </w:rPr>
        <w:t>亿元，接待游客</w:t>
      </w:r>
      <w:r>
        <w:rPr>
          <w:rFonts w:hint="default" w:ascii="Times New Roman" w:hAnsi="Times New Roman" w:eastAsia="方正仿宋_GBK" w:cs="Times New Roman"/>
          <w:sz w:val="32"/>
          <w:szCs w:val="32"/>
          <w:lang w:val="en-US" w:eastAsia="zh-CN"/>
        </w:rPr>
        <w:t>3084</w:t>
      </w:r>
      <w:r>
        <w:rPr>
          <w:rFonts w:hint="default" w:ascii="Times New Roman" w:hAnsi="Times New Roman" w:eastAsia="方正仿宋_GBK" w:cs="Times New Roman"/>
          <w:sz w:val="32"/>
          <w:szCs w:val="32"/>
        </w:rPr>
        <w:t>万人次。</w:t>
      </w:r>
      <w:r>
        <w:rPr>
          <w:rFonts w:hint="default" w:ascii="Times New Roman" w:hAnsi="Times New Roman" w:eastAsia="方正仿宋_GBK" w:cs="Times New Roman"/>
          <w:sz w:val="32"/>
          <w:szCs w:val="32"/>
          <w:shd w:val="clear" w:color="auto" w:fill="FFFFFF"/>
        </w:rPr>
        <w:t>全州打造了芒市回贤村、象滚塘村、三台山出冬瓜村，瑞丽市银井村、户瓦村、喊沙村，陇川县土砖文化庄园、归临山庄、龙安村，盈江县龙门古寨、苏典下勐撇、石梯村中国犀鸟谷、铜壁关乡松克村，梁河县曩宋乡关璋新村、九保乡九保村、勐养镇帮盖村等乡村旅游点。其中，芒市回贤村入选2020年文化和旅游部全国乡村旅游重点村；盈江县苏典乡下勐劈村入选国家发改委的乡村旅游发展典型案例，以及由省农业农村厅、省扶贫办联合评定的云南省24个产业扶贫典型案例；盈江县太平镇雪梨村石梯村蔡伍、芒市回贤五加峰乡村旅游专业合作社陈跃国入选文化和旅游部2019年度乡村文化和旅游能人支持项目人员名单；瑞丽市姐相乡银井村、盈江县苏典乡下勐劈村入选省文化和旅游厅评定的云南省乡村旅游经典案例。成功创建6个省级旅游扶贫示范村，</w:t>
      </w:r>
      <w:r>
        <w:rPr>
          <w:rFonts w:hint="default" w:ascii="Times New Roman" w:hAnsi="Times New Roman" w:eastAsia="方正仿宋_GBK" w:cs="Times New Roman"/>
          <w:sz w:val="32"/>
          <w:szCs w:val="32"/>
        </w:rPr>
        <w:t>6个云南省旅游名村。</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napToGrid w:val="0"/>
          <w:sz w:val="32"/>
          <w:szCs w:val="32"/>
        </w:rPr>
        <w:t>州委七届八次全会提出，巩固拓展脱贫攻坚成果，扎实推进乡村振兴。大力实施乡村建设工程，抢抓云南省乡村振兴“百千万”工程建设机遇，加快建设一批田园综合体、精品示范村和美丽乡村。2021年德宏州《政府工作报告》指出不断完善旅游公共服务体系，积极发展新型乡村旅游，开发生态旅居、休闲度假、户外运动、研学科考、养生养老等新业态新产品。乡村旅游发展将迎来新的发展契机。</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一、</w:t>
      </w:r>
      <w:r>
        <w:rPr>
          <w:rFonts w:hint="default" w:ascii="Times New Roman" w:hAnsi="Times New Roman" w:eastAsia="方正黑体_GBK" w:cs="Times New Roman"/>
          <w:sz w:val="32"/>
          <w:szCs w:val="32"/>
        </w:rPr>
        <w:t>关于“强化传统村落、传统民居、历史建筑物和古树名木的保护力度……建设边境特色村寨”的建议</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2012年至2018年，全州已成功申报了19个国家级传统村落。近年来，结合农村危房改造工作推进，加大对农村危房进行改造，加持“村庄风貌管控、建筑特色体现、民风民俗传承”，做到“修旧如旧”“建新如旧”保留民族特色；在村庄建设和农村危房改造的过程中注重融入民族文化元素，在外墙体、封檐板、屋檐、村头寨尾装饰民族元素、标识标牌，让各族民居各有特色，留住民族文化记忆和“乡愁”。为进一步做好民族传统文化生态保护区建设工作，下发《德宏州文化和旅游局关于进一步加强非物质文化遗产保护工作的实施方案》（德文旅发〔2020〕5号）。有序推进芒市三台山德昂族乡德昂族传统文化生态保护区、瑞丽市姐相乡大等喊傣族村传统文化保护区、陇川县户撒乡腊撒村委会新寨贺姐阿昌族传统文化生态保护区建设。结合我州实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施乡村振兴战略，鼓励县市人民政府设立民族传统文化生态保护区，将保护区规划纳入当地城乡规划，加强民族传统文化生态保护区与新农村、美丽乡村、历史文化名城(镇、村、街)、中国传统村落、民族团结示范村、中国少数民族特色村寨、旅游小镇、特色小镇等项目规划的衔接协调，注重重点区域的历史风貌保持和传统文化生态保护，让广大群众“望得见山，看得见水，记得住乡愁”。我们将加强与住建部门交流协作，按照德宏州文化旅游“十四五”规划，开展</w:t>
      </w:r>
      <w:r>
        <w:rPr>
          <w:rFonts w:hint="default" w:ascii="Times New Roman" w:hAnsi="Times New Roman" w:eastAsia="方正仿宋_GBK" w:cs="Times New Roman"/>
          <w:bCs w:val="0"/>
          <w:sz w:val="32"/>
          <w:szCs w:val="32"/>
        </w:rPr>
        <w:t>“拯救老屋”项目，完成全州具有文化价值、历史价值、艺术价值及旅游开发价值的闲置型传统民居老屋的调查统计，并进行建筑质量鉴定，形成数据库；实施全州19个传统村落保护传承与活化利用项目注重保护古村落、古民居、古树木，突出民族特色加大农村危</w:t>
      </w:r>
      <w:r>
        <w:rPr>
          <w:rFonts w:hint="default" w:ascii="Times New Roman" w:hAnsi="Times New Roman" w:eastAsia="方正仿宋_GBK" w:cs="Times New Roman"/>
          <w:sz w:val="32"/>
          <w:szCs w:val="32"/>
        </w:rPr>
        <w:t>房改造促乡村旅游发展。</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关于</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大力发展乡村旅游、餐饮休闲等产业，推动农村一二三产业融合发展</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的建议</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rPr>
        <w:t>结合德宏州全域旅游发展，紧紧围绕农业生产、农民生活和农村风貌，着力促进农耕文化传承、绿色田园建设、美丽家园打造、传统村落和民居保护，推动乡村旅游和休闲农业与教育、文化、体育、康养等产业深度融合，实现一二三产业融合发展。我们将以美丽田园为基底，整合村寨、特色农业产业资源等，努力推进《德宏州乡村旅游与休闲农业》《德宏州“十四五”文化和旅游发展规划》项目落地，打造集循环农业、创意农业、现代农业、农事体验于一体的梁河勐竜“山水诗画”田园综合体、瑞丽户育“四季果香”田园综合体、陇川“贵澳科技”田园综合体，将田园、农特产品等转化为农业观光、农业休闲、田园养生等旅游者所需的田园景观、农事体验、绿色与特色农产品等，构建德宏州健康食品生产、一二三产业融合、农村产业升级、循环经济培育、农村创业创新建设等的新平台，推进农产品初加工与精深加工、综合利用加工协调发展。同时，德宏州文化和旅游局将配合商务局强化德宏电商产业园的建设，立足德宏丰富的资源，提升旅游土特产的品质和包装，推进直播带货，通过美景、美食等的宣传推介，带动旅游商品的网络销售，促进旅游带动效益。</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三、</w:t>
      </w:r>
      <w:r>
        <w:rPr>
          <w:rFonts w:hint="default" w:ascii="Times New Roman" w:hAnsi="Times New Roman" w:eastAsia="方正黑体_GBK" w:cs="Times New Roman"/>
          <w:sz w:val="32"/>
          <w:szCs w:val="32"/>
        </w:rPr>
        <w:t>关于</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依托德</w:t>
      </w:r>
      <w:r>
        <w:rPr>
          <w:rFonts w:hint="default" w:ascii="Times New Roman" w:hAnsi="Times New Roman" w:eastAsia="方正黑体_GBK" w:cs="Times New Roman"/>
          <w:sz w:val="32"/>
          <w:szCs w:val="32"/>
          <w:lang w:eastAsia="zh-CN"/>
        </w:rPr>
        <w:t>宏</w:t>
      </w:r>
      <w:r>
        <w:rPr>
          <w:rFonts w:hint="default" w:ascii="Times New Roman" w:hAnsi="Times New Roman" w:eastAsia="方正黑体_GBK" w:cs="Times New Roman"/>
          <w:sz w:val="32"/>
          <w:szCs w:val="32"/>
        </w:rPr>
        <w:t>生态优势，大力发展观鸟旅游和生物多样性科普旅游项目</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的建议</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近年来，我州</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乡村旅游＋生态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实践出新绿色发展新模式。已先后建成大盈江湿地公园、AAA级景区陇川县森林公园、中国犀鸟谷。特别是盈江县依托73.59%的森林覆盖率，</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动植物基因宝库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等良好的生态优势，探索推行</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乡村旅游+生态</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大力发展观鸟旅游，观鸟旅游初具形态。盈江县太平镇石梯乡村旅游与生态观鸟旅游，那邦镇那邦村乡村旅游与生态观鸟旅游，支那乡澡堂寨乡村旅游与大娘山科考探秘旅游等相互融合，用生动实践诠释了“绿水青山就是金山银山”的发展理念。十四五期间，我们</w:t>
      </w:r>
      <w:r>
        <w:rPr>
          <w:rFonts w:hint="default" w:ascii="Times New Roman" w:hAnsi="Times New Roman" w:eastAsia="方正仿宋_GBK" w:cs="Times New Roman"/>
          <w:sz w:val="32"/>
          <w:szCs w:val="32"/>
          <w:lang w:eastAsia="zh-CN"/>
        </w:rPr>
        <w:t>将</w:t>
      </w:r>
      <w:r>
        <w:rPr>
          <w:rFonts w:hint="default" w:ascii="Times New Roman" w:hAnsi="Times New Roman" w:eastAsia="方正仿宋_GBK" w:cs="Times New Roman"/>
          <w:sz w:val="32"/>
          <w:szCs w:val="32"/>
        </w:rPr>
        <w:t>利用好德宏生态资源优势，围绕犀鸟、菲氏叶猴、白眉长臂猿、热带雨林、湿地、珍稀植物等为典型的丰富生物多样性资源，发挥和推广保护利用生态的“石梯经验”。重点推进瑞丽莫里热带雨林景区、瑞丽植物园、大盈江国家湿地公园、犀鸟谷、芒市黑河老坡景区的提升改造，利用盈江大娘山、盈江勐弄杜鹃山、梁河三岔河、芒市勐嘎龙海子、芒市河心场、陇川清平春花塘梁子等生态旅游资源，推出一批生态观光、徒步、露营、摄影、科普、科考等生态研学旅游产品</w:t>
      </w:r>
      <w:r>
        <w:rPr>
          <w:rFonts w:hint="default" w:ascii="Times New Roman" w:hAnsi="Times New Roman" w:eastAsia="方正仿宋_GBK" w:cs="Times New Roman"/>
          <w:sz w:val="32"/>
          <w:szCs w:val="32"/>
          <w:lang w:eastAsia="zh-CN"/>
        </w:rPr>
        <w:t>。</w:t>
      </w:r>
    </w:p>
    <w:p>
      <w:pPr>
        <w:pStyle w:val="6"/>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四、</w:t>
      </w:r>
      <w:r>
        <w:rPr>
          <w:rFonts w:hint="default" w:ascii="Times New Roman" w:hAnsi="Times New Roman" w:eastAsia="方正黑体_GBK" w:cs="Times New Roman"/>
          <w:sz w:val="32"/>
          <w:szCs w:val="32"/>
        </w:rPr>
        <w:t>关于</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大力推动文体旅融合发展……助推乡村旅游健康持续发展</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的建议</w:t>
      </w:r>
    </w:p>
    <w:p>
      <w:pPr>
        <w:pStyle w:val="6"/>
        <w:keepNext w:val="0"/>
        <w:keepLines w:val="0"/>
        <w:pageBreakBefore w:val="0"/>
        <w:widowControl w:val="0"/>
        <w:kinsoku/>
        <w:wordWrap/>
        <w:overflowPunct/>
        <w:topLinePunct w:val="0"/>
        <w:autoSpaceDE/>
        <w:autoSpaceDN/>
        <w:bidi w:val="0"/>
        <w:adjustRightInd/>
        <w:snapToGrid/>
        <w:spacing w:line="560" w:lineRule="exact"/>
        <w:ind w:firstLine="640"/>
        <w:rPr>
          <w:rStyle w:val="11"/>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我州</w:t>
      </w:r>
      <w:r>
        <w:rPr>
          <w:rStyle w:val="11"/>
          <w:rFonts w:hint="default" w:ascii="Times New Roman" w:hAnsi="Times New Roman" w:eastAsia="方正仿宋_GBK" w:cs="Times New Roman"/>
          <w:color w:val="000000"/>
          <w:sz w:val="32"/>
          <w:szCs w:val="32"/>
        </w:rPr>
        <w:t>不断探索文化体育搭台、旅游唱戏的发展模式，</w:t>
      </w:r>
      <w:r>
        <w:rPr>
          <w:rFonts w:hint="default" w:ascii="Times New Roman" w:hAnsi="Times New Roman" w:eastAsia="方正仿宋_GBK" w:cs="Times New Roman"/>
          <w:sz w:val="32"/>
          <w:szCs w:val="32"/>
        </w:rPr>
        <w:t>为旅游发展注入灵魂。2020年，</w:t>
      </w:r>
      <w:r>
        <w:rPr>
          <w:rFonts w:hint="default" w:ascii="Times New Roman" w:hAnsi="Times New Roman" w:eastAsia="方正仿宋_GBK" w:cs="Times New Roman"/>
          <w:sz w:val="32"/>
          <w:szCs w:val="32"/>
          <w:shd w:val="clear" w:color="auto" w:fill="FFFFFF"/>
        </w:rPr>
        <w:t>经推荐芒市、瑞丽、梁河</w:t>
      </w:r>
      <w:r>
        <w:rPr>
          <w:rFonts w:hint="default" w:ascii="Times New Roman" w:hAnsi="Times New Roman" w:eastAsia="方正仿宋_GBK" w:cs="Times New Roman"/>
          <w:sz w:val="32"/>
          <w:szCs w:val="32"/>
        </w:rPr>
        <w:t>入选云南省非遗主题旅游线路——滇西·丝路云赏之旅。</w:t>
      </w:r>
      <w:r>
        <w:rPr>
          <w:rFonts w:hint="default" w:ascii="Times New Roman" w:hAnsi="Times New Roman" w:eastAsia="方正仿宋_GBK" w:cs="Times New Roman"/>
          <w:sz w:val="32"/>
          <w:szCs w:val="32"/>
          <w:shd w:val="clear" w:color="auto" w:fill="FFFFFF"/>
        </w:rPr>
        <w:t>其中，芒市主要芒市风平镇弄么村，体验联合国教科文组织人类非遗代表作名录傣族剪纸；游览三台山乡德昂族省级民族文化生态保护区，观赏达古达楞格莱标、水鼓舞表演，体验酸茶制作技艺，品尝橄榄撒、臭菜、酸笋等；瑞丽主要是体验傣陶制作技艺、喊沙傣寨体验傣族孔雀舞、傣族泼水节、观赏农民画、品尝傣族特色餐饮；梁河主要是</w:t>
      </w:r>
      <w:r>
        <w:rPr>
          <w:rFonts w:hint="default" w:ascii="Times New Roman" w:hAnsi="Times New Roman" w:eastAsia="方正仿宋_GBK" w:cs="Times New Roman"/>
          <w:sz w:val="32"/>
          <w:szCs w:val="32"/>
          <w:shd w:val="clear" w:color="auto" w:fill="FFFFFF"/>
          <w:lang w:eastAsia="zh-CN"/>
        </w:rPr>
        <w:t>曩宋</w:t>
      </w:r>
      <w:r>
        <w:rPr>
          <w:rFonts w:hint="default" w:ascii="Times New Roman" w:hAnsi="Times New Roman" w:eastAsia="方正仿宋_GBK" w:cs="Times New Roman"/>
          <w:sz w:val="32"/>
          <w:szCs w:val="32"/>
          <w:shd w:val="clear" w:color="auto" w:fill="FFFFFF"/>
        </w:rPr>
        <w:t>关璋新村感受阿昌族民俗风情、观赏遮帕麻和遮咪麻民间文学传唱、勐养镇帮盖村观赏傣族传统歌舞、体验葫芦丝制作技艺。</w:t>
      </w:r>
      <w:r>
        <w:rPr>
          <w:rStyle w:val="11"/>
          <w:rFonts w:hint="default" w:ascii="Times New Roman" w:hAnsi="Times New Roman" w:eastAsia="方正仿宋_GBK" w:cs="Times New Roman"/>
          <w:color w:val="000000"/>
          <w:sz w:val="32"/>
          <w:szCs w:val="32"/>
        </w:rPr>
        <w:t>推进“旅游+体育”，实现康养与旅游结合。如：近年来组织开展的“中缅国际马拉松‘一马跑两国’”“陇川中缅雨林汽车越野赛”“梁河回龙茶山地自行车越野赛”、马拉松挑战赛等赛事深受广大游客喜爱。同时，借助体育赛事活动，以乡村旅游为着力点，在民族节庆活动期间重点打造民族传统体育赛事及户外体育体验活动。每年结合泼水节、目瑙纵歌节、阔时节及乡村旅游活动的开展，积极组织开展射弩、都达、篾弹弓、爬杆、高跷、抵棍、扭棍等民族传统体育项目展示，并在乡村旅游活动上组织开展竹筏、围鱼、竹编等民族传统体育项目比赛，2017年“盈江县香额湖竹筏围鱼大赛”被评为“云南体育旅游精品赛事”。</w:t>
      </w:r>
    </w:p>
    <w:p>
      <w:pPr>
        <w:keepNext w:val="0"/>
        <w:keepLines w:val="0"/>
        <w:pageBreakBefore w:val="0"/>
        <w:widowControl w:val="0"/>
        <w:kinsoku/>
        <w:wordWrap/>
        <w:overflowPunct/>
        <w:topLinePunct w:val="0"/>
        <w:autoSpaceDE/>
        <w:autoSpaceDN/>
        <w:bidi w:val="0"/>
        <w:adjustRightInd/>
        <w:snapToGrid/>
        <w:spacing w:line="560" w:lineRule="exact"/>
        <w:ind w:firstLine="640"/>
        <w:rPr>
          <w:rFonts w:hint="default" w:ascii="Times New Roman" w:hAnsi="Times New Roman" w:eastAsia="方正仿宋_GBK" w:cs="Times New Roman"/>
          <w:sz w:val="32"/>
          <w:szCs w:val="32"/>
        </w:rPr>
      </w:pPr>
      <w:r>
        <w:rPr>
          <w:rStyle w:val="11"/>
          <w:rFonts w:hint="default" w:ascii="Times New Roman" w:hAnsi="Times New Roman" w:eastAsia="方正仿宋_GBK" w:cs="Times New Roman"/>
          <w:color w:val="000000"/>
          <w:sz w:val="32"/>
          <w:szCs w:val="32"/>
        </w:rPr>
        <w:t>未来，我们将继续深入推进文体旅融合，</w:t>
      </w:r>
      <w:r>
        <w:rPr>
          <w:rFonts w:hint="default" w:ascii="Times New Roman" w:hAnsi="Times New Roman" w:eastAsia="方正仿宋_GBK" w:cs="Times New Roman"/>
          <w:sz w:val="32"/>
          <w:szCs w:val="32"/>
        </w:rPr>
        <w:t>推动“旅游+”不断发展。发展现代农业观光、农耕体验、运动拓展、乡村民宿、特色民俗文化、观鸟旅游和生物多样性科普旅游等旅游产业，建设文化产业园、非遗工坊，促进文化创意、旅游文化产品研发和设计服务等相关产业融合发展，助推乡村旅游健康持续发展。</w:t>
      </w:r>
    </w:p>
    <w:p>
      <w:pPr>
        <w:keepNext w:val="0"/>
        <w:keepLines w:val="0"/>
        <w:pageBreakBefore w:val="0"/>
        <w:widowControl w:val="0"/>
        <w:pBdr>
          <w:bottom w:val="single" w:color="FFFFFF" w:sz="4" w:space="31"/>
        </w:pBdr>
        <w:kinsoku/>
        <w:wordWrap/>
        <w:overflowPunct/>
        <w:topLinePunct w:val="0"/>
        <w:autoSpaceDE/>
        <w:autoSpaceDN/>
        <w:bidi w:val="0"/>
        <w:adjustRightInd/>
        <w:snapToGrid/>
        <w:spacing w:line="560" w:lineRule="exact"/>
        <w:ind w:firstLine="640"/>
        <w:textAlignment w:val="baseline"/>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五、</w:t>
      </w:r>
      <w:r>
        <w:rPr>
          <w:rFonts w:hint="default" w:ascii="Times New Roman" w:hAnsi="Times New Roman" w:eastAsia="方正黑体_GBK" w:cs="Times New Roman"/>
          <w:sz w:val="32"/>
          <w:szCs w:val="32"/>
        </w:rPr>
        <w:t>关于</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实施乡村人才振兴战略</w:t>
      </w:r>
      <w:r>
        <w:rPr>
          <w:rFonts w:hint="default" w:ascii="Times New Roman" w:hAnsi="Times New Roman" w:eastAsia="方正黑体_GBK" w:cs="Times New Roman"/>
          <w:sz w:val="32"/>
          <w:szCs w:val="32"/>
          <w:lang w:eastAsia="zh-CN"/>
        </w:rPr>
        <w:t>……</w:t>
      </w:r>
      <w:r>
        <w:rPr>
          <w:rFonts w:hint="eastAsia" w:ascii="Times New Roman" w:hAnsi="Times New Roman" w:eastAsia="方正黑体_GBK" w:cs="Times New Roman"/>
          <w:sz w:val="32"/>
          <w:szCs w:val="32"/>
          <w:lang w:eastAsia="zh-CN"/>
        </w:rPr>
        <w:t>”</w:t>
      </w:r>
      <w:r>
        <w:rPr>
          <w:rFonts w:hint="default" w:ascii="Times New Roman" w:hAnsi="Times New Roman" w:eastAsia="方正黑体_GBK" w:cs="Times New Roman"/>
          <w:sz w:val="32"/>
          <w:szCs w:val="32"/>
        </w:rPr>
        <w:t>的建议</w:t>
      </w:r>
    </w:p>
    <w:p>
      <w:pPr>
        <w:keepNext w:val="0"/>
        <w:keepLines w:val="0"/>
        <w:pageBreakBefore w:val="0"/>
        <w:widowControl w:val="0"/>
        <w:pBdr>
          <w:bottom w:val="single" w:color="FFFFFF" w:sz="4" w:space="31"/>
        </w:pBdr>
        <w:kinsoku/>
        <w:wordWrap/>
        <w:overflowPunct/>
        <w:topLinePunct w:val="0"/>
        <w:autoSpaceDE/>
        <w:autoSpaceDN/>
        <w:bidi w:val="0"/>
        <w:adjustRightInd/>
        <w:snapToGrid/>
        <w:spacing w:line="560" w:lineRule="exact"/>
        <w:ind w:firstLine="64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德宏州文化和旅游局非常重视乡村人才培养，依托“三区”人才支持计划文化工作者专项活动，选派、培养文化领域紧缺人才或提供文化服务，提升农村公共文化服务水平。近年来向芒市、梁河县、陇川县、盈江县下派27名优秀文化工作者驻地工作或提供服务，选送319名文化专业技术人员到49个乡镇（含农场管委员会）进行重点扶持培养，开展各类培训班1141期。同时，开展乡村旅游重点村村干部、乡村旅游经营人员</w:t>
      </w:r>
      <w:r>
        <w:rPr>
          <w:rFonts w:hint="default" w:ascii="Times New Roman" w:hAnsi="Times New Roman" w:eastAsia="方正仿宋_GBK" w:cs="Times New Roman"/>
          <w:snapToGrid w:val="0"/>
          <w:color w:val="000000"/>
          <w:kern w:val="0"/>
          <w:sz w:val="32"/>
          <w:szCs w:val="32"/>
        </w:rPr>
        <w:t>开展</w:t>
      </w:r>
      <w:r>
        <w:rPr>
          <w:rFonts w:hint="default" w:ascii="Times New Roman" w:hAnsi="Times New Roman" w:eastAsia="方正仿宋_GBK" w:cs="Times New Roman"/>
          <w:sz w:val="32"/>
          <w:szCs w:val="32"/>
        </w:rPr>
        <w:t>乡村旅游转型发展培训</w:t>
      </w:r>
      <w:r>
        <w:rPr>
          <w:rFonts w:hint="default" w:ascii="Times New Roman" w:hAnsi="Times New Roman" w:eastAsia="方正仿宋_GBK" w:cs="Times New Roman"/>
          <w:snapToGrid w:val="0"/>
          <w:color w:val="000000"/>
          <w:kern w:val="0"/>
          <w:sz w:val="32"/>
          <w:szCs w:val="32"/>
        </w:rPr>
        <w:t>，强化理论武装。</w:t>
      </w:r>
      <w:r>
        <w:rPr>
          <w:rFonts w:hint="default" w:ascii="Times New Roman" w:hAnsi="Times New Roman" w:eastAsia="方正仿宋_GBK" w:cs="Times New Roman"/>
          <w:sz w:val="32"/>
          <w:szCs w:val="32"/>
        </w:rPr>
        <w:t>此外，还积极组</w:t>
      </w:r>
      <w:r>
        <w:rPr>
          <w:rFonts w:hint="default" w:ascii="Times New Roman" w:hAnsi="Times New Roman" w:eastAsia="方正仿宋_GBK" w:cs="Times New Roman"/>
          <w:snapToGrid w:val="0"/>
          <w:color w:val="000000"/>
          <w:kern w:val="0"/>
          <w:sz w:val="32"/>
          <w:szCs w:val="32"/>
        </w:rPr>
        <w:t>织参加上级文化和旅游部门开展的各种旅游扶贫培训。如，</w:t>
      </w:r>
      <w:r>
        <w:rPr>
          <w:rFonts w:hint="default" w:ascii="Times New Roman" w:hAnsi="Times New Roman" w:eastAsia="方正仿宋_GBK" w:cs="Times New Roman"/>
          <w:sz w:val="32"/>
          <w:szCs w:val="32"/>
        </w:rPr>
        <w:t>组织各县（市）乡村旅游民宿、庄园、农家乐等经营管理代表、多名村干部参加2019年全省乡村旅游开发建设暨旅游扶贫培训班、广西</w:t>
      </w:r>
      <w:r>
        <w:rPr>
          <w:rFonts w:hint="eastAsia" w:eastAsia="方正仿宋_GBK" w:cs="Times New Roman"/>
          <w:sz w:val="32"/>
          <w:szCs w:val="32"/>
          <w:lang w:val="en-US" w:eastAsia="zh-CN"/>
        </w:rPr>
        <w:t>壮族</w:t>
      </w:r>
      <w:bookmarkStart w:id="0" w:name="_GoBack"/>
      <w:bookmarkEnd w:id="0"/>
      <w:r>
        <w:rPr>
          <w:rFonts w:hint="default" w:ascii="Times New Roman" w:hAnsi="Times New Roman" w:eastAsia="方正仿宋_GBK" w:cs="Times New Roman"/>
          <w:sz w:val="32"/>
          <w:szCs w:val="32"/>
        </w:rPr>
        <w:t>自治区文化和旅游厅在桂林举办的滇黔桂文化和旅游脱贫攻坚创客研修班、文化和旅游部在北戴河举办的2019年全国乡村旅游扶贫重点村村干部培训班、文化和旅游部在成都举办的2019年度乡村文化和旅游能人专题培训班。通过举办和参加乡村旅游培训班，</w:t>
      </w:r>
      <w:r>
        <w:rPr>
          <w:rFonts w:hint="default" w:ascii="Times New Roman" w:hAnsi="Times New Roman" w:eastAsia="方正仿宋_GBK" w:cs="Times New Roman"/>
          <w:snapToGrid w:val="0"/>
          <w:color w:val="000000"/>
          <w:kern w:val="0"/>
          <w:sz w:val="32"/>
          <w:szCs w:val="32"/>
        </w:rPr>
        <w:t>进一步提升乡村干部的乡村旅游开发和经营管理水平，为</w:t>
      </w:r>
      <w:r>
        <w:rPr>
          <w:rFonts w:hint="default" w:ascii="Times New Roman" w:hAnsi="Times New Roman" w:eastAsia="方正仿宋_GBK" w:cs="Times New Roman"/>
          <w:sz w:val="32"/>
          <w:szCs w:val="32"/>
        </w:rPr>
        <w:t>实施乡村人才振兴战略提供有力的人才保障。</w:t>
      </w:r>
    </w:p>
    <w:p>
      <w:pPr>
        <w:keepNext w:val="0"/>
        <w:keepLines w:val="0"/>
        <w:pageBreakBefore w:val="0"/>
        <w:widowControl w:val="0"/>
        <w:pBdr>
          <w:bottom w:val="single" w:color="FFFFFF" w:sz="4" w:space="31"/>
        </w:pBdr>
        <w:kinsoku/>
        <w:wordWrap/>
        <w:overflowPunct/>
        <w:topLinePunct w:val="0"/>
        <w:autoSpaceDE/>
        <w:autoSpaceDN/>
        <w:bidi w:val="0"/>
        <w:adjustRightInd/>
        <w:snapToGrid/>
        <w:spacing w:line="560" w:lineRule="exact"/>
        <w:ind w:firstLine="64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我们将继续实施乡村人才振兴战略，加大文化、旅游人才教育培训力度，以乡村文化能人、乡村旅游与休闲农业经营户、乡村旅游带头人、能工巧匠传承人和乡村旅游干部为重点</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着力培养一支高素质的乡土文化旅游实用人才队伍。重点提高从业者在经营服务、食品卫生安全、接待礼仪、餐饮和客房服务、乡土文化讲解等方面的素质和技能，加强对当地干部和业主乡村旅游项目开发、管理、促销等专业知识培训。</w:t>
      </w:r>
    </w:p>
    <w:p>
      <w:pPr>
        <w:keepNext w:val="0"/>
        <w:keepLines w:val="0"/>
        <w:pageBreakBefore w:val="0"/>
        <w:widowControl w:val="0"/>
        <w:pBdr>
          <w:bottom w:val="single" w:color="FFFFFF" w:sz="4" w:space="31"/>
        </w:pBdr>
        <w:kinsoku/>
        <w:wordWrap/>
        <w:overflowPunct/>
        <w:topLinePunct w:val="0"/>
        <w:autoSpaceDE/>
        <w:autoSpaceDN/>
        <w:bidi w:val="0"/>
        <w:adjustRightInd/>
        <w:snapToGrid/>
        <w:spacing w:line="560" w:lineRule="exact"/>
        <w:ind w:firstLine="64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针对您的5项建议，我们将立足全州乡村旅游资源，找准优势，突出特色，完善《德宏州乡村旅游与休闲农业规划》，构建以田园观光、村寨观光为基础，以田园康养、乡村旅居、自驾旅游、民族文化体验和美食休闲为核心，以研学旅游、农事体验、户外运动等为辅助乡村旅游与休闲农业产品体系。高标准推进《德宏州“十四五”文化和旅游发展规划》，为全州乡村旅游发展提供科学的方向和定位，使乡村旅游发展步入科学化、标准化的轨道。不断提升乡村旅游发展水平，力争把优势做出特色，让特色产生效益。</w:t>
      </w:r>
    </w:p>
    <w:p>
      <w:pPr>
        <w:keepNext w:val="0"/>
        <w:keepLines w:val="0"/>
        <w:pageBreakBefore w:val="0"/>
        <w:widowControl w:val="0"/>
        <w:pBdr>
          <w:bottom w:val="single" w:color="FFFFFF" w:sz="4" w:space="31"/>
        </w:pBdr>
        <w:kinsoku/>
        <w:wordWrap/>
        <w:overflowPunct/>
        <w:topLinePunct w:val="0"/>
        <w:autoSpaceDE/>
        <w:autoSpaceDN/>
        <w:bidi w:val="0"/>
        <w:adjustRightInd/>
        <w:snapToGrid/>
        <w:spacing w:line="560" w:lineRule="exact"/>
        <w:ind w:firstLine="640"/>
        <w:textAlignment w:val="baseline"/>
        <w:rPr>
          <w:rFonts w:hint="default" w:ascii="Times New Roman" w:hAnsi="Times New Roman" w:eastAsia="方正仿宋_GBK" w:cs="Times New Roman"/>
          <w:sz w:val="32"/>
          <w:szCs w:val="32"/>
        </w:rPr>
      </w:pPr>
      <w:r>
        <w:rPr>
          <w:sz w:val="32"/>
        </w:rPr>
        <w:pict>
          <v:rect id="KGD_61245AF2$01$29$00013" o:spid="_x0000_s1028" o:spt="1" alt="x2Wvs8pBsYMKhaSuN57OJFte4+X4QLEHJX6SXKRpGReTtRXvhNQbt35bcwxJXfe30uH0GsatfeRbT+5SjmkazQYa+mAiHoCqAiqVk22OfJXCZ9CXRytOUuV25g4rHj51MGkCjS9GO+XfbWaCPYj/IM1oP3YvfTMQ/aLYEcduEQJGibDZ1Sbdhry7hW/ERQdTS0XgnMT7MdP5VKq9r3zsNTucNyILyggYJWlyZB6V8zL7nEj55HAwROdJU05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" style="position:absolute;left:0pt;margin-left:-86.55pt;margin-top:-94.9pt;height:5pt;width:5pt;visibility:hidden;z-index:251672576;mso-width-relative:page;mso-height-relative:page;" fillcolor="#FFFFFF" filled="t" stroked="t" coordsize="21600,21600">
            <v:path/>
            <v:fill on="t" focussize="0,0"/>
            <v:stroke/>
            <v:imagedata o:title=""/>
            <o:lock v:ext="edit" aspectratio="f"/>
          </v:rect>
        </w:pict>
      </w:r>
      <w:r>
        <w:rPr>
          <w:sz w:val="32"/>
        </w:rPr>
        <w:pict>
          <v:rect id="KGD_61245AF2$01$29$00012" o:spid="_x0000_s1029" o:spt="1" alt="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AFcYXzaAVcZn5qfGQXpQJBd1SQTfmk1X0zdrVAUFyaIcB3fh/rBLR/+QEcWt0s3FNKKUdoQa86ueE0RSP+DrLj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QJlJ7L" style="position:absolute;left:0pt;margin-left:-86.55pt;margin-top:-94.9pt;height:5pt;width:5pt;visibility:hidden;z-index:251671552;mso-width-relative:page;mso-height-relative:page;" fillcolor="#FFFFFF" filled="t" stroked="t" coordsize="21600,21600">
            <v:path/>
            <v:fill on="t" focussize="0,0"/>
            <v:stroke/>
            <v:imagedata o:title=""/>
            <o:lock v:ext="edit" aspectratio="f"/>
          </v:rect>
        </w:pict>
      </w:r>
      <w:r>
        <w:rPr>
          <w:sz w:val="32"/>
        </w:rPr>
        <w:pict>
          <v:rect id="KGD_61245AF2$01$29$00011" o:spid="_x0000_s1030" o:spt="1" alt="nwkOiId/bBbOAe61rgYT4vXM3UaFFF0tl2W9B2ekj1Z7kYnHXrUHbs1gN35c90qvk8UGZq8K2xEGY00HHrZSdx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A6HesO1/HpX7CDjiWpPFsK+4020e0Ji87piWvJccg8ChVNL6wMMZjCXrnuz5JX8lAI0/c+8zbTZ3PgFxI9Ompek/wnAYs8pSz6Hlghbhq3Yt3yHGd/nn0AE8khssCgCI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style="position:absolute;left:0pt;margin-left:-86.55pt;margin-top:-94.9pt;height:5pt;width:5pt;visibility:hidden;z-index:251670528;mso-width-relative:page;mso-height-relative:page;" fillcolor="#FFFFFF" filled="t" stroked="t" coordsize="21600,21600">
            <v:path/>
            <v:fill on="t" focussize="0,0"/>
            <v:stroke/>
            <v:imagedata o:title=""/>
            <o:lock v:ext="edit" aspectratio="f"/>
          </v:rect>
        </w:pict>
      </w:r>
      <w:r>
        <w:rPr>
          <w:sz w:val="32"/>
        </w:rPr>
        <w:pict>
          <v:rect id="KGD_KG_Seal_18" o:spid="_x0000_s1031" o:spt="1" alt="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style="position:absolute;left:0pt;margin-left:-86.55pt;margin-top:-94.9pt;height:5pt;width:5pt;visibility:hidden;z-index:251669504;mso-width-relative:page;mso-height-relative:page;" fillcolor="#FFFFFF" filled="t" stroked="t" coordsize="21600,21600">
            <v:path/>
            <v:fill on="t" focussize="0,0"/>
            <v:stroke/>
            <v:imagedata o:title=""/>
            <o:lock v:ext="edit" aspectratio="f"/>
          </v:rect>
        </w:pict>
      </w:r>
      <w:r>
        <w:rPr>
          <w:sz w:val="32"/>
        </w:rPr>
        <w:pict>
          <v:rect id="KGD_KG_Seal_17" o:spid="_x0000_s1032" o:spt="1" alt="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style="position:absolute;left:0pt;margin-left:-86.55pt;margin-top:-94.9pt;height:5pt;width:5pt;visibility:hidden;z-index:251668480;mso-width-relative:page;mso-height-relative:page;" fillcolor="#FFFFFF" filled="t" stroked="t" coordsize="21600,21600">
            <v:path/>
            <v:fill on="t" focussize="0,0"/>
            <v:stroke/>
            <v:imagedata o:title=""/>
            <o:lock v:ext="edit" aspectratio="f"/>
          </v:rect>
        </w:pict>
      </w:r>
      <w:r>
        <w:rPr>
          <w:sz w:val="32"/>
        </w:rPr>
        <w:pict>
          <v:rect id="KGD_KG_Seal_16" o:spid="_x0000_s1033" o:spt="1" alt="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style="position:absolute;left:0pt;margin-left:-86.55pt;margin-top:-94.9pt;height:5pt;width:5pt;visibility:hidden;z-index:251667456;mso-width-relative:page;mso-height-relative:page;" fillcolor="#FFFFFF" filled="t" stroked="t" coordsize="21600,21600">
            <v:path/>
            <v:fill on="t" focussize="0,0"/>
            <v:stroke/>
            <v:imagedata o:title=""/>
            <o:lock v:ext="edit" aspectratio="f"/>
          </v:rect>
        </w:pict>
      </w:r>
      <w:r>
        <w:rPr>
          <w:sz w:val="32"/>
        </w:rPr>
        <w:pict>
          <v:rect id="KGD_KG_Seal_15" o:spid="_x0000_s1034" o:spt="1" alt="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style="position:absolute;left:0pt;margin-left:-86.55pt;margin-top:-94.9pt;height:5pt;width:5pt;visibility:hidden;z-index:251666432;mso-width-relative:page;mso-height-relative:page;" fillcolor="#FFFFFF" filled="t" stroked="t" coordsize="21600,21600">
            <v:path/>
            <v:fill on="t" focussize="0,0"/>
            <v:stroke/>
            <v:imagedata o:title=""/>
            <o:lock v:ext="edit" aspectratio="f"/>
          </v:rect>
        </w:pict>
      </w:r>
      <w:r>
        <w:rPr>
          <w:sz w:val="32"/>
        </w:rPr>
        <w:pict>
          <v:rect id="KGD_KG_Seal_14" o:spid="_x0000_s1035" o:spt="1" alt="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style="position:absolute;left:0pt;margin-left:-86.55pt;margin-top:-94.9pt;height:5pt;width:5pt;visibility:hidden;z-index:251665408;mso-width-relative:page;mso-height-relative:page;" fillcolor="#FFFFFF" filled="t" stroked="t" coordsize="21600,21600">
            <v:path/>
            <v:fill on="t" focussize="0,0"/>
            <v:stroke/>
            <v:imagedata o:title=""/>
            <o:lock v:ext="edit" aspectratio="f"/>
          </v:rect>
        </w:pict>
      </w:r>
      <w:r>
        <w:rPr>
          <w:sz w:val="32"/>
        </w:rPr>
        <w:pict>
          <v:rect id="KGD_KG_Seal_13" o:spid="_x0000_s1036" o:spt="1" alt="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style="position:absolute;left:0pt;margin-left:-86.55pt;margin-top:-94.9pt;height:5pt;width:5pt;visibility:hidden;z-index:251664384;mso-width-relative:page;mso-height-relative:page;" fillcolor="#FFFFFF" filled="t" stroked="t" coordsize="21600,21600">
            <v:path/>
            <v:fill on="t" focussize="0,0"/>
            <v:stroke/>
            <v:imagedata o:title=""/>
            <o:lock v:ext="edit" aspectratio="f"/>
          </v:rect>
        </w:pict>
      </w:r>
      <w:r>
        <w:rPr>
          <w:sz w:val="32"/>
        </w:rPr>
        <w:pict>
          <v:rect id="KGD_KG_Seal_12" o:spid="_x0000_s1037" o:spt="1" alt="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style="position:absolute;left:0pt;margin-left:-86.55pt;margin-top:-94.9pt;height:5pt;width:5pt;visibility:hidden;z-index:251663360;mso-width-relative:page;mso-height-relative:page;" fillcolor="#FFFFFF" filled="t" stroked="t" coordsize="21600,21600">
            <v:path/>
            <v:fill on="t" focussize="0,0"/>
            <v:stroke/>
            <v:imagedata o:title=""/>
            <o:lock v:ext="edit" aspectratio="f"/>
          </v:rect>
        </w:pict>
      </w:r>
      <w:r>
        <w:rPr>
          <w:sz w:val="32"/>
        </w:rPr>
        <w:pict>
          <v:rect id="KGD_KG_Seal_11" o:spid="_x0000_s1038" o:spt="1" alt="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style="position:absolute;left:0pt;margin-left:-86.55pt;margin-top:-94.9pt;height:5pt;width:5pt;visibility:hidden;z-index:251662336;mso-width-relative:page;mso-height-relative:page;" fillcolor="#FFFFFF" filled="t" stroked="t" coordsize="21600,21600">
            <v:path/>
            <v:fill on="t" focussize="0,0"/>
            <v:stroke/>
            <v:imagedata o:title=""/>
            <o:lock v:ext="edit" aspectratio="f"/>
          </v:rect>
        </w:pict>
      </w:r>
      <w:r>
        <w:rPr>
          <w:sz w:val="32"/>
        </w:rPr>
        <w:pict>
          <v:rect id="KGD_Gobal1" o:spid="_x0000_s1039" o:spt="1" alt="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" style="position:absolute;left:0pt;margin-left:-86.55pt;margin-top:-94.9pt;height:5pt;width:5pt;visibility:hidden;z-index:251661312;mso-width-relative:page;mso-height-relative:page;" fillcolor="#FFFFFF" filled="t" stroked="t" coordsize="21600,21600">
            <v:path/>
            <v:fill on="t" focussize="0,0"/>
            <v:stroke/>
            <v:imagedata o:title=""/>
            <o:lock v:ext="edit" aspectratio="f"/>
          </v:rect>
        </w:pict>
      </w:r>
      <w:r>
        <w:rPr>
          <w:rFonts w:hint="default" w:ascii="Times New Roman" w:hAnsi="Times New Roman" w:eastAsia="方正仿宋_GBK" w:cs="Times New Roman"/>
          <w:sz w:val="32"/>
          <w:szCs w:val="32"/>
        </w:rPr>
        <w:t>再次感谢</w:t>
      </w:r>
      <w:r>
        <w:rPr>
          <w:rFonts w:hint="default" w:ascii="Times New Roman" w:hAnsi="Times New Roman" w:eastAsia="方正仿宋_GBK" w:cs="Times New Roman"/>
          <w:sz w:val="32"/>
          <w:szCs w:val="32"/>
          <w:lang w:val="en-US" w:eastAsia="zh-CN"/>
        </w:rPr>
        <w:t>您</w:t>
      </w:r>
      <w:r>
        <w:rPr>
          <w:rFonts w:hint="default" w:ascii="Times New Roman" w:hAnsi="Times New Roman" w:eastAsia="方正仿宋_GBK" w:cs="Times New Roman"/>
          <w:sz w:val="32"/>
          <w:szCs w:val="32"/>
        </w:rPr>
        <w:t>对德宏乡村旅游发展的关心，欢迎</w:t>
      </w:r>
      <w:r>
        <w:rPr>
          <w:rFonts w:hint="default" w:ascii="Times New Roman" w:hAnsi="Times New Roman" w:eastAsia="方正仿宋_GBK" w:cs="Times New Roman"/>
          <w:sz w:val="32"/>
          <w:szCs w:val="32"/>
          <w:lang w:val="en-US" w:eastAsia="zh-CN"/>
        </w:rPr>
        <w:t>您</w:t>
      </w:r>
      <w:r>
        <w:rPr>
          <w:rFonts w:hint="default" w:ascii="Times New Roman" w:hAnsi="Times New Roman" w:eastAsia="方正仿宋_GBK" w:cs="Times New Roman"/>
          <w:sz w:val="32"/>
          <w:szCs w:val="32"/>
        </w:rPr>
        <w:t>今后一如既往地关注、支持，提出更多的宝贵意见和建议，共同把德宏的乡村旅游发展好。</w:t>
      </w:r>
    </w:p>
    <w:p>
      <w:pPr>
        <w:pStyle w:val="7"/>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方正仿宋_GBK" w:cs="Times New Roman"/>
          <w:sz w:val="32"/>
          <w:szCs w:val="32"/>
        </w:rPr>
      </w:pPr>
    </w:p>
    <w:p>
      <w:pPr>
        <w:pStyle w:val="7"/>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德宏州文化和旅游局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2021年</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联系人</w:t>
      </w:r>
      <w:r>
        <w:rPr>
          <w:rFonts w:hint="default" w:ascii="Times New Roman" w:hAnsi="Times New Roman" w:eastAsia="方正仿宋_GBK" w:cs="Times New Roman"/>
          <w:sz w:val="32"/>
          <w:szCs w:val="32"/>
          <w:lang w:val="en-US" w:eastAsia="zh-CN"/>
        </w:rPr>
        <w:t>及电话</w:t>
      </w:r>
      <w:r>
        <w:rPr>
          <w:rFonts w:hint="default" w:ascii="Times New Roman" w:hAnsi="Times New Roman" w:eastAsia="方正仿宋_GBK" w:cs="Times New Roman"/>
          <w:sz w:val="32"/>
          <w:szCs w:val="32"/>
        </w:rPr>
        <w:t>：金万丽</w:t>
      </w: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rPr>
        <w:t>18988219391</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w:t>
      </w:r>
    </w:p>
    <w:p>
      <w:pPr>
        <w:pStyle w:val="7"/>
        <w:jc w:val="both"/>
        <w:rPr>
          <w:rFonts w:hint="default" w:ascii="Times New Roman" w:hAnsi="Times New Roman" w:cs="Times New Roman"/>
          <w:lang w:val="en-US" w:eastAsia="zh-CN"/>
        </w:rPr>
      </w:pPr>
    </w:p>
    <w:p>
      <w:pPr>
        <w:pStyle w:val="7"/>
        <w:jc w:val="both"/>
        <w:rPr>
          <w:rFonts w:hint="default" w:ascii="Times New Roman" w:hAnsi="Times New Roman" w:cs="Times New Roman"/>
          <w:lang w:val="en-US" w:eastAsia="zh-CN"/>
        </w:rPr>
      </w:pPr>
    </w:p>
    <w:p>
      <w:pPr>
        <w:pStyle w:val="7"/>
        <w:jc w:val="both"/>
        <w:rPr>
          <w:rFonts w:hint="default" w:ascii="Times New Roman" w:hAnsi="Times New Roman" w:cs="Times New Roman"/>
          <w:lang w:val="en-US" w:eastAsia="zh-CN"/>
        </w:rPr>
      </w:pPr>
    </w:p>
    <w:p>
      <w:pPr>
        <w:pStyle w:val="7"/>
        <w:jc w:val="both"/>
        <w:rPr>
          <w:rFonts w:hint="default" w:ascii="Times New Roman" w:hAnsi="Times New Roman" w:cs="Times New Roman"/>
          <w:lang w:val="en-US" w:eastAsia="zh-CN"/>
        </w:rPr>
      </w:pPr>
    </w:p>
    <w:p>
      <w:pPr>
        <w:pStyle w:val="7"/>
        <w:jc w:val="both"/>
        <w:rPr>
          <w:rFonts w:hint="default" w:ascii="Times New Roman" w:hAnsi="Times New Roman" w:cs="Times New Roman"/>
          <w:lang w:val="en-US" w:eastAsia="zh-CN"/>
        </w:rPr>
      </w:pPr>
    </w:p>
    <w:p>
      <w:pPr>
        <w:pStyle w:val="7"/>
        <w:jc w:val="both"/>
        <w:rPr>
          <w:rFonts w:hint="default" w:ascii="Times New Roman" w:hAnsi="Times New Roman" w:cs="Times New Roman"/>
          <w:lang w:val="en-US" w:eastAsia="zh-CN"/>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20" w:lineRule="exact"/>
        <w:ind w:right="0" w:rightChars="0" w:firstLine="280" w:firstLineChars="1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28"/>
          <w:szCs w:val="28"/>
        </w:rPr>
        <w:t>抄送：</w:t>
      </w:r>
      <w:r>
        <w:rPr>
          <w:rFonts w:hint="default" w:ascii="Times New Roman" w:hAnsi="Times New Roman" w:eastAsia="方正仿宋_GBK" w:cs="Times New Roman"/>
          <w:color w:val="auto"/>
          <w:sz w:val="28"/>
          <w:szCs w:val="28"/>
          <w:lang w:eastAsia="zh-CN"/>
        </w:rPr>
        <w:t>州政府办公室</w:t>
      </w:r>
      <w:r>
        <w:rPr>
          <w:rFonts w:hint="eastAsia"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eastAsia="zh-CN"/>
        </w:rPr>
        <w:t>州政协提案委</w:t>
      </w:r>
      <w:r>
        <w:rPr>
          <w:rFonts w:hint="eastAsia" w:eastAsia="方正仿宋_GBK" w:cs="Times New Roman"/>
          <w:color w:val="auto"/>
          <w:sz w:val="28"/>
          <w:szCs w:val="28"/>
          <w:lang w:eastAsia="zh-CN"/>
        </w:rPr>
        <w:t>。</w:t>
      </w:r>
      <w:r>
        <w:rPr>
          <w:rFonts w:hint="default" w:ascii="Times New Roman" w:hAnsi="Times New Roman" w:eastAsia="方正仿宋_GBK" w:cs="Times New Roman"/>
          <w:sz w:val="32"/>
          <w:szCs w:val="32"/>
        </w:rPr>
        <w:t xml:space="preserve">  </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520" w:lineRule="exact"/>
        <w:ind w:left="0" w:leftChars="0" w:right="0" w:rightChars="0" w:firstLine="280" w:firstLineChars="100"/>
        <w:jc w:val="both"/>
        <w:textAlignment w:val="auto"/>
        <w:outlineLvl w:val="9"/>
      </w:pPr>
      <w:r>
        <w:rPr>
          <w:rFonts w:hint="default" w:ascii="Times New Roman" w:hAnsi="Times New Roman" w:eastAsia="方正仿宋_GBK" w:cs="Times New Roman"/>
          <w:sz w:val="28"/>
          <w:szCs w:val="28"/>
          <w:lang w:val="en-US" w:eastAsia="zh-CN"/>
        </w:rPr>
        <w:t xml:space="preserve">德宏州文化和旅游局办公室        </w:t>
      </w:r>
      <w:r>
        <w:rPr>
          <w:rFonts w:hint="eastAsia"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2021年5月31日印发</w:t>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A76312-2622-4090-9CCE-2F97DEC0FD15}"/>
  </w:font>
  <w:font w:name="Arial">
    <w:panose1 w:val="020B0604020202020204"/>
    <w:charset w:val="01"/>
    <w:family w:val="swiss"/>
    <w:pitch w:val="default"/>
    <w:sig w:usb0="E0002EFF" w:usb1="C000785B" w:usb2="00000009" w:usb3="00000000" w:csb0="400001FF" w:csb1="FFFF0000"/>
    <w:embedRegular r:id="rId2" w:fontKey="{FA13A60C-83C7-4664-874C-3F9D5CDA141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A81DC26-384D-430E-B26B-23AC65241B75}"/>
  </w:font>
  <w:font w:name="Symbol">
    <w:panose1 w:val="05050102010706020507"/>
    <w:charset w:val="02"/>
    <w:family w:val="roman"/>
    <w:pitch w:val="default"/>
    <w:sig w:usb0="00000000" w:usb1="00000000" w:usb2="00000000" w:usb3="00000000" w:csb0="80000000" w:csb1="00000000"/>
    <w:embedRegular r:id="rId4" w:fontKey="{B5E3CE67-7AA0-4DEE-B692-BA4C6CB626BE}"/>
  </w:font>
  <w:font w:name="Calibri">
    <w:panose1 w:val="020F0502020204030204"/>
    <w:charset w:val="00"/>
    <w:family w:val="swiss"/>
    <w:pitch w:val="default"/>
    <w:sig w:usb0="E4002EFF" w:usb1="C000247B" w:usb2="00000009" w:usb3="00000000" w:csb0="200001FF" w:csb1="00000000"/>
    <w:embedRegular r:id="rId5" w:fontKey="{B684CA1C-343C-4F92-ADC7-5387CA7680A7}"/>
  </w:font>
  <w:font w:name="方正黑体_GBK">
    <w:panose1 w:val="03000509000000000000"/>
    <w:charset w:val="86"/>
    <w:family w:val="script"/>
    <w:pitch w:val="default"/>
    <w:sig w:usb0="00000001" w:usb1="080E0000" w:usb2="00000000" w:usb3="00000000" w:csb0="00040000" w:csb1="00000000"/>
    <w:embedRegular r:id="rId6" w:fontKey="{ADA5A214-31D6-4887-8352-882E869992D3}"/>
  </w:font>
  <w:font w:name="方正小标宋简体">
    <w:panose1 w:val="03000509000000000000"/>
    <w:charset w:val="86"/>
    <w:family w:val="auto"/>
    <w:pitch w:val="default"/>
    <w:sig w:usb0="00000001" w:usb1="080E0000" w:usb2="00000000" w:usb3="00000000" w:csb0="00040000" w:csb1="00000000"/>
    <w:embedRegular r:id="rId7" w:fontKey="{EF51E9C4-F48B-40FF-8168-DB6E4C72615D}"/>
  </w:font>
  <w:font w:name="方正仿宋_GBK">
    <w:panose1 w:val="03000509000000000000"/>
    <w:charset w:val="86"/>
    <w:family w:val="script"/>
    <w:pitch w:val="default"/>
    <w:sig w:usb0="00000001" w:usb1="080E0000" w:usb2="00000000" w:usb3="00000000" w:csb0="00040000" w:csb1="00000000"/>
    <w:embedRegular r:id="rId8" w:fontKey="{18CC0CC7-2970-40D9-8280-C40DAF832BBF}"/>
  </w:font>
  <w:font w:name="仿宋_GB2312">
    <w:panose1 w:val="02010609030101010101"/>
    <w:charset w:val="86"/>
    <w:family w:val="modern"/>
    <w:pitch w:val="default"/>
    <w:sig w:usb0="00000001" w:usb1="080E0000" w:usb2="00000000" w:usb3="00000000" w:csb0="00040000" w:csb1="00000000"/>
    <w:embedRegular r:id="rId9" w:fontKey="{52EAD422-6162-47AD-BDA8-403CA6F0EA4B}"/>
  </w:font>
  <w:font w:name="FZFSK--GBK1-0">
    <w:altName w:val="宋体"/>
    <w:panose1 w:val="00000000000000000000"/>
    <w:charset w:val="86"/>
    <w:family w:val="auto"/>
    <w:pitch w:val="default"/>
    <w:sig w:usb0="00000000" w:usb1="00000000" w:usb2="00000000" w:usb3="00000000" w:csb0="00040000" w:csb1="00000000"/>
    <w:embedRegular r:id="rId10" w:fontKey="{026F29ED-C9F2-4B48-AA1C-283F66737B90}"/>
  </w:font>
  <w:font w:name="方正小标宋_GBK">
    <w:panose1 w:val="03000509000000000000"/>
    <w:charset w:val="86"/>
    <w:family w:val="script"/>
    <w:pitch w:val="default"/>
    <w:sig w:usb0="00000001" w:usb1="080E0000" w:usb2="00000000" w:usb3="00000000" w:csb0="00040000" w:csb1="00000000"/>
    <w:embedRegular r:id="rId11" w:fontKey="{99B9785E-B689-470F-A45F-1F786CAE65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8866" w:y="-563"/>
      <w:rPr>
        <w:rStyle w:val="10"/>
        <w:rFonts w:hint="eastAsia" w:ascii="宋体" w:hAnsi="宋体"/>
        <w:sz w:val="28"/>
        <w:szCs w:val="28"/>
      </w:rPr>
    </w:pPr>
    <w:r>
      <w:rPr>
        <w:rStyle w:val="10"/>
        <w:rFonts w:hint="eastAsia" w:ascii="宋体" w:hAnsi="宋体"/>
        <w:sz w:val="28"/>
        <w:szCs w:val="28"/>
      </w:rPr>
      <w:t xml:space="preserve">—  </w:t>
    </w: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1</w:t>
    </w:r>
    <w:r>
      <w:rPr>
        <w:rFonts w:ascii="宋体" w:hAnsi="宋体"/>
        <w:sz w:val="28"/>
        <w:szCs w:val="28"/>
      </w:rPr>
      <w:fldChar w:fldCharType="end"/>
    </w:r>
    <w:r>
      <w:rPr>
        <w:rStyle w:val="10"/>
        <w:rFonts w:hint="eastAsia" w:ascii="宋体" w:hAnsi="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Pr>
    </w:pPr>
    <w:r>
      <w:fldChar w:fldCharType="begin"/>
    </w:r>
    <w:r>
      <w:rPr>
        <w:rStyle w:val="10"/>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A41FA"/>
    <w:rsid w:val="000D508A"/>
    <w:rsid w:val="0013750B"/>
    <w:rsid w:val="00217D1D"/>
    <w:rsid w:val="002942CC"/>
    <w:rsid w:val="002D1FF8"/>
    <w:rsid w:val="002E2408"/>
    <w:rsid w:val="002F158D"/>
    <w:rsid w:val="003B2FA0"/>
    <w:rsid w:val="0048631D"/>
    <w:rsid w:val="00500798"/>
    <w:rsid w:val="005100E0"/>
    <w:rsid w:val="005C570B"/>
    <w:rsid w:val="005F5E90"/>
    <w:rsid w:val="0062343E"/>
    <w:rsid w:val="006A0629"/>
    <w:rsid w:val="00815503"/>
    <w:rsid w:val="00A37C8C"/>
    <w:rsid w:val="00BC28F0"/>
    <w:rsid w:val="00D1042D"/>
    <w:rsid w:val="00D11F31"/>
    <w:rsid w:val="00D202EB"/>
    <w:rsid w:val="00DC5809"/>
    <w:rsid w:val="00DD7A0D"/>
    <w:rsid w:val="00E15ACB"/>
    <w:rsid w:val="00EB027F"/>
    <w:rsid w:val="00EE3899"/>
    <w:rsid w:val="0A58187B"/>
    <w:rsid w:val="0F176EB9"/>
    <w:rsid w:val="118C3877"/>
    <w:rsid w:val="133F4B35"/>
    <w:rsid w:val="135A6566"/>
    <w:rsid w:val="15AB2B55"/>
    <w:rsid w:val="15FA41FA"/>
    <w:rsid w:val="19211314"/>
    <w:rsid w:val="1A914C51"/>
    <w:rsid w:val="1DCA5EC1"/>
    <w:rsid w:val="213B02AF"/>
    <w:rsid w:val="23722371"/>
    <w:rsid w:val="254459F1"/>
    <w:rsid w:val="2BD028E2"/>
    <w:rsid w:val="2C2A694D"/>
    <w:rsid w:val="2C5605DE"/>
    <w:rsid w:val="314F3D6B"/>
    <w:rsid w:val="331A4D22"/>
    <w:rsid w:val="33E810DB"/>
    <w:rsid w:val="372A479D"/>
    <w:rsid w:val="38D514C3"/>
    <w:rsid w:val="48985C6B"/>
    <w:rsid w:val="4F4E4145"/>
    <w:rsid w:val="512F4A2A"/>
    <w:rsid w:val="5C5014E2"/>
    <w:rsid w:val="5FFF590B"/>
    <w:rsid w:val="60AC02EF"/>
    <w:rsid w:val="634C3949"/>
    <w:rsid w:val="64F22C64"/>
    <w:rsid w:val="65681601"/>
    <w:rsid w:val="70D66DBE"/>
    <w:rsid w:val="7636190E"/>
    <w:rsid w:val="7BA87F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76" w:lineRule="auto"/>
      <w:outlineLvl w:val="0"/>
    </w:pPr>
    <w:rPr>
      <w:b/>
      <w:kern w:val="44"/>
      <w:sz w:val="44"/>
    </w:rPr>
  </w:style>
  <w:style w:type="paragraph" w:styleId="3">
    <w:name w:val="heading 2"/>
    <w:basedOn w:val="1"/>
    <w:next w:val="1"/>
    <w:qFormat/>
    <w:uiPriority w:val="9"/>
    <w:pPr>
      <w:keepNext/>
      <w:keepLines/>
      <w:spacing w:beforeLines="0" w:beforeAutospacing="0" w:afterLines="0" w:afterAutospacing="0" w:line="560" w:lineRule="exact"/>
      <w:outlineLvl w:val="1"/>
    </w:pPr>
    <w:rPr>
      <w:rFonts w:ascii="Arial" w:hAnsi="Arial" w:eastAsia="方正黑体_GBK"/>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7">
    <w:name w:val="Title"/>
    <w:basedOn w:val="1"/>
    <w:qFormat/>
    <w:uiPriority w:val="0"/>
    <w:pPr>
      <w:spacing w:before="240" w:after="60"/>
      <w:jc w:val="center"/>
      <w:outlineLvl w:val="0"/>
    </w:pPr>
    <w:rPr>
      <w:rFonts w:ascii="Arial" w:hAnsi="Arial"/>
      <w:b/>
      <w:sz w:val="32"/>
    </w:rPr>
  </w:style>
  <w:style w:type="character" w:styleId="10">
    <w:name w:val="page number"/>
    <w:basedOn w:val="9"/>
    <w:qFormat/>
    <w:uiPriority w:val="0"/>
    <w:rPr>
      <w:rFonts w:ascii="Times New Roman" w:hAnsi="Times New Roman" w:eastAsia="宋体" w:cs="Times New Roman"/>
    </w:rPr>
  </w:style>
  <w:style w:type="character" w:customStyle="1" w:styleId="11">
    <w:name w:val="NormalCharacter"/>
    <w:semiHidden/>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蕊ka蕊</cp:lastModifiedBy>
  <dcterms:modified xsi:type="dcterms:W3CDTF">2023-06-27T03:19:32Z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