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r>
        <w:rPr>
          <w:rFonts w:hint="eastAsia" w:ascii="仿宋" w:hAnsi="仿宋" w:eastAsia="仿宋" w:cs="仿宋"/>
          <w:sz w:val="44"/>
          <w:szCs w:val="44"/>
          <w:lang w:eastAsia="zh-CN"/>
        </w:rPr>
        <w:t>德宏州教育局</w:t>
      </w:r>
      <w:r>
        <w:rPr>
          <w:rFonts w:hint="eastAsia" w:ascii="仿宋" w:hAnsi="仿宋" w:eastAsia="仿宋" w:cs="仿宋"/>
          <w:sz w:val="44"/>
          <w:szCs w:val="44"/>
        </w:rPr>
        <w:t>部门</w:t>
      </w:r>
      <w:r>
        <w:rPr>
          <w:rFonts w:hint="eastAsia" w:ascii="仿宋" w:hAnsi="仿宋" w:eastAsia="仿宋" w:cs="仿宋"/>
          <w:sz w:val="44"/>
          <w:szCs w:val="44"/>
          <w:lang w:val="en-US" w:eastAsia="zh-CN"/>
        </w:rPr>
        <w:t>2017</w:t>
      </w:r>
      <w:r>
        <w:rPr>
          <w:rFonts w:hint="eastAsia" w:ascii="仿宋" w:hAnsi="仿宋" w:eastAsia="仿宋" w:cs="仿宋"/>
          <w:sz w:val="44"/>
          <w:szCs w:val="44"/>
        </w:rPr>
        <w:t>年度部门决算</w:t>
      </w:r>
    </w:p>
    <w:p>
      <w:pPr>
        <w:jc w:val="center"/>
        <w:rPr>
          <w:rFonts w:hint="eastAsia" w:ascii="仿宋" w:hAnsi="仿宋" w:eastAsia="仿宋" w:cs="仿宋"/>
          <w:sz w:val="44"/>
          <w:szCs w:val="44"/>
        </w:rPr>
      </w:pPr>
      <w:r>
        <w:rPr>
          <w:rFonts w:hint="eastAsia" w:ascii="仿宋" w:hAnsi="仿宋" w:eastAsia="仿宋" w:cs="仿宋"/>
          <w:sz w:val="44"/>
          <w:szCs w:val="44"/>
          <w:lang w:val="en-US" w:eastAsia="zh-CN"/>
        </w:rPr>
        <w:t>补充说明</w:t>
      </w:r>
    </w:p>
    <w:p>
      <w:pPr>
        <w:numPr>
          <w:ilvl w:val="0"/>
          <w:numId w:val="1"/>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决算收支增减变化情况说明</w:t>
      </w:r>
    </w:p>
    <w:p>
      <w:pPr>
        <w:widowControl/>
        <w:ind w:firstLine="480" w:firstLineChars="150"/>
        <w:jc w:val="left"/>
        <w:rPr>
          <w:rFonts w:hint="eastAsia" w:ascii="仿宋" w:hAnsi="仿宋" w:eastAsia="仿宋" w:cs="仿宋"/>
          <w:sz w:val="32"/>
          <w:szCs w:val="32"/>
          <w:lang w:val="en-US" w:eastAsia="zh-CN"/>
        </w:rPr>
      </w:pPr>
      <w:r>
        <w:rPr>
          <w:rFonts w:hint="eastAsia" w:ascii="仿宋" w:hAnsi="仿宋" w:eastAsia="仿宋" w:cs="仿宋"/>
          <w:kern w:val="0"/>
          <w:sz w:val="32"/>
          <w:szCs w:val="32"/>
        </w:rPr>
        <w:t>201</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年部门</w:t>
      </w:r>
      <w:r>
        <w:rPr>
          <w:rFonts w:hint="eastAsia" w:ascii="仿宋" w:hAnsi="仿宋" w:eastAsia="仿宋" w:cs="仿宋"/>
          <w:kern w:val="0"/>
          <w:sz w:val="32"/>
          <w:szCs w:val="32"/>
          <w:lang w:eastAsia="zh-CN"/>
        </w:rPr>
        <w:t>决</w:t>
      </w:r>
      <w:r>
        <w:rPr>
          <w:rFonts w:hint="eastAsia" w:ascii="仿宋" w:hAnsi="仿宋" w:eastAsia="仿宋" w:cs="仿宋"/>
          <w:kern w:val="0"/>
          <w:sz w:val="32"/>
          <w:szCs w:val="32"/>
        </w:rPr>
        <w:t>算总</w:t>
      </w:r>
      <w:r>
        <w:rPr>
          <w:rFonts w:hint="eastAsia" w:ascii="仿宋" w:hAnsi="仿宋" w:eastAsia="仿宋" w:cs="仿宋"/>
          <w:kern w:val="0"/>
          <w:sz w:val="32"/>
          <w:szCs w:val="32"/>
          <w:lang w:eastAsia="zh-CN"/>
        </w:rPr>
        <w:t>收入</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22644.48</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，比上年</w:t>
      </w:r>
      <w:r>
        <w:rPr>
          <w:rFonts w:hint="eastAsia" w:ascii="仿宋" w:hAnsi="仿宋" w:eastAsia="仿宋" w:cs="仿宋"/>
          <w:kern w:val="0"/>
          <w:sz w:val="32"/>
          <w:szCs w:val="32"/>
          <w:lang w:val="en-US" w:eastAsia="zh-CN"/>
        </w:rPr>
        <w:t>25423万元减少10.9%，主要原因是退休人员工资减少纳入社保发放。2017年部门决算总支出23204.4万元，比上年24712万元减少6%，主要原因是退休人员工资支出减少。</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二、名词解释</w:t>
      </w:r>
    </w:p>
    <w:p>
      <w:pPr>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收入科目</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）财政拨款收入：财政当年拨付的资金。</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）事业收入：指事业单位开展专业业务活动及辅助活动所取得的收入。</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）事业单位经营收入：指事业单位在专业业务活动及其辅助活动之外开展非独立核算经营活动取得的收入。</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）其他收入：指除上述“财政拨款收入”、“事业收入”、“事业单位经营收入”等以外的收入。主要是按规定动用的售房收入、存款利息收入等。</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）上年结转：指以前年度尚未完成、结转到本年仍按规定用途继续使用的资金。</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教育支出科目</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）教育管理事务：反映教育管理方面的支出。</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）普通教育：反映各类教育支出。</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）职业教育：反映各部门举办的各类职业教育支出。</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）成人教育：反映各部门举办函授、夜大、自学考试等成人教育的支出。</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）特殊教育：反映各部门举办的盲童学校、聋哑学校、智力落后儿童学校、其他生理缺陷儿童学校的支出。</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）进修及培训：反映教师进修及干部培训等方面的支出。</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）教育费附加安排的支出：反映用教育费附加安排的支出。</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）其他教育支出：反映除上述项目以外其他用于教育方面的支出。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三、重点绩效评价结果等预算绩效情况说明</w:t>
      </w:r>
    </w:p>
    <w:p>
      <w:pPr>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教育管理经费：</w:t>
      </w:r>
      <w:r>
        <w:rPr>
          <w:rFonts w:hint="eastAsia" w:ascii="方正仿宋_GBK" w:hAnsi="方正仿宋_GBK" w:eastAsia="方正仿宋_GBK" w:cs="方正仿宋_GBK"/>
          <w:kern w:val="0"/>
          <w:sz w:val="32"/>
          <w:szCs w:val="32"/>
          <w:lang w:val="en-US" w:eastAsia="zh-CN"/>
        </w:rPr>
        <w:t>2017年组织中小学（含幼儿园）教师信息技术能力提升全员培训1000人培训，德宏州中小学校管理骨干研修班培训；每年选派两批全州教育行政机关管理干部到上海、山东等教育先进地区培训、考察学习；州幼儿园、州民族初级中学、州民一中、州中等职业学校四个州级教育培训基地建设经费用于学校组织全州相关培训所需设施设备添置等费用；迎接高考改革及新教材运用培训经费等。</w:t>
      </w:r>
    </w:p>
    <w:p>
      <w:pPr>
        <w:ind w:firstLine="640" w:firstLineChars="200"/>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教育扶贫经费：在全面落实教育惠民政策的基础上，对全州建档立卡贫困户在幼儿园、高中及中职中专、大学及高职高专就读的学生，给予教育精准扶贫补助。实现教育精准扶贫覆盖全体建档立卡贫困户、覆盖从学前到大学教育全过程，确保建档立卡贫困户不因贫失学、不因学致贫，努力让每一名建档立卡贫困户学生完成职业（大学）教育后进入社会。</w:t>
      </w:r>
    </w:p>
    <w:p>
      <w:pPr>
        <w:widowControl/>
        <w:ind w:firstLine="640" w:firstLineChars="200"/>
        <w:jc w:val="left"/>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扶持学校发展经费：通过该项目的实施，完善校园环境的绿化美化的建设、促进校园文化的发展、建立健全的体育卫生和设施设备的购置。提高校园的整体育人功能，力增做到“优美环境育人”，用达标体育卫生设施增强学生体质。有利于陶冶学生的情操，丰富学生业余文化生活，增加学生体育活动设施，提高学生身体素质，让学生全面发展。</w:t>
      </w:r>
      <w:bookmarkStart w:id="0" w:name="_GoBack"/>
      <w:bookmarkEnd w:id="0"/>
    </w:p>
    <w:p>
      <w:pPr>
        <w:ind w:firstLine="640" w:firstLineChars="200"/>
        <w:rPr>
          <w:rFonts w:hint="eastAsia" w:ascii="方正仿宋_GBK" w:hAnsi="方正仿宋_GBK" w:eastAsia="方正仿宋_GBK" w:cs="方正仿宋_GBK"/>
          <w:kern w:val="0"/>
          <w:sz w:val="32"/>
          <w:szCs w:val="32"/>
          <w:lang w:val="en-US" w:eastAsia="zh-CN"/>
        </w:rPr>
      </w:pPr>
    </w:p>
    <w:p>
      <w:pPr>
        <w:ind w:firstLine="640" w:firstLineChars="200"/>
        <w:rPr>
          <w:rFonts w:hint="eastAsia" w:ascii="仿宋" w:hAnsi="仿宋" w:eastAsia="仿宋" w:cs="仿宋"/>
          <w:sz w:val="32"/>
          <w:szCs w:val="32"/>
          <w:lang w:eastAsia="zh-CN"/>
        </w:rPr>
      </w:pP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342B16"/>
    <w:multiLevelType w:val="singleLevel"/>
    <w:tmpl w:val="9F342B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91A3C"/>
    <w:rsid w:val="02D91A3C"/>
    <w:rsid w:val="08CB74A6"/>
    <w:rsid w:val="118847D4"/>
    <w:rsid w:val="15204B70"/>
    <w:rsid w:val="171A7679"/>
    <w:rsid w:val="18642F2E"/>
    <w:rsid w:val="1AA36201"/>
    <w:rsid w:val="291E7C43"/>
    <w:rsid w:val="2C721873"/>
    <w:rsid w:val="336E1472"/>
    <w:rsid w:val="37CD779D"/>
    <w:rsid w:val="3A625105"/>
    <w:rsid w:val="462C14B1"/>
    <w:rsid w:val="4ACA01AC"/>
    <w:rsid w:val="56AA497D"/>
    <w:rsid w:val="65714438"/>
    <w:rsid w:val="66D41B96"/>
    <w:rsid w:val="6A370D2D"/>
    <w:rsid w:val="72EE7D3A"/>
    <w:rsid w:val="799C16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FollowedHyperlink"/>
    <w:basedOn w:val="3"/>
    <w:qFormat/>
    <w:uiPriority w:val="0"/>
    <w:rPr>
      <w:color w:val="333333"/>
      <w:u w:val="none"/>
    </w:rPr>
  </w:style>
  <w:style w:type="character" w:styleId="5">
    <w:name w:val="Hyperlink"/>
    <w:basedOn w:val="3"/>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2019-01-31T05:21:00Z</dcterms:created>
  <dc:creator>Administrator</dc:creator>
  <cp:lastModifiedBy>Administrator</cp:lastModifiedBy>
  <dcterms:modified xsi:type="dcterms:W3CDTF">2019-02-22T08:25:19Z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