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德宏州特殊教育学校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2018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600" w:firstLineChars="200"/>
        <w:jc w:val="left"/>
        <w:rPr>
          <w:rFonts w:hint="eastAsia"/>
          <w:szCs w:val="30"/>
        </w:rPr>
      </w:pPr>
      <w:bookmarkStart w:id="0" w:name="_GoBack"/>
      <w:bookmarkEnd w:id="0"/>
      <w:r>
        <w:rPr>
          <w:rFonts w:hint="eastAsia" w:eastAsia="仿宋_GB2312"/>
          <w:kern w:val="0"/>
          <w:sz w:val="30"/>
          <w:szCs w:val="30"/>
        </w:rPr>
        <w:t>德宏州特殊教育学校是一所全寄宿制的特殊教育学校，主要对听力、语言和视力残疾儿童进行（实施）九年义务教育，对部分学生进行语言康复训练。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ind w:firstLine="600" w:firstLineChars="200"/>
        <w:jc w:val="left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德宏州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特殊教育学校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为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二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级预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算事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业单</w:t>
      </w: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位，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现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有编制35人，201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年有在编在职教职工35名，退休教职工3名，外聘人员14人（食堂工作人员4人、生活教师等10人），共18个教学班（7个培智班、6个聋班、2个盲班、1个语训班、2个职高班），共有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220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名在册</w:t>
      </w:r>
      <w:r>
        <w:rPr>
          <w:rFonts w:hint="eastAsia" w:eastAsia="仿宋_GB2312" w:cs="Times New Roman"/>
          <w:kern w:val="0"/>
          <w:sz w:val="30"/>
          <w:szCs w:val="30"/>
          <w:lang w:val="en-US" w:eastAsia="zh-CN" w:bidi="ar-SA"/>
        </w:rPr>
        <w:t>九年义务段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 w:bidi="ar-SA"/>
        </w:rPr>
        <w:t>各类残疾学生。</w:t>
      </w:r>
    </w:p>
    <w:p>
      <w:pPr>
        <w:widowControl/>
        <w:ind w:firstLine="300" w:firstLineChars="1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以习近平新时代中国特色社会主义思想为指导，深入学习</w:t>
      </w:r>
      <w:r>
        <w:rPr>
          <w:rFonts w:hint="eastAsia" w:eastAsia="仿宋_GB2312"/>
          <w:kern w:val="0"/>
          <w:sz w:val="30"/>
          <w:szCs w:val="30"/>
          <w:lang w:eastAsia="zh-CN"/>
        </w:rPr>
        <w:t>宣传</w:t>
      </w:r>
      <w:r>
        <w:rPr>
          <w:rFonts w:hint="eastAsia" w:eastAsia="仿宋_GB2312"/>
          <w:kern w:val="0"/>
          <w:sz w:val="30"/>
          <w:szCs w:val="30"/>
        </w:rPr>
        <w:t>党的十九大精神，全面贯彻党的教育方针，落实立德树人的根本任务，围绕教育教学质量核心和教书育人、服务育人、管理育人、环境育人要求，坚持以学校管理和学校党建“两个巩固”为抓手，进一步加强学校常规管理和党建工作。深入抓好学校基础设施规划和建设，校园安全、教师队伍建设、职业技能教育、学前教育、招生工作、送教上门等主要工作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德宏州特殊教育学校</w:t>
      </w:r>
      <w:r>
        <w:rPr>
          <w:rFonts w:eastAsia="仿宋_GB2312"/>
          <w:kern w:val="0"/>
          <w:sz w:val="30"/>
          <w:szCs w:val="30"/>
        </w:rPr>
        <w:t>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个；部分供给单位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个；特殊供给单位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个；自收自支单位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个。财政全供给单位中行政单位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个；非参公管理事业单位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个。截止2017年11月统计，部门基本情况如下：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</w:t>
      </w:r>
      <w:r>
        <w:rPr>
          <w:rFonts w:eastAsia="仿宋_GB2312"/>
          <w:kern w:val="0"/>
          <w:sz w:val="30"/>
          <w:szCs w:val="30"/>
        </w:rPr>
        <w:t xml:space="preserve">人，其中：行政编制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35</w:t>
      </w:r>
      <w:r>
        <w:rPr>
          <w:rFonts w:eastAsia="仿宋_GB2312"/>
          <w:kern w:val="0"/>
          <w:sz w:val="30"/>
          <w:szCs w:val="30"/>
        </w:rPr>
        <w:t>人，财政部分供养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离退休人员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</w:t>
      </w:r>
      <w:r>
        <w:rPr>
          <w:rFonts w:eastAsia="仿宋_GB2312"/>
          <w:kern w:val="0"/>
          <w:sz w:val="30"/>
          <w:szCs w:val="30"/>
        </w:rPr>
        <w:t xml:space="preserve">人，其中： 离休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 xml:space="preserve">人，退休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万元，事业单位经营收入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万元，其他收入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万元，上年结转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万元，专项收入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万元，执法办案补助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万元，收费成本补偿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万元，财政专户管理的收入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429.98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399.98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教育支出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349.79万元、社会保障和就业支出54.67万元、住房保障支出25.52万元。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，主要用于工资福利支出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390.4万元</w:t>
      </w:r>
      <w:r>
        <w:rPr>
          <w:rFonts w:eastAsia="仿宋_GB2312"/>
          <w:kern w:val="0"/>
          <w:sz w:val="30"/>
          <w:szCs w:val="30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360.4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</w:t>
      </w:r>
      <w:r>
        <w:rPr>
          <w:rFonts w:eastAsia="仿宋_GB2312"/>
          <w:kern w:val="0"/>
          <w:sz w:val="30"/>
          <w:szCs w:val="30"/>
        </w:rPr>
        <w:t>万元）</w:t>
      </w:r>
      <w:r>
        <w:rPr>
          <w:rFonts w:hint="eastAsia" w:eastAsia="仿宋_GB2312"/>
          <w:kern w:val="0"/>
          <w:sz w:val="30"/>
          <w:szCs w:val="30"/>
          <w:lang w:eastAsia="zh-CN"/>
        </w:rPr>
        <w:t>、商品和服务支出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10.03万元（</w:t>
      </w:r>
      <w:r>
        <w:rPr>
          <w:rFonts w:eastAsia="仿宋_GB2312"/>
          <w:kern w:val="0"/>
          <w:sz w:val="30"/>
          <w:szCs w:val="30"/>
        </w:rPr>
        <w:t>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10.03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）、对个人和家庭的补助29.55万元（</w:t>
      </w:r>
      <w:r>
        <w:rPr>
          <w:rFonts w:eastAsia="仿宋_GB2312"/>
          <w:kern w:val="0"/>
          <w:sz w:val="30"/>
          <w:szCs w:val="30"/>
        </w:rPr>
        <w:t>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29.55</w:t>
      </w:r>
      <w:r>
        <w:rPr>
          <w:rFonts w:eastAsia="仿宋_GB2312"/>
          <w:kern w:val="0"/>
          <w:sz w:val="30"/>
          <w:szCs w:val="30"/>
        </w:rPr>
        <w:t>万元，项目支出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</w:t>
      </w:r>
      <w:r>
        <w:rPr>
          <w:rFonts w:hint="eastAsia" w:eastAsia="仿宋_GB2312"/>
          <w:kern w:val="0"/>
          <w:sz w:val="30"/>
          <w:szCs w:val="30"/>
          <w:lang w:eastAsia="zh-CN"/>
        </w:rPr>
        <w:t>）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五、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州</w:t>
      </w:r>
      <w:r>
        <w:rPr>
          <w:rFonts w:ascii="黑体" w:hAnsi="黑体" w:eastAsia="黑体"/>
          <w:kern w:val="0"/>
          <w:sz w:val="30"/>
          <w:szCs w:val="30"/>
        </w:rPr>
        <w:t>对下</w:t>
      </w: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专项</w:t>
      </w:r>
      <w:r>
        <w:rPr>
          <w:rFonts w:ascii="黑体" w:hAnsi="黑体" w:eastAsia="黑体"/>
          <w:kern w:val="0"/>
          <w:sz w:val="30"/>
          <w:szCs w:val="30"/>
        </w:rPr>
        <w:t>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（一）列入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州</w:t>
      </w:r>
      <w:r>
        <w:rPr>
          <w:rFonts w:ascii="楷体_GB2312" w:eastAsia="楷体_GB2312"/>
          <w:kern w:val="0"/>
          <w:sz w:val="30"/>
          <w:szCs w:val="30"/>
        </w:rPr>
        <w:t>对下专项转移支付项目清单项目情况</w:t>
      </w:r>
    </w:p>
    <w:p>
      <w:pPr>
        <w:ind w:firstLine="1200" w:firstLineChars="400"/>
        <w:rPr>
          <w:rFonts w:hint="eastAsia"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本单位不涉及此项预算指标</w:t>
      </w:r>
    </w:p>
    <w:p>
      <w:pPr>
        <w:widowControl/>
        <w:numPr>
          <w:ilvl w:val="0"/>
          <w:numId w:val="1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与中央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、省</w:t>
      </w:r>
      <w:r>
        <w:rPr>
          <w:rFonts w:ascii="楷体_GB2312" w:eastAsia="楷体_GB2312"/>
          <w:kern w:val="0"/>
          <w:sz w:val="30"/>
          <w:szCs w:val="30"/>
        </w:rPr>
        <w:t>配套事项</w:t>
      </w:r>
    </w:p>
    <w:p>
      <w:pPr>
        <w:widowControl/>
        <w:numPr>
          <w:ilvl w:val="0"/>
          <w:numId w:val="0"/>
        </w:numPr>
        <w:ind w:firstLine="1800" w:firstLineChars="6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numPr>
          <w:ilvl w:val="0"/>
          <w:numId w:val="0"/>
        </w:numPr>
        <w:ind w:firstLine="301" w:firstLineChars="1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/>
          <w:b/>
          <w:kern w:val="0"/>
          <w:sz w:val="30"/>
          <w:szCs w:val="30"/>
        </w:rPr>
        <w:t>（</w:t>
      </w:r>
      <w:r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1800" w:firstLineChars="6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根据《中华人民共和国政府采购法》的有关规定，编制了政府采购预算，共涉及采购项目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个，采购预算资金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（本条主要填写</w:t>
      </w:r>
      <w:r>
        <w:rPr>
          <w:rFonts w:eastAsia="仿宋_GB2312"/>
          <w:kern w:val="0"/>
          <w:sz w:val="30"/>
          <w:szCs w:val="30"/>
        </w:rPr>
        <w:t>基本支出预算</w:t>
      </w:r>
      <w:r>
        <w:rPr>
          <w:rFonts w:hint="eastAsia" w:eastAsia="仿宋_GB2312"/>
          <w:kern w:val="0"/>
          <w:sz w:val="30"/>
          <w:szCs w:val="30"/>
        </w:rPr>
        <w:t>和</w:t>
      </w:r>
      <w:r>
        <w:rPr>
          <w:rFonts w:eastAsia="仿宋_GB2312"/>
          <w:kern w:val="0"/>
          <w:sz w:val="30"/>
          <w:szCs w:val="30"/>
        </w:rPr>
        <w:t>项目支出预算变动的主要原因</w:t>
      </w:r>
      <w:r>
        <w:rPr>
          <w:rFonts w:hint="eastAsia" w:eastAsia="仿宋_GB2312"/>
          <w:kern w:val="0"/>
          <w:sz w:val="30"/>
          <w:szCs w:val="30"/>
        </w:rPr>
        <w:t>）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我校</w:t>
      </w:r>
      <w:r>
        <w:rPr>
          <w:rFonts w:hint="eastAsia" w:eastAsia="仿宋_GB2312"/>
          <w:color w:val="auto"/>
          <w:kern w:val="0"/>
          <w:sz w:val="30"/>
          <w:szCs w:val="30"/>
        </w:rPr>
        <w:t>2017基本支出预算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363.75</w:t>
      </w:r>
      <w:r>
        <w:rPr>
          <w:rFonts w:hint="eastAsia" w:eastAsia="仿宋_GB2312"/>
          <w:color w:val="auto"/>
          <w:kern w:val="0"/>
          <w:sz w:val="30"/>
          <w:szCs w:val="30"/>
        </w:rPr>
        <w:t>万元，2018年基本支出预算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399.98</w:t>
      </w:r>
      <w:r>
        <w:rPr>
          <w:rFonts w:hint="eastAsia" w:eastAsia="仿宋_GB2312"/>
          <w:color w:val="auto"/>
          <w:kern w:val="0"/>
          <w:sz w:val="30"/>
          <w:szCs w:val="30"/>
        </w:rPr>
        <w:t>万元，2018年比2017年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36.23</w:t>
      </w:r>
      <w:r>
        <w:rPr>
          <w:rFonts w:hint="eastAsia" w:eastAsia="仿宋_GB2312"/>
          <w:color w:val="auto"/>
          <w:kern w:val="0"/>
          <w:sz w:val="30"/>
          <w:szCs w:val="30"/>
        </w:rPr>
        <w:t>万元，增减率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9.96</w:t>
      </w:r>
      <w:r>
        <w:rPr>
          <w:rFonts w:hint="eastAsia" w:eastAsia="仿宋_GB2312"/>
          <w:color w:val="auto"/>
          <w:kern w:val="0"/>
          <w:sz w:val="30"/>
          <w:szCs w:val="30"/>
        </w:rPr>
        <w:t>%，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0"/>
          <w:szCs w:val="30"/>
        </w:rPr>
        <w:t>原因是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2018年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增加了事业单位基本养老保险缴费支出预算。</w:t>
      </w:r>
    </w:p>
    <w:p>
      <w:pPr>
        <w:widowControl/>
        <w:numPr>
          <w:ilvl w:val="0"/>
          <w:numId w:val="2"/>
        </w:numPr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2017年项目支出预算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0</w:t>
      </w:r>
      <w:r>
        <w:rPr>
          <w:rFonts w:hint="eastAsia" w:eastAsia="仿宋_GB2312"/>
          <w:kern w:val="0"/>
          <w:sz w:val="30"/>
          <w:szCs w:val="30"/>
        </w:rPr>
        <w:t>万元，2018年项目支出预算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30</w:t>
      </w:r>
      <w:r>
        <w:rPr>
          <w:rFonts w:hint="eastAsia"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color w:val="auto"/>
          <w:kern w:val="0"/>
          <w:sz w:val="30"/>
          <w:szCs w:val="30"/>
        </w:rPr>
        <w:t>018年比2017年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30</w:t>
      </w:r>
      <w:r>
        <w:rPr>
          <w:rFonts w:hint="eastAsia" w:eastAsia="仿宋_GB2312"/>
          <w:color w:val="auto"/>
          <w:kern w:val="0"/>
          <w:sz w:val="30"/>
          <w:szCs w:val="30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增加</w:t>
      </w:r>
      <w:r>
        <w:rPr>
          <w:rFonts w:hint="eastAsia" w:eastAsia="仿宋_GB2312"/>
          <w:color w:val="auto"/>
          <w:kern w:val="0"/>
          <w:sz w:val="30"/>
          <w:szCs w:val="30"/>
        </w:rPr>
        <w:t>原因是</w:t>
      </w:r>
      <w:r>
        <w:rPr>
          <w:rFonts w:hint="eastAsia" w:eastAsia="仿宋_GB2312"/>
          <w:color w:val="auto"/>
          <w:kern w:val="0"/>
          <w:sz w:val="30"/>
          <w:szCs w:val="30"/>
          <w:lang w:val="en-US" w:eastAsia="zh-CN"/>
        </w:rPr>
        <w:t>2018年</w:t>
      </w:r>
      <w:r>
        <w:rPr>
          <w:rFonts w:hint="eastAsia" w:eastAsia="仿宋_GB2312"/>
          <w:color w:val="auto"/>
          <w:kern w:val="0"/>
          <w:sz w:val="30"/>
          <w:szCs w:val="30"/>
          <w:lang w:eastAsia="zh-CN"/>
        </w:rPr>
        <w:t>增加外聘人员经费预算</w:t>
      </w:r>
      <w:r>
        <w:rPr>
          <w:rFonts w:hint="eastAsia" w:eastAsia="仿宋_GB2312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八</w:t>
      </w:r>
      <w:r>
        <w:rPr>
          <w:rFonts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（一）专业名词解释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1．基本支出中人员经费包括工资福利支出和对个人和家庭的补助，日常公用支出包括商品和服务支出、资本性支出等人员经费以外的支出。</w:t>
      </w:r>
    </w:p>
    <w:p>
      <w:pPr>
        <w:widowControl/>
        <w:ind w:firstLine="600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．按照党中央、国务院有关文件及部门预算管理有关规定，“三公”经费包括因公出国（境）费、公务用车购置及运行维护费、公务接待费。其中：因公出国（境）费，指单位工作人员公务出国（境）的国际旅费、国外城市间交通费、住宿费、伙食费、培训费、公杂费等支出；公务用车购置费，指单位公务用车车辆购置支出（含车辆购置税）；公务用车运行维护费，指单位按规定保留的公务用车租用费、燃料费、维修费、过路过桥费、保险费、安全奖励费用等支出；公务用车指用于履行公务的机动车辆，包括省部级干部专车、一般公务用车和执法执勤用车；公务接待费，指单位按规定开支的各类公务接待（含外宾接待）费用。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  <w:lang w:eastAsia="zh-CN"/>
        </w:rPr>
      </w:pPr>
      <w:r>
        <w:rPr>
          <w:rFonts w:hint="eastAsia" w:eastAsia="仿宋_GB2312"/>
          <w:kern w:val="0"/>
          <w:sz w:val="30"/>
          <w:szCs w:val="30"/>
          <w:lang w:eastAsia="zh-CN"/>
        </w:rPr>
        <w:t>无</w:t>
      </w:r>
    </w:p>
    <w:p>
      <w:pPr>
        <w:widowControl/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鉴于截至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年12月31日的国有资产占有使用情况需在完成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年决算编制后才能统计汇总相关数据，因此，将在公开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年度部门决算时一并公开部门截至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2018</w:t>
      </w:r>
      <w:r>
        <w:rPr>
          <w:rFonts w:hint="eastAsia" w:eastAsia="仿宋_GB2312"/>
          <w:kern w:val="0"/>
          <w:sz w:val="30"/>
          <w:szCs w:val="30"/>
        </w:rPr>
        <w:t>年12月31日的国有资产占有使用情况。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B517A1"/>
    <w:multiLevelType w:val="singleLevel"/>
    <w:tmpl w:val="F8B517A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BCC2D58"/>
    <w:multiLevelType w:val="singleLevel"/>
    <w:tmpl w:val="2BCC2D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54C44FD"/>
    <w:rsid w:val="0C4A40E6"/>
    <w:rsid w:val="24464F5C"/>
    <w:rsid w:val="2599064A"/>
    <w:rsid w:val="2E695145"/>
    <w:rsid w:val="537E20A6"/>
    <w:rsid w:val="555D4E46"/>
    <w:rsid w:val="559E675B"/>
    <w:rsid w:val="734422DC"/>
    <w:rsid w:val="7E9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semiHidden/>
    <w:unhideWhenUsed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semiHidden/>
    <w:unhideWhenUsed/>
    <w:uiPriority w:val="0"/>
  </w:style>
  <w:style w:type="character" w:styleId="12">
    <w:name w:val="HTML Acronym"/>
    <w:basedOn w:val="8"/>
    <w:semiHidden/>
    <w:unhideWhenUsed/>
    <w:uiPriority w:val="0"/>
  </w:style>
  <w:style w:type="character" w:styleId="13">
    <w:name w:val="HTML Variable"/>
    <w:basedOn w:val="8"/>
    <w:semiHidden/>
    <w:unhideWhenUsed/>
    <w:uiPriority w:val="0"/>
  </w:style>
  <w:style w:type="character" w:styleId="14">
    <w:name w:val="Hyperlink"/>
    <w:basedOn w:val="8"/>
    <w:semiHidden/>
    <w:unhideWhenUsed/>
    <w:uiPriority w:val="0"/>
    <w:rPr>
      <w:color w:val="333333"/>
      <w:u w:val="none"/>
    </w:rPr>
  </w:style>
  <w:style w:type="character" w:styleId="15">
    <w:name w:val="HTML Code"/>
    <w:basedOn w:val="8"/>
    <w:semiHidden/>
    <w:unhideWhenUsed/>
    <w:uiPriority w:val="0"/>
    <w:rPr>
      <w:rFonts w:ascii="Courier New" w:hAnsi="Courier New"/>
      <w:sz w:val="20"/>
    </w:rPr>
  </w:style>
  <w:style w:type="character" w:styleId="16">
    <w:name w:val="annotation reference"/>
    <w:semiHidden/>
    <w:uiPriority w:val="0"/>
    <w:rPr>
      <w:sz w:val="21"/>
      <w:szCs w:val="21"/>
    </w:rPr>
  </w:style>
  <w:style w:type="character" w:styleId="17">
    <w:name w:val="HTML Cite"/>
    <w:basedOn w:val="8"/>
    <w:semiHidden/>
    <w:unhideWhenUsed/>
    <w:uiPriority w:val="0"/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hover"/>
    <w:basedOn w:val="8"/>
    <w:qFormat/>
    <w:uiPriority w:val="0"/>
    <w:rPr>
      <w:color w:val="1258AD"/>
      <w:u w:val="none"/>
      <w:bdr w:val="single" w:color="1156A3" w:sz="6" w:space="0"/>
    </w:rPr>
  </w:style>
  <w:style w:type="character" w:customStyle="1" w:styleId="21">
    <w:name w:val="jqr"/>
    <w:basedOn w:val="8"/>
    <w:qFormat/>
    <w:uiPriority w:val="0"/>
  </w:style>
  <w:style w:type="character" w:customStyle="1" w:styleId="22">
    <w:name w:val="traditional"/>
    <w:basedOn w:val="8"/>
    <w:qFormat/>
    <w:uiPriority w:val="0"/>
  </w:style>
  <w:style w:type="character" w:customStyle="1" w:styleId="23">
    <w:name w:val="barrier"/>
    <w:basedOn w:val="8"/>
    <w:uiPriority w:val="0"/>
  </w:style>
  <w:style w:type="character" w:customStyle="1" w:styleId="24">
    <w:name w:val="map"/>
    <w:basedOn w:val="8"/>
    <w:qFormat/>
    <w:uiPriority w:val="0"/>
  </w:style>
  <w:style w:type="character" w:customStyle="1" w:styleId="25">
    <w:name w:val="eng"/>
    <w:basedOn w:val="8"/>
    <w:qFormat/>
    <w:uiPriority w:val="0"/>
  </w:style>
  <w:style w:type="character" w:customStyle="1" w:styleId="26">
    <w:name w:val="layui-this"/>
    <w:basedOn w:val="8"/>
    <w:uiPriority w:val="0"/>
    <w:rPr>
      <w:bdr w:val="single" w:color="EEEEEE" w:sz="6" w:space="0"/>
      <w:shd w:val="clear" w:fill="FFFFFF"/>
    </w:rPr>
  </w:style>
  <w:style w:type="character" w:customStyle="1" w:styleId="27">
    <w:name w:val="blueicon"/>
    <w:basedOn w:val="8"/>
    <w:uiPriority w:val="0"/>
    <w:rPr>
      <w:shd w:val="clear" w:fill="0066CC"/>
    </w:rPr>
  </w:style>
  <w:style w:type="character" w:customStyle="1" w:styleId="28">
    <w:name w:val="first-child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ScaleCrop>false</ScaleCrop>
  <LinksUpToDate>false</LinksUpToDate>
  <CharactersWithSpaces>1196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杨翠明（诚招翡翠微商代理）</cp:lastModifiedBy>
  <cp:lastPrinted>2018-01-31T03:32:00Z</cp:lastPrinted>
  <dcterms:modified xsi:type="dcterms:W3CDTF">2018-03-09T03:29:53Z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