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2"/>
        <w:pBdr/>
        <w:spacing w:line="620" w:lineRule="exact"/>
        <w:ind/>
        <w:rPr>
          <w:rFonts w:ascii="仿宋_GB2312" w:hAnsi="仿宋_GB2312" w:eastAsia="仿宋_GB2312"/>
          <w:sz w:val="32"/>
          <w:szCs w:val="32"/>
        </w:rPr>
      </w:pPr>
      <w:r>
        <w:rPr>
          <w:rFonts w:hint="eastAsia" w:ascii="仿宋_GB2312" w:hAnsi="仿宋_GB2312" w:eastAsia="仿宋_GB2312"/>
          <w:sz w:val="32"/>
          <w:szCs w:val="32"/>
        </w:rPr>
        <w:t xml:space="preserve">附件</w:t>
      </w:r>
      <w:r>
        <w:rPr>
          <w:rFonts w:hint="eastAsia" w:ascii="仿宋_GB2312" w:hAnsi="仿宋_GB2312" w:eastAsia="仿宋_GB2312"/>
          <w:sz w:val="32"/>
          <w:szCs w:val="32"/>
        </w:rPr>
        <w:t xml:space="preserve">9</w:t>
      </w:r>
      <w:r>
        <w:rPr>
          <w:rFonts w:hint="eastAsia" w:ascii="仿宋_GB2312" w:hAnsi="仿宋_GB2312" w:eastAsia="仿宋_GB2312"/>
          <w:sz w:val="32"/>
          <w:szCs w:val="32"/>
        </w:rPr>
        <w:t xml:space="preserve">：</w:t>
      </w:r>
      <w:r>
        <w:rPr>
          <w:rFonts w:ascii="仿宋_GB2312" w:hAnsi="仿宋_GB2312" w:eastAsia="仿宋_GB2312"/>
          <w:sz w:val="32"/>
          <w:szCs w:val="32"/>
        </w:rPr>
      </w:r>
      <w:r>
        <w:rPr>
          <w:rFonts w:ascii="仿宋_GB2312" w:hAnsi="仿宋_GB2312" w:eastAsia="仿宋_GB2312"/>
          <w:sz w:val="32"/>
          <w:szCs w:val="32"/>
        </w:rPr>
      </w:r>
    </w:p>
    <w:p>
      <w:pPr>
        <w:pStyle w:val="662"/>
        <w:pBdr/>
        <w:spacing w:line="620" w:lineRule="exact"/>
        <w:ind/>
        <w:jc w:val="center"/>
        <w:rPr>
          <w:rFonts w:hint="eastAsia" w:ascii="宋体" w:hAnsi="宋体"/>
          <w:b/>
          <w:sz w:val="44"/>
          <w:szCs w:val="44"/>
        </w:rPr>
      </w:pPr>
      <w:r>
        <w:rPr>
          <w:rFonts w:hint="eastAsia" w:ascii="宋体" w:hAnsi="宋体"/>
          <w:b/>
          <w:sz w:val="44"/>
          <w:szCs w:val="44"/>
        </w:rPr>
      </w:r>
      <w:r>
        <w:rPr>
          <w:rFonts w:hint="eastAsia" w:ascii="宋体" w:hAnsi="宋体"/>
          <w:b/>
          <w:sz w:val="44"/>
          <w:szCs w:val="44"/>
        </w:rPr>
      </w:r>
    </w:p>
    <w:p>
      <w:pPr>
        <w:pStyle w:val="662"/>
        <w:pBdr/>
        <w:spacing w:line="620" w:lineRule="exact"/>
        <w:ind/>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 xml:space="preserve">德宏州交通运输局201</w:t>
      </w:r>
      <w:r>
        <w:rPr>
          <w:rFonts w:hint="eastAsia" w:ascii="方正小标宋简体" w:hAnsi="宋体" w:eastAsia="方正小标宋简体"/>
          <w:sz w:val="36"/>
          <w:szCs w:val="36"/>
        </w:rPr>
        <w:t xml:space="preserve">7</w:t>
      </w:r>
      <w:r>
        <w:rPr>
          <w:rFonts w:hint="eastAsia" w:ascii="方正小标宋简体" w:hAnsi="宋体" w:eastAsia="方正小标宋简体"/>
          <w:sz w:val="36"/>
          <w:szCs w:val="36"/>
        </w:rPr>
        <w:t xml:space="preserve">年</w:t>
      </w:r>
      <w:r>
        <w:rPr>
          <w:rFonts w:hint="eastAsia" w:ascii="方正小标宋简体" w:hAnsi="宋体" w:eastAsia="方正小标宋简体"/>
          <w:sz w:val="36"/>
          <w:szCs w:val="36"/>
        </w:rPr>
        <w:t xml:space="preserve">财政拨款“三公”</w:t>
      </w:r>
      <w:r>
        <w:rPr>
          <w:rFonts w:hint="eastAsia" w:ascii="方正小标宋简体" w:hAnsi="宋体" w:eastAsia="方正小标宋简体"/>
          <w:sz w:val="36"/>
          <w:szCs w:val="36"/>
        </w:rPr>
      </w:r>
      <w:r>
        <w:rPr>
          <w:rFonts w:hint="eastAsia" w:ascii="方正小标宋简体" w:hAnsi="宋体" w:eastAsia="方正小标宋简体"/>
          <w:sz w:val="36"/>
          <w:szCs w:val="36"/>
        </w:rPr>
      </w:r>
    </w:p>
    <w:p>
      <w:pPr>
        <w:pStyle w:val="662"/>
        <w:pBdr/>
        <w:spacing w:line="620" w:lineRule="exact"/>
        <w:ind/>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 xml:space="preserve">经费预算情况说明</w:t>
      </w:r>
      <w:r>
        <w:rPr>
          <w:rFonts w:hint="eastAsia" w:ascii="方正小标宋简体" w:hAnsi="宋体" w:eastAsia="方正小标宋简体"/>
          <w:sz w:val="36"/>
          <w:szCs w:val="36"/>
        </w:rPr>
      </w:r>
    </w:p>
    <w:p>
      <w:pPr>
        <w:pStyle w:val="662"/>
        <w:pBdr/>
        <w:spacing w:line="620" w:lineRule="exact"/>
        <w:ind w:firstLine="640"/>
        <w:rPr>
          <w:rFonts w:ascii="仿宋_GB2312" w:eastAsia="仿宋_GB2312"/>
          <w:sz w:val="32"/>
          <w:szCs w:val="32"/>
        </w:rPr>
      </w:pPr>
      <w:r>
        <w:rPr>
          <w:rFonts w:ascii="仿宋_GB2312" w:eastAsia="仿宋_GB2312"/>
          <w:sz w:val="32"/>
          <w:szCs w:val="32"/>
        </w:rPr>
      </w:r>
      <w:r>
        <w:rPr>
          <w:rFonts w:ascii="仿宋_GB2312" w:eastAsia="仿宋_GB2312"/>
          <w:sz w:val="32"/>
          <w:szCs w:val="32"/>
        </w:rPr>
      </w:r>
    </w:p>
    <w:p>
      <w:pPr>
        <w:pStyle w:val="662"/>
        <w:pBdr/>
        <w:spacing w:line="620" w:lineRule="exact"/>
        <w:ind w:firstLine="640"/>
        <w:rPr>
          <w:rFonts w:ascii="仿宋_GB2312" w:eastAsia="仿宋_GB2312"/>
          <w:sz w:val="32"/>
          <w:szCs w:val="32"/>
        </w:rPr>
      </w:pPr>
      <w:r>
        <w:rPr>
          <w:rFonts w:hint="eastAsia" w:ascii="仿宋_GB2312" w:eastAsia="仿宋_GB2312"/>
          <w:sz w:val="32"/>
          <w:szCs w:val="32"/>
        </w:rPr>
        <w:t xml:space="preserve">德宏州交通运输局</w:t>
      </w:r>
      <w:r>
        <w:rPr>
          <w:rFonts w:hint="eastAsia" w:ascii="仿宋_GB2312" w:eastAsia="仿宋_GB2312"/>
          <w:sz w:val="32"/>
          <w:szCs w:val="32"/>
        </w:rPr>
        <w:t xml:space="preserve">财政拨款“三公”经费预算</w:t>
      </w:r>
      <w:r>
        <w:rPr>
          <w:rFonts w:hint="eastAsia" w:ascii="仿宋_GB2312" w:eastAsia="仿宋_GB2312"/>
          <w:sz w:val="32"/>
          <w:szCs w:val="32"/>
        </w:rPr>
        <w:t xml:space="preserve">201</w:t>
      </w:r>
      <w:r>
        <w:rPr>
          <w:rFonts w:hint="eastAsia" w:ascii="仿宋_GB2312" w:eastAsia="仿宋_GB2312"/>
          <w:sz w:val="32"/>
          <w:szCs w:val="32"/>
        </w:rPr>
        <w:t xml:space="preserve">7</w:t>
      </w:r>
      <w:r>
        <w:rPr>
          <w:rFonts w:hint="eastAsia" w:ascii="仿宋_GB2312" w:eastAsia="仿宋_GB2312"/>
          <w:sz w:val="32"/>
          <w:szCs w:val="32"/>
        </w:rPr>
        <w:t xml:space="preserve">年情况如下：</w:t>
      </w:r>
      <w:r>
        <w:rPr>
          <w:rFonts w:ascii="仿宋_GB2312" w:eastAsia="仿宋_GB2312"/>
          <w:sz w:val="32"/>
          <w:szCs w:val="32"/>
        </w:rPr>
      </w:r>
      <w:r>
        <w:rPr>
          <w:rFonts w:ascii="仿宋_GB2312" w:eastAsia="仿宋_GB2312"/>
          <w:sz w:val="32"/>
          <w:szCs w:val="32"/>
        </w:rPr>
      </w:r>
    </w:p>
    <w:p>
      <w:pPr>
        <w:pStyle w:val="662"/>
        <w:pBdr/>
        <w:spacing w:line="620" w:lineRule="exact"/>
        <w:ind w:firstLine="640"/>
        <w:rPr>
          <w:rFonts w:hint="eastAsia" w:ascii="黑体" w:eastAsia="黑体"/>
          <w:sz w:val="32"/>
          <w:szCs w:val="32"/>
        </w:rPr>
      </w:pPr>
      <w:r>
        <w:rPr>
          <w:rFonts w:hint="eastAsia" w:ascii="黑体" w:eastAsia="黑体"/>
          <w:sz w:val="32"/>
          <w:szCs w:val="32"/>
        </w:rPr>
        <w:t xml:space="preserve">一、因公出国（境）经费</w:t>
      </w:r>
      <w:r>
        <w:rPr>
          <w:rFonts w:hint="eastAsia" w:ascii="黑体" w:eastAsia="黑体"/>
          <w:sz w:val="32"/>
          <w:szCs w:val="32"/>
        </w:rPr>
      </w:r>
    </w:p>
    <w:p>
      <w:pPr>
        <w:pStyle w:val="662"/>
        <w:pBdr/>
        <w:spacing w:line="620" w:lineRule="exact"/>
        <w:ind w:firstLine="640"/>
        <w:rPr>
          <w:rFonts w:hint="eastAsia" w:ascii="仿宋_GB2312" w:eastAsia="仿宋_GB2312"/>
          <w:sz w:val="32"/>
          <w:szCs w:val="32"/>
        </w:rPr>
      </w:pPr>
      <w:r>
        <w:rPr>
          <w:rFonts w:hint="eastAsia" w:ascii="仿宋_GB2312" w:eastAsia="仿宋_GB2312"/>
          <w:sz w:val="32"/>
          <w:szCs w:val="32"/>
        </w:rPr>
        <w:t xml:space="preserve">201</w:t>
      </w:r>
      <w:r>
        <w:rPr>
          <w:rFonts w:hint="eastAsia" w:ascii="仿宋_GB2312" w:eastAsia="仿宋_GB2312"/>
          <w:sz w:val="32"/>
          <w:szCs w:val="32"/>
        </w:rPr>
        <w:t xml:space="preserve">7</w:t>
      </w:r>
      <w:r>
        <w:rPr>
          <w:rFonts w:hint="eastAsia" w:ascii="仿宋_GB2312" w:eastAsia="仿宋_GB2312"/>
          <w:sz w:val="32"/>
          <w:szCs w:val="32"/>
        </w:rPr>
        <w:t xml:space="preserve">年</w:t>
      </w:r>
      <w:r>
        <w:rPr>
          <w:rFonts w:hint="eastAsia" w:ascii="仿宋_GB2312" w:eastAsia="仿宋_GB2312"/>
          <w:sz w:val="32"/>
          <w:szCs w:val="32"/>
        </w:rPr>
        <w:t xml:space="preserve">德宏州交通运输局没有计划</w:t>
      </w:r>
      <w:r>
        <w:rPr>
          <w:rFonts w:hint="eastAsia" w:ascii="仿宋_GB2312" w:eastAsia="仿宋_GB2312"/>
          <w:sz w:val="32"/>
          <w:szCs w:val="32"/>
        </w:rPr>
        <w:t xml:space="preserve">出国（境）</w:t>
      </w:r>
      <w:r>
        <w:rPr>
          <w:rFonts w:hint="eastAsia" w:ascii="仿宋_GB2312" w:eastAsia="仿宋_GB2312"/>
          <w:sz w:val="32"/>
          <w:szCs w:val="32"/>
        </w:rPr>
        <w:t xml:space="preserve">工作，没有安排</w:t>
      </w:r>
      <w:r>
        <w:rPr>
          <w:rFonts w:hint="eastAsia" w:ascii="仿宋_GB2312" w:eastAsia="仿宋_GB2312"/>
          <w:sz w:val="32"/>
          <w:szCs w:val="32"/>
        </w:rPr>
        <w:t xml:space="preserve">经费预算</w:t>
      </w:r>
      <w:r>
        <w:rPr>
          <w:rFonts w:hint="eastAsia" w:ascii="仿宋_GB2312" w:eastAsia="仿宋_GB2312"/>
          <w:sz w:val="32"/>
          <w:szCs w:val="32"/>
        </w:rPr>
        <w:t xml:space="preserve">。</w:t>
      </w:r>
      <w:r>
        <w:rPr>
          <w:rFonts w:hint="eastAsia" w:ascii="仿宋_GB2312" w:eastAsia="仿宋_GB2312"/>
          <w:sz w:val="32"/>
          <w:szCs w:val="32"/>
        </w:rPr>
      </w:r>
      <w:r>
        <w:rPr>
          <w:rFonts w:hint="eastAsia" w:ascii="仿宋_GB2312" w:eastAsia="仿宋_GB2312"/>
          <w:sz w:val="32"/>
          <w:szCs w:val="32"/>
        </w:rPr>
      </w:r>
    </w:p>
    <w:p>
      <w:pPr>
        <w:pStyle w:val="662"/>
        <w:pBdr/>
        <w:spacing w:line="620" w:lineRule="exact"/>
        <w:ind w:firstLine="640"/>
        <w:rPr>
          <w:rFonts w:ascii="黑体" w:eastAsia="黑体"/>
          <w:sz w:val="32"/>
          <w:szCs w:val="32"/>
        </w:rPr>
      </w:pPr>
      <w:r>
        <w:rPr>
          <w:rFonts w:hint="eastAsia" w:ascii="黑体" w:eastAsia="黑体"/>
          <w:sz w:val="32"/>
          <w:szCs w:val="32"/>
        </w:rPr>
        <w:t xml:space="preserve">二、公务接待费</w:t>
      </w:r>
      <w:r>
        <w:rPr>
          <w:rFonts w:ascii="黑体" w:eastAsia="黑体"/>
          <w:sz w:val="32"/>
          <w:szCs w:val="32"/>
        </w:rPr>
      </w:r>
      <w:r>
        <w:rPr>
          <w:rFonts w:ascii="黑体" w:eastAsia="黑体"/>
          <w:sz w:val="32"/>
          <w:szCs w:val="32"/>
        </w:rPr>
      </w:r>
    </w:p>
    <w:p>
      <w:pPr>
        <w:pStyle w:val="662"/>
        <w:pBdr/>
        <w:spacing w:line="620" w:lineRule="exact"/>
        <w:ind w:firstLine="640"/>
        <w:rPr>
          <w:rFonts w:hint="eastAsia" w:ascii="仿宋_GB2312" w:eastAsia="仿宋_GB2312"/>
          <w:sz w:val="32"/>
          <w:szCs w:val="32"/>
        </w:rPr>
      </w:pPr>
      <w:r>
        <w:rPr>
          <w:rFonts w:hint="eastAsia" w:ascii="仿宋_GB2312" w:eastAsia="仿宋_GB2312"/>
          <w:sz w:val="32"/>
          <w:szCs w:val="32"/>
        </w:rPr>
        <w:t xml:space="preserve">201</w:t>
      </w:r>
      <w:r>
        <w:rPr>
          <w:rFonts w:hint="eastAsia" w:ascii="仿宋_GB2312" w:eastAsia="仿宋_GB2312"/>
          <w:sz w:val="32"/>
          <w:szCs w:val="32"/>
        </w:rPr>
        <w:t xml:space="preserve">7</w:t>
      </w:r>
      <w:r>
        <w:rPr>
          <w:rFonts w:hint="eastAsia" w:ascii="仿宋_GB2312" w:eastAsia="仿宋_GB2312"/>
          <w:sz w:val="32"/>
          <w:szCs w:val="32"/>
        </w:rPr>
        <w:t xml:space="preserve">年</w:t>
      </w:r>
      <w:r>
        <w:rPr>
          <w:rFonts w:hint="eastAsia" w:ascii="仿宋_GB2312" w:eastAsia="仿宋_GB2312"/>
          <w:sz w:val="32"/>
          <w:szCs w:val="32"/>
        </w:rPr>
        <w:t xml:space="preserve">德宏州交通运输局</w:t>
      </w:r>
      <w:r>
        <w:rPr>
          <w:rFonts w:hint="eastAsia" w:ascii="仿宋_GB2312" w:eastAsia="仿宋_GB2312"/>
          <w:sz w:val="32"/>
          <w:szCs w:val="32"/>
        </w:rPr>
        <w:t xml:space="preserve">拟</w:t>
      </w:r>
      <w:r>
        <w:rPr>
          <w:rFonts w:hint="eastAsia" w:ascii="仿宋_GB2312" w:eastAsia="仿宋_GB2312"/>
          <w:sz w:val="32"/>
          <w:szCs w:val="32"/>
        </w:rPr>
        <w:t xml:space="preserve">安排公务接待费预算</w:t>
      </w:r>
      <w:r>
        <w:rPr>
          <w:rFonts w:hint="eastAsia" w:ascii="仿宋_GB2312" w:eastAsia="仿宋_GB2312"/>
          <w:sz w:val="32"/>
          <w:szCs w:val="32"/>
        </w:rPr>
        <w:t xml:space="preserve">14</w:t>
      </w:r>
      <w:r>
        <w:rPr>
          <w:rFonts w:hint="eastAsia" w:ascii="仿宋_GB2312" w:eastAsia="仿宋_GB2312"/>
          <w:sz w:val="32"/>
          <w:szCs w:val="32"/>
        </w:rPr>
        <w:t xml:space="preserve">万元</w:t>
      </w:r>
      <w:r>
        <w:rPr>
          <w:rFonts w:hint="eastAsia" w:ascii="仿宋_GB2312" w:eastAsia="仿宋_GB2312"/>
          <w:sz w:val="32"/>
          <w:szCs w:val="32"/>
        </w:rPr>
        <w:t xml:space="preserve">，</w:t>
      </w:r>
      <w:r>
        <w:rPr>
          <w:rFonts w:hint="eastAsia" w:ascii="仿宋_GB2312" w:eastAsia="仿宋_GB2312"/>
          <w:sz w:val="32"/>
          <w:szCs w:val="32"/>
        </w:rPr>
        <w:t xml:space="preserve">主要用于交通运输部和省直部门到德宏调研指导工作、省内州市交通运输部门工作经验交流</w:t>
      </w:r>
      <w:r>
        <w:rPr>
          <w:rFonts w:hint="eastAsia" w:ascii="仿宋_GB2312" w:eastAsia="仿宋_GB2312"/>
          <w:sz w:val="32"/>
          <w:szCs w:val="32"/>
        </w:rPr>
        <w:t xml:space="preserve">及保障</w:t>
      </w:r>
      <w:r>
        <w:rPr>
          <w:rFonts w:hint="eastAsia" w:ascii="仿宋_GB2312" w:eastAsia="仿宋_GB2312"/>
          <w:sz w:val="32"/>
          <w:szCs w:val="32"/>
        </w:rPr>
        <w:t xml:space="preserve">加快交通运输基础设施建设，强化公路管理养护和行业监管等工作</w:t>
      </w:r>
      <w:r>
        <w:rPr>
          <w:rFonts w:hint="eastAsia" w:ascii="仿宋_GB2312" w:eastAsia="仿宋_GB2312"/>
          <w:sz w:val="32"/>
          <w:szCs w:val="32"/>
        </w:rPr>
        <w:t xml:space="preserve">产生的费用。</w:t>
      </w:r>
      <w:r>
        <w:rPr>
          <w:rFonts w:hint="eastAsia" w:ascii="仿宋_GB2312" w:eastAsia="仿宋_GB2312"/>
          <w:sz w:val="32"/>
          <w:szCs w:val="32"/>
        </w:rPr>
      </w:r>
    </w:p>
    <w:p>
      <w:pPr>
        <w:pStyle w:val="662"/>
        <w:pBdr/>
        <w:spacing w:line="620" w:lineRule="exact"/>
        <w:ind w:firstLine="640"/>
        <w:rPr>
          <w:rFonts w:hint="eastAsia" w:ascii="仿宋_GB2312" w:eastAsia="仿宋_GB2312"/>
          <w:sz w:val="32"/>
          <w:szCs w:val="32"/>
        </w:rPr>
      </w:pPr>
      <w:r>
        <w:rPr>
          <w:rFonts w:hint="eastAsia" w:ascii="仿宋_GB2312" w:eastAsia="仿宋_GB2312"/>
          <w:sz w:val="32"/>
          <w:szCs w:val="32"/>
        </w:rPr>
        <w:t xml:space="preserve">比201</w:t>
      </w:r>
      <w:r>
        <w:rPr>
          <w:rFonts w:hint="eastAsia" w:ascii="仿宋_GB2312" w:eastAsia="仿宋_GB2312"/>
          <w:sz w:val="32"/>
          <w:szCs w:val="32"/>
        </w:rPr>
        <w:t xml:space="preserve">6</w:t>
      </w:r>
      <w:r>
        <w:rPr>
          <w:rFonts w:hint="eastAsia" w:ascii="仿宋_GB2312" w:eastAsia="仿宋_GB2312"/>
          <w:sz w:val="32"/>
          <w:szCs w:val="32"/>
        </w:rPr>
        <w:t xml:space="preserve">年预算</w:t>
      </w:r>
      <w:r>
        <w:rPr>
          <w:rFonts w:hint="eastAsia" w:ascii="仿宋_GB2312" w:eastAsia="仿宋_GB2312"/>
          <w:sz w:val="32"/>
          <w:szCs w:val="32"/>
        </w:rPr>
        <w:t xml:space="preserve">增加13</w:t>
      </w:r>
      <w:r>
        <w:rPr>
          <w:rFonts w:hint="eastAsia" w:ascii="仿宋_GB2312" w:eastAsia="仿宋_GB2312"/>
          <w:sz w:val="32"/>
          <w:szCs w:val="32"/>
        </w:rPr>
        <w:t xml:space="preserve">万元，</w:t>
      </w:r>
      <w:r>
        <w:rPr>
          <w:rFonts w:hint="eastAsia" w:ascii="仿宋_GB2312" w:eastAsia="仿宋_GB2312"/>
          <w:sz w:val="32"/>
          <w:szCs w:val="32"/>
        </w:rPr>
        <w:t xml:space="preserve">增加</w:t>
      </w:r>
      <w:r>
        <w:rPr>
          <w:rFonts w:hint="eastAsia" w:ascii="仿宋_GB2312" w:eastAsia="仿宋_GB2312"/>
          <w:sz w:val="32"/>
          <w:szCs w:val="32"/>
        </w:rPr>
        <w:t xml:space="preserve">原因为</w:t>
      </w:r>
      <w:r>
        <w:rPr>
          <w:rFonts w:hint="eastAsia" w:ascii="仿宋_GB2312" w:eastAsia="仿宋_GB2312"/>
          <w:sz w:val="32"/>
          <w:szCs w:val="32"/>
        </w:rPr>
        <w:t xml:space="preserve">国家加大对沿边地区、中缅国际大通道等交通运输的发展，交通运输管理工作日益繁重</w:t>
      </w:r>
      <w:r>
        <w:rPr>
          <w:rFonts w:hint="eastAsia" w:ascii="仿宋_GB2312" w:eastAsia="仿宋_GB2312"/>
          <w:sz w:val="32"/>
          <w:szCs w:val="32"/>
        </w:rPr>
        <w:t xml:space="preserve">。</w:t>
      </w:r>
      <w:r>
        <w:rPr>
          <w:rFonts w:hint="eastAsia" w:ascii="仿宋_GB2312" w:eastAsia="仿宋_GB2312"/>
          <w:sz w:val="32"/>
          <w:szCs w:val="32"/>
        </w:rPr>
        <w:t xml:space="preserve">为保障</w:t>
      </w:r>
      <w:r>
        <w:rPr>
          <w:rFonts w:hint="eastAsia" w:ascii="仿宋_GB2312" w:eastAsia="仿宋_GB2312"/>
          <w:sz w:val="32"/>
          <w:szCs w:val="32"/>
        </w:rPr>
        <w:t xml:space="preserve">加快交通运输基础设施建设，强化公路管理养护和行业监管等工作</w:t>
      </w:r>
      <w:r>
        <w:rPr>
          <w:rFonts w:hint="eastAsia" w:ascii="仿宋_GB2312" w:eastAsia="仿宋_GB2312"/>
          <w:sz w:val="32"/>
          <w:szCs w:val="32"/>
        </w:rPr>
        <w:t xml:space="preserve">产生的费用</w:t>
      </w:r>
      <w:r>
        <w:rPr>
          <w:rFonts w:hint="eastAsia" w:ascii="仿宋_GB2312" w:eastAsia="仿宋_GB2312"/>
          <w:sz w:val="32"/>
          <w:szCs w:val="32"/>
        </w:rPr>
        <w:t xml:space="preserve">。</w:t>
      </w:r>
      <w:r>
        <w:rPr>
          <w:rFonts w:hint="eastAsia" w:ascii="仿宋_GB2312" w:eastAsia="仿宋_GB2312"/>
          <w:sz w:val="32"/>
          <w:szCs w:val="32"/>
        </w:rPr>
      </w:r>
      <w:r>
        <w:rPr>
          <w:rFonts w:hint="eastAsia" w:ascii="仿宋_GB2312" w:eastAsia="仿宋_GB2312"/>
          <w:sz w:val="32"/>
          <w:szCs w:val="32"/>
        </w:rPr>
      </w:r>
    </w:p>
    <w:p>
      <w:pPr>
        <w:pStyle w:val="662"/>
        <w:pBdr/>
        <w:spacing w:line="620" w:lineRule="exact"/>
        <w:ind w:firstLine="640"/>
        <w:rPr>
          <w:rFonts w:ascii="黑体" w:eastAsia="黑体"/>
          <w:sz w:val="32"/>
          <w:szCs w:val="32"/>
        </w:rPr>
      </w:pPr>
      <w:r>
        <w:rPr>
          <w:rFonts w:hint="eastAsia" w:ascii="黑体" w:eastAsia="黑体"/>
          <w:sz w:val="32"/>
          <w:szCs w:val="32"/>
        </w:rPr>
        <w:t xml:space="preserve">三、公务用车购置及运行维护费</w:t>
      </w:r>
      <w:r>
        <w:rPr>
          <w:rFonts w:ascii="黑体" w:eastAsia="黑体"/>
          <w:sz w:val="32"/>
          <w:szCs w:val="32"/>
        </w:rPr>
      </w:r>
      <w:r>
        <w:rPr>
          <w:rFonts w:ascii="黑体" w:eastAsia="黑体"/>
          <w:sz w:val="32"/>
          <w:szCs w:val="32"/>
        </w:rPr>
      </w:r>
    </w:p>
    <w:p>
      <w:pPr>
        <w:pStyle w:val="662"/>
        <w:pBdr/>
        <w:spacing w:line="620" w:lineRule="exact"/>
        <w:ind w:firstLine="640"/>
        <w:rPr>
          <w:rFonts w:hint="eastAsia" w:ascii="仿宋_GB2312" w:eastAsia="仿宋_GB2312"/>
          <w:sz w:val="32"/>
          <w:szCs w:val="32"/>
        </w:rPr>
      </w:pPr>
      <w:r>
        <w:rPr>
          <w:rFonts w:hint="eastAsia" w:ascii="仿宋_GB2312" w:eastAsia="仿宋_GB2312"/>
          <w:sz w:val="32"/>
          <w:szCs w:val="32"/>
        </w:rPr>
        <w:t xml:space="preserve">201</w:t>
      </w:r>
      <w:r>
        <w:rPr>
          <w:rFonts w:hint="eastAsia" w:ascii="仿宋_GB2312" w:eastAsia="仿宋_GB2312"/>
          <w:sz w:val="32"/>
          <w:szCs w:val="32"/>
        </w:rPr>
        <w:t xml:space="preserve">7</w:t>
      </w:r>
      <w:r>
        <w:rPr>
          <w:rFonts w:hint="eastAsia" w:ascii="仿宋_GB2312" w:eastAsia="仿宋_GB2312"/>
          <w:sz w:val="32"/>
          <w:szCs w:val="32"/>
        </w:rPr>
        <w:t xml:space="preserve">年</w:t>
      </w:r>
      <w:r>
        <w:rPr>
          <w:rFonts w:hint="eastAsia" w:ascii="仿宋_GB2312" w:eastAsia="仿宋_GB2312"/>
          <w:sz w:val="32"/>
          <w:szCs w:val="32"/>
        </w:rPr>
        <w:t xml:space="preserve">德宏州交通运输局</w:t>
      </w:r>
      <w:r>
        <w:rPr>
          <w:rFonts w:hint="eastAsia" w:ascii="仿宋_GB2312" w:eastAsia="仿宋_GB2312"/>
          <w:sz w:val="32"/>
          <w:szCs w:val="32"/>
        </w:rPr>
        <w:t xml:space="preserve">拟</w:t>
      </w:r>
      <w:r>
        <w:rPr>
          <w:rFonts w:hint="eastAsia" w:ascii="仿宋_GB2312" w:eastAsia="仿宋_GB2312"/>
          <w:sz w:val="32"/>
          <w:szCs w:val="32"/>
        </w:rPr>
        <w:t xml:space="preserve">安排公车运行维护费</w:t>
      </w:r>
      <w:r>
        <w:rPr>
          <w:rFonts w:hint="eastAsia" w:ascii="仿宋_GB2312" w:eastAsia="仿宋_GB2312"/>
          <w:sz w:val="32"/>
          <w:szCs w:val="32"/>
        </w:rPr>
        <w:t xml:space="preserve">12</w:t>
      </w:r>
      <w:r>
        <w:rPr>
          <w:rFonts w:hint="eastAsia" w:ascii="仿宋_GB2312" w:eastAsia="仿宋_GB2312"/>
          <w:sz w:val="32"/>
          <w:szCs w:val="32"/>
        </w:rPr>
        <w:t xml:space="preserve">万元，</w:t>
      </w:r>
      <w:r>
        <w:rPr>
          <w:rFonts w:hint="eastAsia" w:ascii="仿宋_GB2312" w:eastAsia="仿宋_GB2312"/>
          <w:sz w:val="32"/>
          <w:szCs w:val="32"/>
        </w:rPr>
        <w:t xml:space="preserve">主要用于保障</w:t>
      </w:r>
      <w:r>
        <w:rPr>
          <w:rFonts w:hint="eastAsia" w:ascii="仿宋_GB2312" w:eastAsia="仿宋_GB2312"/>
          <w:sz w:val="32"/>
          <w:szCs w:val="32"/>
        </w:rPr>
        <w:t xml:space="preserve">深入基层监督检查指导</w:t>
      </w:r>
      <w:r>
        <w:rPr>
          <w:rFonts w:hint="eastAsia" w:ascii="仿宋_GB2312" w:eastAsia="仿宋_GB2312"/>
          <w:sz w:val="32"/>
          <w:szCs w:val="32"/>
        </w:rPr>
        <w:t xml:space="preserve">等</w:t>
      </w:r>
      <w:r>
        <w:rPr>
          <w:rFonts w:hint="eastAsia" w:ascii="仿宋_GB2312" w:eastAsia="仿宋_GB2312"/>
          <w:sz w:val="32"/>
          <w:szCs w:val="32"/>
        </w:rPr>
        <w:t xml:space="preserve">工作，</w:t>
      </w:r>
      <w:r>
        <w:rPr>
          <w:rFonts w:hint="eastAsia" w:ascii="仿宋_GB2312" w:eastAsia="仿宋_GB2312"/>
          <w:sz w:val="32"/>
          <w:szCs w:val="32"/>
        </w:rPr>
        <w:t xml:space="preserve">拟</w:t>
      </w:r>
      <w:r>
        <w:rPr>
          <w:rFonts w:hint="eastAsia" w:ascii="仿宋_GB2312" w:eastAsia="仿宋_GB2312"/>
          <w:sz w:val="32"/>
          <w:szCs w:val="32"/>
        </w:rPr>
        <w:t xml:space="preserve">产生的公务用车燃料费、维修费、过路过桥费、保险费等支出。</w:t>
      </w:r>
      <w:r>
        <w:rPr>
          <w:rFonts w:hint="eastAsia" w:ascii="仿宋_GB2312" w:eastAsia="仿宋_GB2312"/>
          <w:sz w:val="32"/>
          <w:szCs w:val="32"/>
        </w:rPr>
      </w:r>
      <w:r>
        <w:rPr>
          <w:rFonts w:hint="eastAsia" w:ascii="仿宋_GB2312" w:eastAsia="仿宋_GB2312"/>
          <w:sz w:val="32"/>
          <w:szCs w:val="32"/>
        </w:rPr>
      </w:r>
    </w:p>
    <w:p>
      <w:pPr>
        <w:pStyle w:val="662"/>
        <w:pBdr/>
        <w:spacing w:line="620" w:lineRule="exact"/>
        <w:ind w:firstLine="640"/>
        <w:rPr>
          <w:rFonts w:hint="eastAsia" w:ascii="仿宋_GB2312" w:eastAsia="仿宋_GB2312"/>
          <w:sz w:val="32"/>
          <w:szCs w:val="32"/>
        </w:rPr>
      </w:pPr>
      <w:r>
        <w:rPr>
          <w:rFonts w:hint="eastAsia" w:ascii="仿宋_GB2312" w:eastAsia="仿宋_GB2312"/>
          <w:sz w:val="32"/>
          <w:szCs w:val="32"/>
        </w:rPr>
        <w:t xml:space="preserve">比</w:t>
      </w:r>
      <w:r>
        <w:rPr>
          <w:rFonts w:hint="eastAsia" w:ascii="仿宋_GB2312" w:eastAsia="仿宋_GB2312"/>
          <w:sz w:val="32"/>
          <w:szCs w:val="32"/>
        </w:rPr>
        <w:t xml:space="preserve">201</w:t>
      </w:r>
      <w:r>
        <w:rPr>
          <w:rFonts w:hint="eastAsia" w:ascii="仿宋_GB2312" w:eastAsia="仿宋_GB2312"/>
          <w:sz w:val="32"/>
          <w:szCs w:val="32"/>
        </w:rPr>
        <w:t xml:space="preserve">6</w:t>
      </w:r>
      <w:r>
        <w:rPr>
          <w:rFonts w:hint="eastAsia" w:ascii="仿宋_GB2312" w:eastAsia="仿宋_GB2312"/>
          <w:sz w:val="32"/>
          <w:szCs w:val="32"/>
        </w:rPr>
        <w:t xml:space="preserve">年预算</w:t>
      </w:r>
      <w:r>
        <w:rPr>
          <w:rFonts w:hint="eastAsia" w:ascii="仿宋_GB2312" w:eastAsia="仿宋_GB2312"/>
          <w:sz w:val="32"/>
          <w:szCs w:val="32"/>
        </w:rPr>
        <w:t xml:space="preserve">增加9万元，</w:t>
      </w:r>
      <w:r>
        <w:rPr>
          <w:rFonts w:hint="eastAsia" w:ascii="仿宋_GB2312" w:eastAsia="仿宋_GB2312"/>
          <w:sz w:val="32"/>
          <w:szCs w:val="32"/>
        </w:rPr>
        <w:t xml:space="preserve">增加原因为</w:t>
      </w:r>
      <w:r>
        <w:rPr>
          <w:rFonts w:hint="eastAsia" w:ascii="仿宋_GB2312" w:eastAsia="仿宋_GB2312"/>
          <w:sz w:val="32"/>
          <w:szCs w:val="32"/>
        </w:rPr>
        <w:t xml:space="preserve">国家加大对沿边地区、中缅国际大通道等交通运输的发展，交通运输管理工作日益繁重</w:t>
      </w:r>
      <w:r>
        <w:rPr>
          <w:rFonts w:hint="eastAsia" w:ascii="仿宋_GB2312" w:eastAsia="仿宋_GB2312"/>
          <w:sz w:val="32"/>
          <w:szCs w:val="32"/>
        </w:rPr>
        <w:t xml:space="preserve">。</w:t>
      </w:r>
      <w:r>
        <w:rPr>
          <w:rFonts w:hint="eastAsia" w:ascii="仿宋_GB2312" w:eastAsia="仿宋_GB2312"/>
          <w:sz w:val="32"/>
          <w:szCs w:val="32"/>
        </w:rPr>
        <w:t xml:space="preserve">为保障</w:t>
      </w:r>
      <w:r>
        <w:rPr>
          <w:rFonts w:hint="eastAsia" w:ascii="仿宋_GB2312" w:eastAsia="仿宋_GB2312"/>
          <w:sz w:val="32"/>
          <w:szCs w:val="32"/>
        </w:rPr>
        <w:t xml:space="preserve">加快交通运输基础设施建设，强化公路管理养护和行业监管等工作</w:t>
      </w:r>
      <w:r>
        <w:rPr>
          <w:rFonts w:hint="eastAsia" w:ascii="仿宋_GB2312" w:eastAsia="仿宋_GB2312"/>
          <w:sz w:val="32"/>
          <w:szCs w:val="32"/>
        </w:rPr>
        <w:t xml:space="preserve">产生的公务用车运行费用。</w:t>
      </w:r>
      <w:r>
        <w:rPr>
          <w:rFonts w:hint="eastAsia" w:ascii="仿宋_GB2312" w:eastAsia="仿宋_GB2312"/>
          <w:sz w:val="32"/>
          <w:szCs w:val="32"/>
        </w:rPr>
      </w:r>
      <w:r>
        <w:rPr>
          <w:rFonts w:hint="eastAsia" w:ascii="仿宋_GB2312" w:eastAsia="仿宋_GB2312"/>
          <w:sz w:val="32"/>
          <w:szCs w:val="32"/>
        </w:rPr>
      </w:r>
    </w:p>
    <w:sectPr>
      <w:headerReference w:type="default" r:id="rId8"/>
      <w:footerReference w:type="default" r:id="rId9"/>
      <w:footerReference w:type="even" r:id="rId10"/>
      <w:footnotePr/>
      <w:endnotePr/>
      <w:type w:val="nextPage"/>
      <w:pgSz w:h="16838" w:orient="landscape" w:w="11906"/>
      <w:pgMar w:top="1440" w:right="1797" w:bottom="1440" w:left="1797" w:header="851" w:footer="992" w:gutter="0"/>
      <w:pgNumType w:start="1"/>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panose1 w:val="02010609060101010101"/>
  </w:font>
  <w:font w:name="方正小标宋简体">
    <w:panose1 w:val="02010601030101010101"/>
  </w:font>
  <w:font w:name="仿宋_GB2312">
    <w:panose1 w:val="02010609060101010101"/>
  </w:font>
  <w:font w:name="Arial">
    <w:panose1 w:val="020B0604020202020204"/>
  </w:font>
  <w:font w:name="Verdana">
    <w:panose1 w:val="020B0604030504040204"/>
  </w:font>
  <w:font w:name="Calibri">
    <w:panose1 w:val="020F0502020204030204"/>
  </w:font>
  <w:font w:name="等线">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framePr w:hAnchor="margin" w:vAnchor="text" w:wrap="around" w:xAlign="center" w:y="1"/>
      <w:pBdr/>
      <w:spacing/>
      <w:ind/>
      <w:rPr>
        <w:rStyle w:val="668"/>
        <w:sz w:val="24"/>
        <w:szCs w:val="24"/>
      </w:rPr>
    </w:pPr>
    <w:r>
      <w:rPr>
        <w:rStyle w:val="668"/>
        <w:sz w:val="24"/>
        <w:szCs w:val="24"/>
      </w:rPr>
      <w:fldChar w:fldCharType="begin"/>
    </w:r>
    <w:r>
      <w:rPr>
        <w:rStyle w:val="668"/>
        <w:sz w:val="24"/>
        <w:szCs w:val="24"/>
      </w:rPr>
      <w:instrText xml:space="preserve">PAGE  </w:instrText>
    </w:r>
    <w:r>
      <w:rPr>
        <w:rStyle w:val="668"/>
        <w:sz w:val="24"/>
        <w:szCs w:val="24"/>
      </w:rPr>
      <w:fldChar w:fldCharType="separate"/>
    </w:r>
    <w:r>
      <w:rPr>
        <w:rStyle w:val="668"/>
        <w:sz w:val="24"/>
        <w:szCs w:val="24"/>
      </w:rPr>
      <w:t xml:space="preserve">- 1 -</w:t>
    </w:r>
    <w:r>
      <w:rPr>
        <w:rStyle w:val="668"/>
        <w:sz w:val="24"/>
        <w:szCs w:val="24"/>
      </w:rPr>
      <w:fldChar w:fldCharType="end"/>
    </w:r>
    <w:r>
      <w:rPr>
        <w:rStyle w:val="668"/>
        <w:sz w:val="24"/>
        <w:szCs w:val="24"/>
      </w:rPr>
    </w:r>
    <w:r>
      <w:rPr>
        <w:rStyle w:val="668"/>
        <w:sz w:val="24"/>
        <w:szCs w:val="24"/>
      </w:rPr>
    </w:r>
  </w:p>
  <w:p>
    <w:pPr>
      <w:pStyle w:val="666"/>
      <w:pBdr/>
      <w:spacing/>
      <w:ind w:right="360" w:firstLine="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framePr w:hAnchor="margin" w:vAnchor="text" w:wrap="around" w:xAlign="center" w:y="1"/>
      <w:pBdr/>
      <w:spacing/>
      <w:ind/>
      <w:rPr>
        <w:rStyle w:val="668"/>
      </w:rPr>
    </w:pPr>
    <w:r>
      <w:rPr>
        <w:rStyle w:val="668"/>
      </w:rPr>
      <w:fldChar w:fldCharType="begin"/>
    </w:r>
    <w:r>
      <w:rPr>
        <w:rStyle w:val="668"/>
      </w:rPr>
      <w:instrText xml:space="preserve">PAGE  </w:instrText>
    </w:r>
    <w:r>
      <w:rPr>
        <w:rStyle w:val="668"/>
      </w:rPr>
      <w:fldChar w:fldCharType="end"/>
    </w:r>
    <w:r>
      <w:rPr>
        <w:rStyle w:val="668"/>
      </w:rPr>
    </w:r>
    <w:r>
      <w:rPr>
        <w:rStyle w:val="668"/>
      </w:rPr>
    </w:r>
  </w:p>
  <w:p>
    <w:pPr>
      <w:pStyle w:val="666"/>
      <w:pBdr/>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9"/>
      <w:pBdr>
        <w:bottom w:val="none" w:color="000000" w:sz="0" w:space="0"/>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2"/>
    <w:next w:val="66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62"/>
    <w:next w:val="66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62"/>
    <w:next w:val="66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62"/>
    <w:next w:val="66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62"/>
    <w:next w:val="66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62"/>
    <w:next w:val="66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62"/>
    <w:next w:val="66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62"/>
    <w:next w:val="66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62"/>
    <w:next w:val="66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6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62"/>
    <w:next w:val="662"/>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62"/>
    <w:next w:val="662"/>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62"/>
    <w:next w:val="66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62"/>
    <w:next w:val="66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62"/>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62"/>
    <w:link w:val="47"/>
    <w:uiPriority w:val="99"/>
    <w:unhideWhenUsed/>
    <w:pPr>
      <w:pBdr/>
      <w:tabs>
        <w:tab w:val="center" w:leader="none" w:pos="7143"/>
        <w:tab w:val="right" w:leader="none" w:pos="14287"/>
      </w:tabs>
      <w:spacing w:after="0" w:line="240" w:lineRule="auto"/>
      <w:ind/>
    </w:pPr>
  </w:style>
  <w:style w:type="paragraph" w:styleId="46">
    <w:name w:val="Caption"/>
    <w:basedOn w:val="662"/>
    <w:next w:val="662"/>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6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6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62"/>
    <w:next w:val="662"/>
    <w:uiPriority w:val="39"/>
    <w:unhideWhenUsed/>
    <w:pPr>
      <w:pBdr/>
      <w:spacing w:after="57"/>
      <w:ind w:right="0" w:firstLine="0" w:left="0"/>
    </w:pPr>
  </w:style>
  <w:style w:type="paragraph" w:styleId="182">
    <w:name w:val="toc 2"/>
    <w:basedOn w:val="662"/>
    <w:next w:val="662"/>
    <w:uiPriority w:val="39"/>
    <w:unhideWhenUsed/>
    <w:pPr>
      <w:pBdr/>
      <w:spacing w:after="57"/>
      <w:ind w:right="0" w:firstLine="0" w:left="283"/>
    </w:pPr>
  </w:style>
  <w:style w:type="paragraph" w:styleId="183">
    <w:name w:val="toc 3"/>
    <w:basedOn w:val="662"/>
    <w:next w:val="662"/>
    <w:uiPriority w:val="39"/>
    <w:unhideWhenUsed/>
    <w:pPr>
      <w:pBdr/>
      <w:spacing w:after="57"/>
      <w:ind w:right="0" w:firstLine="0" w:left="567"/>
    </w:pPr>
  </w:style>
  <w:style w:type="paragraph" w:styleId="184">
    <w:name w:val="toc 4"/>
    <w:basedOn w:val="662"/>
    <w:next w:val="662"/>
    <w:uiPriority w:val="39"/>
    <w:unhideWhenUsed/>
    <w:pPr>
      <w:pBdr/>
      <w:spacing w:after="57"/>
      <w:ind w:right="0" w:firstLine="0" w:left="850"/>
    </w:pPr>
  </w:style>
  <w:style w:type="paragraph" w:styleId="185">
    <w:name w:val="toc 5"/>
    <w:basedOn w:val="662"/>
    <w:next w:val="662"/>
    <w:uiPriority w:val="39"/>
    <w:unhideWhenUsed/>
    <w:pPr>
      <w:pBdr/>
      <w:spacing w:after="57"/>
      <w:ind w:right="0" w:firstLine="0" w:left="1134"/>
    </w:pPr>
  </w:style>
  <w:style w:type="paragraph" w:styleId="186">
    <w:name w:val="toc 6"/>
    <w:basedOn w:val="662"/>
    <w:next w:val="662"/>
    <w:uiPriority w:val="39"/>
    <w:unhideWhenUsed/>
    <w:pPr>
      <w:pBdr/>
      <w:spacing w:after="57"/>
      <w:ind w:right="0" w:firstLine="0" w:left="1417"/>
    </w:pPr>
  </w:style>
  <w:style w:type="paragraph" w:styleId="187">
    <w:name w:val="toc 7"/>
    <w:basedOn w:val="662"/>
    <w:next w:val="662"/>
    <w:uiPriority w:val="39"/>
    <w:unhideWhenUsed/>
    <w:pPr>
      <w:pBdr/>
      <w:spacing w:after="57"/>
      <w:ind w:right="0" w:firstLine="0" w:left="1701"/>
    </w:pPr>
  </w:style>
  <w:style w:type="paragraph" w:styleId="188">
    <w:name w:val="toc 8"/>
    <w:basedOn w:val="662"/>
    <w:next w:val="662"/>
    <w:uiPriority w:val="39"/>
    <w:unhideWhenUsed/>
    <w:pPr>
      <w:pBdr/>
      <w:spacing w:after="57"/>
      <w:ind w:right="0" w:firstLine="0" w:left="1984"/>
    </w:pPr>
  </w:style>
  <w:style w:type="paragraph" w:styleId="189">
    <w:name w:val="toc 9"/>
    <w:basedOn w:val="662"/>
    <w:next w:val="66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62"/>
    <w:next w:val="662"/>
    <w:uiPriority w:val="99"/>
    <w:unhideWhenUsed/>
    <w:pPr>
      <w:pBdr/>
      <w:spacing w:after="0" w:afterAutospacing="0"/>
      <w:ind/>
    </w:pPr>
  </w:style>
  <w:style w:type="paragraph" w:styleId="662" w:default="1">
    <w:name w:val="Normal"/>
    <w:next w:val="662"/>
    <w:link w:val="662"/>
    <w:pPr>
      <w:widowControl w:val="false"/>
      <w:pBdr/>
      <w:spacing/>
      <w:ind/>
      <w:jc w:val="both"/>
    </w:pPr>
    <w:rPr>
      <w:rFonts w:ascii="Calibri" w:hAnsi="Calibri"/>
      <w:sz w:val="21"/>
      <w:szCs w:val="22"/>
      <w:lang w:val="en-US" w:eastAsia="zh-CN" w:bidi="ar-SA"/>
    </w:rPr>
  </w:style>
  <w:style w:type="character" w:styleId="663">
    <w:name w:val="默认段落字体"/>
    <w:next w:val="663"/>
    <w:link w:val="662"/>
    <w:semiHidden/>
    <w:pPr>
      <w:pBdr/>
      <w:spacing/>
      <w:ind/>
    </w:pPr>
  </w:style>
  <w:style w:type="table" w:styleId="664">
    <w:name w:val="普通表格"/>
    <w:next w:val="664"/>
    <w:link w:val="662"/>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5">
    <w:name w:val="无列表"/>
    <w:next w:val="665"/>
    <w:link w:val="662"/>
    <w:semiHidden/>
    <w:pPr>
      <w:pBdr/>
      <w:spacing/>
      <w:ind/>
    </w:pPr>
  </w:style>
  <w:style w:type="paragraph" w:styleId="666">
    <w:name w:val="页脚"/>
    <w:basedOn w:val="662"/>
    <w:next w:val="666"/>
    <w:link w:val="667"/>
    <w:pPr>
      <w:pBdr/>
      <w:tabs>
        <w:tab w:val="center" w:leader="none" w:pos="4153"/>
        <w:tab w:val="right" w:leader="none" w:pos="8306"/>
      </w:tabs>
      <w:spacing/>
      <w:ind/>
      <w:jc w:val="left"/>
    </w:pPr>
    <w:rPr>
      <w:sz w:val="18"/>
      <w:szCs w:val="18"/>
    </w:rPr>
  </w:style>
  <w:style w:type="character" w:styleId="667">
    <w:name w:val="Footer Char"/>
    <w:basedOn w:val="663"/>
    <w:next w:val="667"/>
    <w:link w:val="666"/>
    <w:pPr>
      <w:pBdr/>
      <w:spacing/>
      <w:ind/>
    </w:pPr>
    <w:rPr>
      <w:rFonts w:ascii="Calibri" w:hAnsi="Calibri" w:eastAsia="宋体"/>
      <w:sz w:val="18"/>
      <w:szCs w:val="18"/>
      <w:lang w:val="en-US" w:eastAsia="zh-CN" w:bidi="ar-SA"/>
    </w:rPr>
  </w:style>
  <w:style w:type="character" w:styleId="668">
    <w:name w:val="页码"/>
    <w:basedOn w:val="663"/>
    <w:next w:val="668"/>
    <w:link w:val="662"/>
    <w:pPr>
      <w:pBdr/>
      <w:spacing/>
      <w:ind/>
    </w:pPr>
    <w:rPr>
      <w:rFonts w:cs="Times New Roman"/>
    </w:rPr>
  </w:style>
  <w:style w:type="paragraph" w:styleId="669">
    <w:name w:val="页眉"/>
    <w:basedOn w:val="662"/>
    <w:next w:val="669"/>
    <w:link w:val="662"/>
    <w:pPr>
      <w:pBdr>
        <w:bottom w:val="single" w:color="000000" w:sz="6" w:space="1"/>
      </w:pBdr>
      <w:tabs>
        <w:tab w:val="center" w:leader="none" w:pos="4153"/>
        <w:tab w:val="right" w:leader="none" w:pos="8306"/>
      </w:tabs>
      <w:spacing/>
      <w:ind/>
      <w:jc w:val="center"/>
    </w:pPr>
    <w:rPr>
      <w:sz w:val="18"/>
      <w:szCs w:val="18"/>
    </w:rPr>
  </w:style>
  <w:style w:type="paragraph" w:styleId="670">
    <w:name w:val="批注框文本"/>
    <w:basedOn w:val="662"/>
    <w:next w:val="670"/>
    <w:link w:val="662"/>
    <w:semiHidden/>
    <w:pPr>
      <w:pBdr/>
      <w:spacing/>
      <w:ind/>
    </w:pPr>
    <w:rPr>
      <w:sz w:val="18"/>
      <w:szCs w:val="18"/>
    </w:rPr>
  </w:style>
  <w:style w:type="table" w:styleId="671">
    <w:name w:val="网格型"/>
    <w:basedOn w:val="664"/>
    <w:next w:val="671"/>
    <w:link w:val="662"/>
    <w:pPr>
      <w:widowControl w:val="false"/>
      <w:pBdr/>
      <w:spacing/>
      <w:ind/>
      <w:jc w:val="both"/>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2">
    <w:name w:val="Char Char Char Char Char Char Char Char Char Char Char Char Char Char Char Char Char Char Char Char Char Char Char Char Char Char Char Char Char Char Char Char Char"/>
    <w:basedOn w:val="662"/>
    <w:next w:val="672"/>
    <w:link w:val="662"/>
    <w:pPr>
      <w:widowControl w:val="true"/>
      <w:pBdr/>
      <w:spacing w:after="160" w:line="240" w:lineRule="exact"/>
      <w:ind/>
      <w:jc w:val="left"/>
    </w:pPr>
    <w:rPr>
      <w:rFonts w:ascii="Verdana" w:hAnsi="Verdana" w:eastAsia="仿宋_GB2312"/>
      <w:sz w:val="24"/>
      <w:szCs w:val="20"/>
      <w:lang w:eastAsia="en-US"/>
    </w:rPr>
  </w:style>
  <w:style w:type="character" w:styleId="801" w:default="1">
    <w:name w:val="Default Paragraph Font"/>
    <w:uiPriority w:val="1"/>
    <w:semiHidden/>
    <w:unhideWhenUsed/>
    <w:pPr>
      <w:pBdr/>
      <w:spacing/>
      <w:ind/>
    </w:pPr>
  </w:style>
  <w:style w:type="numbering" w:styleId="802" w:default="1">
    <w:name w:val="No List"/>
    <w:uiPriority w:val="99"/>
    <w:semiHidden/>
    <w:unhideWhenUsed/>
    <w:pPr>
      <w:pBdr/>
      <w:spacing/>
      <w:ind/>
    </w:pPr>
  </w:style>
  <w:style w:type="table" w:styleId="803"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微软中国</Company>
  <DocSecurity>0</DocSecurity>
  <HyperlinksChanged>false</HyperlinksChanged>
  <ScaleCrop>false</ScaleCrop>
  <SharedDoc>false</SharedDoc>
  <Template>Normal.dot</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卢军任</dc:creator>
  <cp:lastModifiedBy>匿名</cp:lastModifiedBy>
  <cp:revision>5</cp:revision>
  <dcterms:created xsi:type="dcterms:W3CDTF">2016-12-26T09:22:00Z</dcterms:created>
  <dcterms:modified xsi:type="dcterms:W3CDTF">2024-08-08T03:22:05Z</dcterms:modified>
  <cp:version>730895</cp:version>
</cp:coreProperties>
</file>