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30DA">
      <w:pPr>
        <w:pStyle w:val="8"/>
        <w:ind w:left="0" w:leftChars="0" w:firstLine="0" w:firstLineChars="0"/>
        <w:jc w:val="both"/>
        <w:rPr>
          <w:rFonts w:hint="default"/>
        </w:rPr>
      </w:pPr>
    </w:p>
    <w:p w14:paraId="0FE77BD6">
      <w:pPr>
        <w:rPr>
          <w:rFonts w:hint="default"/>
        </w:rPr>
      </w:pPr>
    </w:p>
    <w:p w14:paraId="57C10389">
      <w:pPr>
        <w:spacing w:line="560" w:lineRule="exact"/>
        <w:jc w:val="center"/>
        <w:rPr>
          <w:rFonts w:hint="default" w:ascii="Times New Roman" w:hAnsi="Times New Roman" w:cs="Times New Roman"/>
          <w:sz w:val="44"/>
          <w:szCs w:val="44"/>
        </w:rPr>
      </w:pPr>
    </w:p>
    <w:p w14:paraId="58FD88EE">
      <w:pPr>
        <w:pStyle w:val="2"/>
        <w:rPr>
          <w:rFonts w:hint="default"/>
        </w:rPr>
      </w:pPr>
    </w:p>
    <w:p w14:paraId="73AAF96B">
      <w:pPr>
        <w:spacing w:line="560" w:lineRule="exact"/>
        <w:jc w:val="both"/>
        <w:rPr>
          <w:rFonts w:hint="default" w:ascii="Times New Roman" w:hAnsi="Times New Roman" w:cs="Times New Roman"/>
          <w:sz w:val="44"/>
          <w:szCs w:val="44"/>
        </w:rPr>
      </w:pPr>
    </w:p>
    <w:p w14:paraId="2D7B75A0">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德环审〔202</w:t>
      </w:r>
      <w:r>
        <w:rPr>
          <w:rFonts w:hint="eastAsia"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w:t>
      </w:r>
      <w:r>
        <w:rPr>
          <w:rFonts w:hint="eastAsia" w:eastAsia="方正仿宋_GBK" w:cs="Times New Roman"/>
          <w:color w:val="000000"/>
          <w:sz w:val="32"/>
          <w:szCs w:val="32"/>
          <w:highlight w:val="none"/>
          <w:lang w:val="en-US" w:eastAsia="zh-CN"/>
        </w:rPr>
        <w:t>1-17</w:t>
      </w:r>
      <w:r>
        <w:rPr>
          <w:rFonts w:hint="default" w:ascii="Times New Roman" w:hAnsi="Times New Roman" w:eastAsia="方正仿宋_GBK" w:cs="Times New Roman"/>
          <w:color w:val="000000"/>
          <w:sz w:val="32"/>
          <w:szCs w:val="32"/>
          <w:highlight w:val="none"/>
        </w:rPr>
        <w:t>号</w:t>
      </w:r>
    </w:p>
    <w:p w14:paraId="736D1D0C">
      <w:pPr>
        <w:spacing w:line="560" w:lineRule="exact"/>
        <w:jc w:val="center"/>
        <w:rPr>
          <w:rFonts w:hint="default" w:ascii="Times New Roman" w:hAnsi="Times New Roman" w:cs="Times New Roman"/>
          <w:sz w:val="44"/>
          <w:szCs w:val="44"/>
        </w:rPr>
      </w:pPr>
    </w:p>
    <w:p w14:paraId="2274506B">
      <w:pPr>
        <w:pStyle w:val="2"/>
        <w:rPr>
          <w:rFonts w:hint="default"/>
        </w:rPr>
      </w:pPr>
      <w:bookmarkStart w:id="3" w:name="_GoBack"/>
      <w:bookmarkEnd w:id="3"/>
    </w:p>
    <w:p w14:paraId="575EC9A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德宏州生态环境局关于</w:t>
      </w:r>
      <w:bookmarkStart w:id="0" w:name="OLE_LINK5"/>
      <w:bookmarkStart w:id="1" w:name="OLE_LINK25"/>
      <w:r>
        <w:rPr>
          <w:rFonts w:hint="eastAsia" w:ascii="方正小标宋简体" w:hAnsi="方正小标宋简体" w:eastAsia="方正小标宋简体" w:cs="方正小标宋简体"/>
          <w:sz w:val="44"/>
          <w:szCs w:val="44"/>
          <w:lang w:val="en-US" w:eastAsia="zh-CN"/>
        </w:rPr>
        <w:t>德宏木泽铭华工贸有</w:t>
      </w:r>
    </w:p>
    <w:p w14:paraId="4FE747F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限公司</w:t>
      </w:r>
      <w:bookmarkEnd w:id="0"/>
      <w:r>
        <w:rPr>
          <w:rFonts w:hint="eastAsia" w:ascii="方正小标宋简体" w:hAnsi="方正小标宋简体" w:eastAsia="方正小标宋简体" w:cs="方正小标宋简体"/>
          <w:sz w:val="44"/>
          <w:szCs w:val="44"/>
          <w:lang w:val="en-US" w:eastAsia="zh-CN"/>
        </w:rPr>
        <w:t>木材加工厂建设项目（一期）</w:t>
      </w:r>
      <w:bookmarkEnd w:id="1"/>
    </w:p>
    <w:p w14:paraId="346C156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环境影响报告表的批复</w:t>
      </w:r>
    </w:p>
    <w:p w14:paraId="025D5B5A">
      <w:pPr>
        <w:keepNext w:val="0"/>
        <w:keepLines w:val="0"/>
        <w:pageBreakBefore w:val="0"/>
        <w:kinsoku/>
        <w:overflowPunct/>
        <w:topLinePunct/>
        <w:autoSpaceDE/>
        <w:autoSpaceDN/>
        <w:bidi w:val="0"/>
        <w:adjustRightInd/>
        <w:snapToGrid/>
        <w:spacing w:line="540" w:lineRule="exact"/>
        <w:textAlignment w:val="auto"/>
        <w:rPr>
          <w:rFonts w:hint="default" w:ascii="Times New Roman" w:hAnsi="Times New Roman" w:eastAsia="宋体" w:cs="Times New Roman"/>
          <w:color w:val="auto"/>
          <w:sz w:val="24"/>
          <w:szCs w:val="24"/>
          <w:lang w:val="en-US" w:eastAsia="zh-CN"/>
        </w:rPr>
      </w:pPr>
    </w:p>
    <w:p w14:paraId="5AB08DB6">
      <w:pPr>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德宏木泽铭华工贸有限公司：</w:t>
      </w:r>
    </w:p>
    <w:p w14:paraId="72FB644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eastAsia="方正仿宋_GBK" w:cs="Times New Roman"/>
          <w:sz w:val="32"/>
          <w:szCs w:val="32"/>
          <w:lang w:eastAsia="zh-CN"/>
        </w:rPr>
      </w:pPr>
      <w:r>
        <w:rPr>
          <w:rFonts w:hint="default" w:eastAsia="方正仿宋_GBK" w:cs="Times New Roman"/>
          <w:sz w:val="32"/>
          <w:szCs w:val="32"/>
          <w:lang w:eastAsia="zh-CN"/>
        </w:rPr>
        <w:t>你</w:t>
      </w:r>
      <w:r>
        <w:rPr>
          <w:rFonts w:hint="eastAsia" w:eastAsia="方正仿宋_GBK" w:cs="Times New Roman"/>
          <w:sz w:val="32"/>
          <w:szCs w:val="32"/>
          <w:lang w:val="en-US" w:eastAsia="zh-CN"/>
        </w:rPr>
        <w:t>公</w:t>
      </w:r>
      <w:r>
        <w:rPr>
          <w:rFonts w:hint="eastAsia" w:ascii="Times New Roman" w:hAnsi="Times New Roman" w:eastAsia="方正仿宋_GBK" w:cs="Times New Roman"/>
          <w:sz w:val="32"/>
          <w:szCs w:val="32"/>
          <w:lang w:val="en-US" w:eastAsia="zh-CN"/>
        </w:rPr>
        <w:t>司</w:t>
      </w:r>
      <w:r>
        <w:rPr>
          <w:rFonts w:hint="eastAsia" w:eastAsia="方正仿宋_GBK" w:cs="Times New Roman"/>
          <w:sz w:val="32"/>
          <w:szCs w:val="32"/>
          <w:lang w:val="en-US" w:eastAsia="zh-CN"/>
        </w:rPr>
        <w:t>报</w:t>
      </w:r>
      <w:r>
        <w:rPr>
          <w:rFonts w:hint="eastAsia" w:ascii="Times New Roman" w:hAnsi="Times New Roman" w:eastAsia="方正仿宋_GBK" w:cs="Times New Roman"/>
          <w:sz w:val="32"/>
          <w:szCs w:val="32"/>
          <w:lang w:val="en-US" w:eastAsia="zh-CN"/>
        </w:rPr>
        <w:t>送</w:t>
      </w:r>
      <w:r>
        <w:rPr>
          <w:rFonts w:hint="default" w:ascii="Times New Roman" w:hAnsi="Times New Roman" w:eastAsia="方正仿宋_GBK" w:cs="Times New Roman"/>
          <w:sz w:val="32"/>
          <w:szCs w:val="32"/>
          <w:lang w:val="en-US" w:eastAsia="zh-CN"/>
        </w:rPr>
        <w:t>的《德宏木泽铭华工贸有限公司木材加工厂建设项目（一期）环境影响报告表》</w:t>
      </w:r>
      <w:r>
        <w:rPr>
          <w:rFonts w:hint="eastAsia" w:ascii="Times New Roman" w:hAnsi="Times New Roman" w:eastAsia="方正仿宋_GBK" w:cs="Times New Roman"/>
          <w:sz w:val="32"/>
          <w:szCs w:val="32"/>
          <w:lang w:val="en-US" w:eastAsia="zh-CN"/>
        </w:rPr>
        <w:t>（报批稿）</w:t>
      </w:r>
      <w:r>
        <w:rPr>
          <w:rFonts w:hint="default" w:ascii="Times New Roman" w:hAnsi="Times New Roman" w:eastAsia="方正仿宋_GBK" w:cs="Times New Roman"/>
          <w:sz w:val="32"/>
          <w:szCs w:val="32"/>
          <w:lang w:val="en-US" w:eastAsia="zh-CN"/>
        </w:rPr>
        <w:t>（以下简称《报告</w:t>
      </w:r>
      <w:r>
        <w:rPr>
          <w:rFonts w:hint="eastAsia"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已</w:t>
      </w:r>
      <w:r>
        <w:rPr>
          <w:rFonts w:hint="default" w:ascii="Times New Roman" w:hAnsi="Times New Roman" w:eastAsia="方正仿宋_GBK" w:cs="Times New Roman"/>
          <w:sz w:val="32"/>
          <w:szCs w:val="32"/>
          <w:lang w:val="en-US" w:eastAsia="zh-CN"/>
        </w:rPr>
        <w:t>收悉。经研究，现批复如下：</w:t>
      </w:r>
    </w:p>
    <w:p w14:paraId="1088E9E6">
      <w:pPr>
        <w:keepNext w:val="0"/>
        <w:keepLines w:val="0"/>
        <w:pageBreakBefore w:val="0"/>
        <w:kinsoku/>
        <w:overflowPunct/>
        <w:topLinePunct/>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一、项目概况</w:t>
      </w:r>
      <w:r>
        <w:rPr>
          <w:rFonts w:hint="eastAsia" w:eastAsia="方正黑体_GBK" w:cs="Times New Roman"/>
          <w:sz w:val="32"/>
          <w:szCs w:val="32"/>
          <w:lang w:eastAsia="zh-CN"/>
        </w:rPr>
        <w:t>及总体意见</w:t>
      </w:r>
    </w:p>
    <w:p w14:paraId="1F3B1123">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项目（项目代码：2509-533122-04-01-449045）位于梁河县九保乡老沙坝（云南梁河产业园区沙坝片区），</w:t>
      </w:r>
      <w:r>
        <w:rPr>
          <w:rFonts w:hint="eastAsia" w:ascii="Times New Roman" w:hAnsi="Times New Roman" w:eastAsia="方正仿宋_GBK" w:cs="Times New Roman"/>
          <w:sz w:val="32"/>
          <w:szCs w:val="32"/>
          <w:lang w:val="en-US" w:eastAsia="zh-CN"/>
        </w:rPr>
        <w:t>总</w:t>
      </w:r>
      <w:r>
        <w:rPr>
          <w:rFonts w:hint="default" w:ascii="Times New Roman" w:hAnsi="Times New Roman" w:eastAsia="方正仿宋_GBK" w:cs="Times New Roman"/>
          <w:sz w:val="32"/>
          <w:szCs w:val="32"/>
          <w:lang w:val="en-US" w:eastAsia="zh-CN"/>
        </w:rPr>
        <w:t>用地面积</w:t>
      </w:r>
      <w:r>
        <w:rPr>
          <w:rFonts w:hint="eastAsia" w:ascii="Times New Roman" w:hAnsi="Times New Roman" w:eastAsia="方正仿宋_GBK" w:cs="Times New Roman"/>
          <w:sz w:val="32"/>
          <w:szCs w:val="32"/>
          <w:lang w:val="en-US" w:eastAsia="zh-CN"/>
        </w:rPr>
        <w:t>约14666.74m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，建筑面积约6952m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主要建设内容</w:t>
      </w:r>
      <w:r>
        <w:rPr>
          <w:rFonts w:hint="eastAsia" w:ascii="Times New Roman" w:hAnsi="Times New Roman" w:eastAsia="方正仿宋_GBK" w:cs="Times New Roman"/>
          <w:sz w:val="32"/>
          <w:szCs w:val="32"/>
          <w:lang w:val="en-US" w:eastAsia="zh-CN"/>
        </w:rPr>
        <w:t>包括1层钢架结构生产厂房（</w:t>
      </w:r>
      <w:r>
        <w:rPr>
          <w:rFonts w:hint="eastAsia" w:eastAsia="方正仿宋_GBK" w:cs="Times New Roman"/>
          <w:sz w:val="32"/>
          <w:szCs w:val="32"/>
          <w:lang w:val="en-US" w:eastAsia="zh-CN"/>
        </w:rPr>
        <w:t>设置</w:t>
      </w:r>
      <w:r>
        <w:rPr>
          <w:rFonts w:hint="eastAsia" w:ascii="Times New Roman" w:hAnsi="Times New Roman" w:eastAsia="方正仿宋_GBK" w:cs="Times New Roman"/>
          <w:sz w:val="32"/>
          <w:szCs w:val="32"/>
          <w:lang w:val="en-US" w:eastAsia="zh-CN"/>
        </w:rPr>
        <w:t>加工区、成品烤房、吸尘房）、原料堆场、打包区、成品堆放区、锅炉房、</w:t>
      </w:r>
      <w:r>
        <w:rPr>
          <w:rFonts w:hint="default" w:ascii="Times New Roman" w:hAnsi="Times New Roman" w:eastAsia="方正仿宋_GBK" w:cs="Times New Roman"/>
          <w:sz w:val="32"/>
          <w:szCs w:val="32"/>
          <w:lang w:val="en-US" w:eastAsia="zh-CN"/>
        </w:rPr>
        <w:t>办公</w:t>
      </w:r>
      <w:r>
        <w:rPr>
          <w:rFonts w:hint="eastAsia" w:ascii="Times New Roman" w:hAnsi="Times New Roman" w:eastAsia="方正仿宋_GBK" w:cs="Times New Roman"/>
          <w:sz w:val="32"/>
          <w:szCs w:val="32"/>
          <w:lang w:val="en-US" w:eastAsia="zh-CN"/>
        </w:rPr>
        <w:t>室、</w:t>
      </w:r>
      <w:r>
        <w:rPr>
          <w:rFonts w:hint="default" w:ascii="Times New Roman" w:hAnsi="Times New Roman" w:eastAsia="方正仿宋_GBK" w:cs="Times New Roman"/>
          <w:sz w:val="32"/>
          <w:szCs w:val="32"/>
          <w:lang w:val="en-US" w:eastAsia="zh-CN"/>
        </w:rPr>
        <w:t>水电及相应的环保配套设施等</w:t>
      </w:r>
      <w:bookmarkStart w:id="2" w:name="OLE_LINK1"/>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形成年加工单板20000m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lang w:val="en-US" w:eastAsia="zh-CN"/>
        </w:rPr>
        <w:t>生产线</w:t>
      </w: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条，年加工板材10000m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lang w:val="en-US" w:eastAsia="zh-CN"/>
        </w:rPr>
        <w:t>生产线3条</w:t>
      </w:r>
      <w:bookmarkEnd w:id="2"/>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项目总投资</w:t>
      </w:r>
      <w:r>
        <w:rPr>
          <w:rFonts w:hint="eastAsia" w:ascii="Times New Roman" w:hAnsi="Times New Roman" w:eastAsia="方正仿宋_GBK" w:cs="Times New Roman"/>
          <w:sz w:val="32"/>
          <w:szCs w:val="32"/>
          <w:lang w:val="en-US" w:eastAsia="zh-CN"/>
        </w:rPr>
        <w:t>2200</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环保投资</w:t>
      </w:r>
      <w:r>
        <w:rPr>
          <w:rFonts w:hint="eastAsia" w:ascii="Times New Roman" w:hAnsi="Times New Roman" w:eastAsia="方正仿宋_GBK" w:cs="Times New Roman"/>
          <w:sz w:val="32"/>
          <w:szCs w:val="32"/>
          <w:lang w:val="en-US" w:eastAsia="zh-CN"/>
        </w:rPr>
        <w:t>134.5</w:t>
      </w:r>
      <w:r>
        <w:rPr>
          <w:rFonts w:hint="default" w:ascii="Times New Roman" w:hAnsi="Times New Roman" w:eastAsia="方正仿宋_GBK" w:cs="Times New Roman"/>
          <w:sz w:val="32"/>
          <w:szCs w:val="32"/>
          <w:lang w:val="en-US" w:eastAsia="zh-CN"/>
        </w:rPr>
        <w:t>万元，占总投资的</w:t>
      </w:r>
      <w:r>
        <w:rPr>
          <w:rFonts w:hint="eastAsia" w:ascii="Times New Roman" w:hAnsi="Times New Roman" w:eastAsia="方正仿宋_GBK" w:cs="Times New Roman"/>
          <w:sz w:val="32"/>
          <w:szCs w:val="32"/>
          <w:lang w:val="en-US" w:eastAsia="zh-CN"/>
        </w:rPr>
        <w:t>6.11</w:t>
      </w:r>
      <w:r>
        <w:rPr>
          <w:rFonts w:hint="default" w:ascii="Times New Roman" w:hAnsi="Times New Roman" w:eastAsia="方正仿宋_GBK" w:cs="Times New Roman"/>
          <w:sz w:val="32"/>
          <w:szCs w:val="32"/>
          <w:lang w:val="en-US" w:eastAsia="zh-CN"/>
        </w:rPr>
        <w:t>%。</w:t>
      </w:r>
    </w:p>
    <w:p w14:paraId="04E9F2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项目符合国家产业政策及</w:t>
      </w:r>
      <w:r>
        <w:rPr>
          <w:rFonts w:hint="eastAsia" w:eastAsia="方正仿宋_GBK" w:cs="Times New Roman"/>
          <w:sz w:val="32"/>
          <w:szCs w:val="32"/>
          <w:lang w:val="en-US" w:eastAsia="zh-CN"/>
        </w:rPr>
        <w:t>园区</w:t>
      </w:r>
      <w:r>
        <w:rPr>
          <w:rFonts w:hint="eastAsia" w:ascii="Times New Roman" w:hAnsi="Times New Roman" w:eastAsia="方正仿宋_GBK" w:cs="Times New Roman"/>
          <w:sz w:val="32"/>
          <w:szCs w:val="32"/>
          <w:lang w:val="en-US" w:eastAsia="zh-CN"/>
        </w:rPr>
        <w:t>规划，满足德宏州生态环境分区管控</w:t>
      </w:r>
      <w:r>
        <w:rPr>
          <w:rFonts w:hint="eastAsia" w:eastAsia="方正仿宋_GBK" w:cs="Times New Roman"/>
          <w:sz w:val="32"/>
          <w:szCs w:val="32"/>
          <w:lang w:val="en-US" w:eastAsia="zh-CN"/>
        </w:rPr>
        <w:t>相关</w:t>
      </w:r>
      <w:r>
        <w:rPr>
          <w:rFonts w:hint="eastAsia" w:ascii="Times New Roman" w:hAnsi="Times New Roman" w:eastAsia="方正仿宋_GBK" w:cs="Times New Roman"/>
          <w:sz w:val="32"/>
          <w:szCs w:val="32"/>
          <w:lang w:val="en-US" w:eastAsia="zh-CN"/>
        </w:rPr>
        <w:t>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在全面落实《报告表》提出的各项污染防治和生态保护措施的前提下，项目建设及运营对环境的不利影响可以得到有效减缓和控制。我局</w:t>
      </w:r>
      <w:r>
        <w:rPr>
          <w:rFonts w:hint="eastAsia" w:eastAsia="方正仿宋_GBK" w:cs="Times New Roman"/>
          <w:sz w:val="32"/>
          <w:szCs w:val="32"/>
          <w:lang w:val="en-US" w:eastAsia="zh-CN"/>
        </w:rPr>
        <w:t>原则</w:t>
      </w:r>
      <w:r>
        <w:rPr>
          <w:rFonts w:hint="default" w:ascii="Times New Roman" w:hAnsi="Times New Roman" w:eastAsia="方正仿宋_GBK" w:cs="Times New Roman"/>
          <w:sz w:val="32"/>
          <w:szCs w:val="32"/>
          <w:lang w:val="en-US" w:eastAsia="zh-CN"/>
        </w:rPr>
        <w:t>同意</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按照《报告表》所</w:t>
      </w:r>
      <w:r>
        <w:rPr>
          <w:rFonts w:hint="eastAsia" w:eastAsia="方正仿宋_GBK" w:cs="Times New Roman"/>
          <w:sz w:val="32"/>
          <w:szCs w:val="32"/>
          <w:lang w:val="en-US" w:eastAsia="zh-CN"/>
        </w:rPr>
        <w:t>列</w:t>
      </w:r>
      <w:r>
        <w:rPr>
          <w:rFonts w:hint="default" w:ascii="Times New Roman" w:hAnsi="Times New Roman" w:eastAsia="方正仿宋_GBK" w:cs="Times New Roman"/>
          <w:sz w:val="32"/>
          <w:szCs w:val="32"/>
          <w:lang w:val="en-US" w:eastAsia="zh-CN"/>
        </w:rPr>
        <w:t>的性质、规模、内容、地点和拟采取的环境保护措施</w:t>
      </w:r>
      <w:r>
        <w:rPr>
          <w:rFonts w:hint="eastAsia"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建设。</w:t>
      </w:r>
    </w:p>
    <w:p w14:paraId="42C5CE7A">
      <w:pPr>
        <w:keepNext w:val="0"/>
        <w:keepLines w:val="0"/>
        <w:pageBreakBefore w:val="0"/>
        <w:numPr>
          <w:ilvl w:val="0"/>
          <w:numId w:val="0"/>
        </w:numPr>
        <w:kinsoku/>
        <w:overflowPunct/>
        <w:topLinePunct/>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rPr>
        <w:t>项目建设与运营过程中应全面落实《报告表》提出的各项环境保护措施，并重点做好以下工作：</w:t>
      </w:r>
    </w:p>
    <w:p w14:paraId="0974C98D">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pacing w:val="-6"/>
          <w:sz w:val="32"/>
          <w:szCs w:val="32"/>
          <w:lang w:val="en-US" w:eastAsia="zh-CN"/>
        </w:rPr>
      </w:pPr>
      <w:r>
        <w:rPr>
          <w:rFonts w:hint="eastAsia" w:ascii="方正楷体_GBK" w:hAnsi="方正楷体_GBK" w:eastAsia="方正楷体_GBK" w:cs="方正楷体_GBK"/>
          <w:spacing w:val="0"/>
          <w:sz w:val="32"/>
          <w:szCs w:val="32"/>
          <w:lang w:val="en-US" w:eastAsia="zh-CN"/>
        </w:rPr>
        <w:t>（一）加强施工期环境管理。</w:t>
      </w:r>
      <w:r>
        <w:rPr>
          <w:rFonts w:hint="eastAsia" w:ascii="Times New Roman" w:hAnsi="Times New Roman" w:eastAsia="方正仿宋_GBK" w:cs="Times New Roman"/>
          <w:color w:val="auto"/>
          <w:spacing w:val="-6"/>
          <w:sz w:val="32"/>
          <w:szCs w:val="32"/>
          <w:lang w:val="en-US" w:eastAsia="zh-CN"/>
        </w:rPr>
        <w:t>严格落实建筑工地“六个百分百”扬尘防控措施，有效控制施工扬尘污染</w:t>
      </w:r>
      <w:r>
        <w:rPr>
          <w:rFonts w:hint="eastAsia" w:eastAsia="方正仿宋_GBK" w:cs="Times New Roman"/>
          <w:color w:val="auto"/>
          <w:spacing w:val="-6"/>
          <w:sz w:val="32"/>
          <w:szCs w:val="32"/>
          <w:lang w:val="en-US" w:eastAsia="zh-CN"/>
        </w:rPr>
        <w:t>。</w:t>
      </w:r>
      <w:r>
        <w:rPr>
          <w:rFonts w:hint="eastAsia" w:ascii="Times New Roman" w:hAnsi="Times New Roman" w:eastAsia="方正仿宋_GBK" w:cs="Times New Roman"/>
          <w:color w:val="auto"/>
          <w:spacing w:val="-6"/>
          <w:sz w:val="32"/>
          <w:szCs w:val="32"/>
          <w:lang w:val="en-US" w:eastAsia="zh-CN"/>
        </w:rPr>
        <w:t>合理安排施</w:t>
      </w:r>
      <w:r>
        <w:rPr>
          <w:rFonts w:hint="eastAsia" w:ascii="Times New Roman" w:hAnsi="Times New Roman" w:eastAsia="方正仿宋_GBK" w:cs="Times New Roman"/>
          <w:spacing w:val="-6"/>
          <w:sz w:val="32"/>
          <w:szCs w:val="32"/>
          <w:lang w:val="en-US" w:eastAsia="zh-CN"/>
        </w:rPr>
        <w:t>工时间，强化运输车辆管理，在邻近居民点一侧设置有效施工围挡，确保施工场界噪声符</w:t>
      </w:r>
      <w:r>
        <w:rPr>
          <w:rFonts w:hint="eastAsia" w:ascii="Times New Roman" w:hAnsi="Times New Roman" w:eastAsia="方正仿宋_GBK" w:cs="Times New Roman"/>
          <w:spacing w:val="-6"/>
          <w:sz w:val="32"/>
          <w:szCs w:val="32"/>
          <w:highlight w:val="none"/>
          <w:lang w:val="en-US" w:eastAsia="zh-CN"/>
        </w:rPr>
        <w:t>合《建筑施工场界环境噪声排放标准》（GB12523-2011）</w:t>
      </w:r>
      <w:r>
        <w:rPr>
          <w:rFonts w:hint="eastAsia" w:eastAsia="方正仿宋_GBK" w:cs="Times New Roman"/>
          <w:spacing w:val="-6"/>
          <w:sz w:val="32"/>
          <w:szCs w:val="32"/>
          <w:highlight w:val="none"/>
          <w:lang w:val="en-US" w:eastAsia="zh-CN"/>
        </w:rPr>
        <w:t>限值</w:t>
      </w:r>
      <w:r>
        <w:rPr>
          <w:rFonts w:hint="eastAsia" w:ascii="Times New Roman" w:hAnsi="Times New Roman" w:eastAsia="方正仿宋_GBK" w:cs="Times New Roman"/>
          <w:spacing w:val="-6"/>
          <w:sz w:val="32"/>
          <w:szCs w:val="32"/>
          <w:highlight w:val="none"/>
          <w:lang w:val="en-US" w:eastAsia="zh-CN"/>
        </w:rPr>
        <w:t>要求</w:t>
      </w:r>
      <w:r>
        <w:rPr>
          <w:rFonts w:hint="eastAsia" w:ascii="Times New Roman" w:hAnsi="Times New Roman"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lang w:val="en-US" w:eastAsia="zh-CN"/>
        </w:rPr>
        <w:t>施工废水经临时沉淀池处理后回用于</w:t>
      </w:r>
      <w:r>
        <w:rPr>
          <w:rFonts w:hint="eastAsia" w:eastAsia="方正仿宋_GBK" w:cs="Times New Roman"/>
          <w:color w:val="auto"/>
          <w:spacing w:val="-6"/>
          <w:sz w:val="32"/>
          <w:szCs w:val="32"/>
          <w:lang w:val="en-US" w:eastAsia="zh-CN"/>
        </w:rPr>
        <w:t>场地</w:t>
      </w:r>
      <w:r>
        <w:rPr>
          <w:rFonts w:hint="eastAsia" w:ascii="Times New Roman" w:hAnsi="Times New Roman" w:eastAsia="方正仿宋_GBK" w:cs="Times New Roman"/>
          <w:color w:val="auto"/>
          <w:spacing w:val="-6"/>
          <w:sz w:val="32"/>
          <w:szCs w:val="32"/>
          <w:lang w:val="en-US" w:eastAsia="zh-CN"/>
        </w:rPr>
        <w:t>洒水</w:t>
      </w:r>
      <w:r>
        <w:rPr>
          <w:rFonts w:hint="eastAsia" w:eastAsia="方正仿宋_GBK" w:cs="Times New Roman"/>
          <w:color w:val="auto"/>
          <w:spacing w:val="-6"/>
          <w:sz w:val="32"/>
          <w:szCs w:val="32"/>
          <w:lang w:val="en-US" w:eastAsia="zh-CN"/>
        </w:rPr>
        <w:t>抑</w:t>
      </w:r>
      <w:r>
        <w:rPr>
          <w:rFonts w:hint="eastAsia" w:ascii="Times New Roman" w:hAnsi="Times New Roman" w:eastAsia="方正仿宋_GBK" w:cs="Times New Roman"/>
          <w:color w:val="auto"/>
          <w:spacing w:val="-6"/>
          <w:sz w:val="32"/>
          <w:szCs w:val="32"/>
          <w:lang w:val="en-US" w:eastAsia="zh-CN"/>
        </w:rPr>
        <w:t>尘，不</w:t>
      </w:r>
      <w:r>
        <w:rPr>
          <w:rFonts w:hint="eastAsia" w:eastAsia="方正仿宋_GBK" w:cs="Times New Roman"/>
          <w:color w:val="auto"/>
          <w:spacing w:val="-6"/>
          <w:sz w:val="32"/>
          <w:szCs w:val="32"/>
          <w:lang w:val="en-US" w:eastAsia="zh-CN"/>
        </w:rPr>
        <w:t>得</w:t>
      </w:r>
      <w:r>
        <w:rPr>
          <w:rFonts w:hint="eastAsia" w:ascii="Times New Roman" w:hAnsi="Times New Roman" w:eastAsia="方正仿宋_GBK" w:cs="Times New Roman"/>
          <w:color w:val="auto"/>
          <w:spacing w:val="-6"/>
          <w:sz w:val="32"/>
          <w:szCs w:val="32"/>
          <w:lang w:val="en-US" w:eastAsia="zh-CN"/>
        </w:rPr>
        <w:t>外排。施工产生的土石方应全部用于场地回填及绿化，不得随意弃置。建筑垃圾应分类收集，可资源化利用部分进行综合利用，不可利用部分须运送至指定的建筑垃圾处置场所。施工人员生活垃圾须集中收集，交由当地环卫部门统一清运处置，禁止随意倾倒或露天焚烧。</w:t>
      </w:r>
    </w:p>
    <w:p w14:paraId="5E16F2E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spacing w:val="0"/>
          <w:sz w:val="32"/>
          <w:szCs w:val="32"/>
          <w:lang w:val="en-US" w:eastAsia="zh-CN"/>
        </w:rPr>
        <w:t>（二）</w:t>
      </w:r>
      <w:r>
        <w:rPr>
          <w:rFonts w:hint="eastAsia" w:ascii="方正楷体_GBK" w:hAnsi="方正楷体_GBK" w:eastAsia="方正楷体_GBK" w:cs="方正楷体_GBK"/>
          <w:kern w:val="2"/>
          <w:sz w:val="32"/>
          <w:szCs w:val="32"/>
          <w:lang w:val="en-US" w:eastAsia="zh-CN" w:bidi="ar-SA"/>
        </w:rPr>
        <w:t>严格落实大气污染防治措施。</w:t>
      </w:r>
      <w:r>
        <w:rPr>
          <w:rFonts w:hint="eastAsia" w:ascii="Times New Roman" w:hAnsi="Times New Roman" w:eastAsia="方正仿宋_GBK" w:cs="Times New Roman"/>
          <w:color w:val="auto"/>
          <w:spacing w:val="-6"/>
          <w:sz w:val="32"/>
          <w:szCs w:val="32"/>
          <w:lang w:val="en-US" w:eastAsia="zh-CN"/>
        </w:rPr>
        <w:t>对</w:t>
      </w:r>
      <w:r>
        <w:rPr>
          <w:rFonts w:hint="default" w:ascii="Times New Roman" w:hAnsi="Times New Roman" w:eastAsia="方正仿宋_GBK" w:cs="Times New Roman"/>
          <w:color w:val="auto"/>
          <w:spacing w:val="-6"/>
          <w:sz w:val="32"/>
          <w:szCs w:val="32"/>
          <w:lang w:val="en-US" w:eastAsia="zh-CN"/>
        </w:rPr>
        <w:t>断料、去皮打圆、锯切、开料、齐头、齐边、砂光、梳齿等</w:t>
      </w:r>
      <w:r>
        <w:rPr>
          <w:rFonts w:hint="eastAsia" w:eastAsia="方正仿宋_GBK" w:cs="Times New Roman"/>
          <w:color w:val="auto"/>
          <w:spacing w:val="-6"/>
          <w:sz w:val="32"/>
          <w:szCs w:val="32"/>
          <w:lang w:val="en-US" w:eastAsia="zh-CN"/>
        </w:rPr>
        <w:t>产尘</w:t>
      </w:r>
      <w:r>
        <w:rPr>
          <w:rFonts w:hint="default" w:ascii="Times New Roman" w:hAnsi="Times New Roman" w:eastAsia="方正仿宋_GBK" w:cs="Times New Roman"/>
          <w:color w:val="auto"/>
          <w:spacing w:val="-6"/>
          <w:sz w:val="32"/>
          <w:szCs w:val="32"/>
          <w:lang w:val="en-US" w:eastAsia="zh-CN"/>
        </w:rPr>
        <w:t>工序</w:t>
      </w:r>
      <w:r>
        <w:rPr>
          <w:rFonts w:hint="eastAsia" w:eastAsia="方正仿宋_GBK" w:cs="Times New Roman"/>
          <w:color w:val="auto"/>
          <w:spacing w:val="-6"/>
          <w:sz w:val="32"/>
          <w:szCs w:val="32"/>
          <w:lang w:val="en-US" w:eastAsia="zh-CN"/>
        </w:rPr>
        <w:t>，须在设备上方产尘点设置半密闭式集气罩（除进出料口外其余方向密闭，负压收集）</w:t>
      </w:r>
      <w:r>
        <w:rPr>
          <w:rFonts w:hint="default" w:ascii="Times New Roman" w:hAnsi="Times New Roman" w:eastAsia="方正仿宋_GBK" w:cs="Times New Roman"/>
          <w:spacing w:val="-6"/>
          <w:sz w:val="32"/>
          <w:szCs w:val="32"/>
          <w:lang w:val="en-US" w:eastAsia="zh-CN"/>
        </w:rPr>
        <w:t>，产生的粉尘经集气管道引至1套布袋除尘器处理达标后，</w:t>
      </w:r>
      <w:r>
        <w:rPr>
          <w:rFonts w:hint="eastAsia" w:ascii="Times New Roman" w:hAnsi="Times New Roman" w:eastAsia="方正仿宋_GBK" w:cs="Times New Roman"/>
          <w:spacing w:val="-6"/>
          <w:sz w:val="32"/>
          <w:szCs w:val="32"/>
          <w:lang w:val="en-US" w:eastAsia="zh-CN"/>
        </w:rPr>
        <w:t>通过1</w:t>
      </w:r>
      <w:r>
        <w:rPr>
          <w:rFonts w:hint="default" w:ascii="Times New Roman" w:hAnsi="Times New Roman" w:eastAsia="方正仿宋_GBK" w:cs="Times New Roman"/>
          <w:spacing w:val="-6"/>
          <w:sz w:val="32"/>
          <w:szCs w:val="32"/>
          <w:lang w:val="en-US" w:eastAsia="zh-CN"/>
        </w:rPr>
        <w:t>根15m排气筒（DA002）</w:t>
      </w:r>
      <w:r>
        <w:rPr>
          <w:rFonts w:hint="eastAsia" w:eastAsia="方正仿宋_GBK" w:cs="Times New Roman"/>
          <w:spacing w:val="-6"/>
          <w:sz w:val="32"/>
          <w:szCs w:val="32"/>
          <w:lang w:val="en-US" w:eastAsia="zh-CN"/>
        </w:rPr>
        <w:t>排放</w:t>
      </w:r>
      <w:r>
        <w:rPr>
          <w:rFonts w:hint="eastAsia" w:ascii="Times New Roman" w:hAnsi="Times New Roman" w:eastAsia="方正仿宋_GBK" w:cs="Times New Roman"/>
          <w:spacing w:val="-6"/>
          <w:sz w:val="32"/>
          <w:szCs w:val="32"/>
          <w:lang w:val="en-US" w:eastAsia="zh-CN"/>
        </w:rPr>
        <w:t>，外排粉尘的排放浓度和排放速率须满足《大气污染物综合排放标准》（GB16297-1996）表2中二级标准</w:t>
      </w:r>
      <w:r>
        <w:rPr>
          <w:rFonts w:hint="eastAsia" w:eastAsia="方正仿宋_GBK" w:cs="Times New Roman"/>
          <w:spacing w:val="-6"/>
          <w:sz w:val="32"/>
          <w:szCs w:val="32"/>
          <w:lang w:val="en-US" w:eastAsia="zh-CN"/>
        </w:rPr>
        <w:t>限值</w:t>
      </w:r>
      <w:r>
        <w:rPr>
          <w:rFonts w:hint="eastAsia" w:ascii="Times New Roman" w:hAnsi="Times New Roman" w:eastAsia="方正仿宋_GBK" w:cs="Times New Roman"/>
          <w:spacing w:val="-6"/>
          <w:sz w:val="32"/>
          <w:szCs w:val="32"/>
          <w:lang w:val="en-US" w:eastAsia="zh-CN"/>
        </w:rPr>
        <w:t>要求。锅炉</w:t>
      </w:r>
      <w:r>
        <w:rPr>
          <w:rFonts w:hint="default" w:ascii="Times New Roman" w:hAnsi="Times New Roman" w:eastAsia="方正仿宋_GBK" w:cs="Times New Roman"/>
          <w:spacing w:val="-6"/>
          <w:sz w:val="32"/>
          <w:szCs w:val="32"/>
          <w:lang w:val="en-US" w:eastAsia="zh-CN"/>
        </w:rPr>
        <w:t>燃烧废气</w:t>
      </w:r>
      <w:r>
        <w:rPr>
          <w:rFonts w:hint="eastAsia" w:ascii="Times New Roman" w:hAnsi="Times New Roman" w:eastAsia="方正仿宋_GBK" w:cs="Times New Roman"/>
          <w:spacing w:val="-6"/>
          <w:sz w:val="32"/>
          <w:szCs w:val="32"/>
          <w:lang w:val="en-US" w:eastAsia="zh-CN"/>
        </w:rPr>
        <w:t>引至1套“陶瓷多管旋风+耐高温布袋除尘器”</w:t>
      </w:r>
      <w:r>
        <w:rPr>
          <w:rFonts w:hint="default" w:ascii="Times New Roman" w:hAnsi="Times New Roman" w:eastAsia="方正仿宋_GBK" w:cs="Times New Roman"/>
          <w:spacing w:val="-6"/>
          <w:sz w:val="32"/>
          <w:szCs w:val="32"/>
          <w:lang w:val="en-US" w:eastAsia="zh-CN"/>
        </w:rPr>
        <w:t>处理后通过1根</w:t>
      </w:r>
      <w:r>
        <w:rPr>
          <w:rFonts w:hint="eastAsia" w:ascii="Times New Roman" w:hAnsi="Times New Roman" w:eastAsia="方正仿宋_GBK" w:cs="Times New Roman"/>
          <w:spacing w:val="-6"/>
          <w:sz w:val="32"/>
          <w:szCs w:val="32"/>
          <w:lang w:val="en-US" w:eastAsia="zh-CN"/>
        </w:rPr>
        <w:t>35</w:t>
      </w:r>
      <w:r>
        <w:rPr>
          <w:rFonts w:hint="default" w:ascii="Times New Roman" w:hAnsi="Times New Roman" w:eastAsia="方正仿宋_GBK" w:cs="Times New Roman"/>
          <w:spacing w:val="-6"/>
          <w:sz w:val="32"/>
          <w:szCs w:val="32"/>
          <w:lang w:val="en-US" w:eastAsia="zh-CN"/>
        </w:rPr>
        <w:t>m排气筒（DA001）</w:t>
      </w:r>
      <w:r>
        <w:rPr>
          <w:rFonts w:hint="eastAsia" w:ascii="Times New Roman" w:hAnsi="Times New Roman" w:eastAsia="方正仿宋_GBK" w:cs="Times New Roman"/>
          <w:spacing w:val="-6"/>
          <w:sz w:val="32"/>
          <w:szCs w:val="32"/>
          <w:lang w:val="en-US" w:eastAsia="zh-CN"/>
        </w:rPr>
        <w:t>达标</w:t>
      </w:r>
      <w:r>
        <w:rPr>
          <w:rFonts w:hint="eastAsia" w:eastAsia="方正仿宋_GBK" w:cs="Times New Roman"/>
          <w:spacing w:val="-6"/>
          <w:sz w:val="32"/>
          <w:szCs w:val="32"/>
          <w:lang w:val="en-US" w:eastAsia="zh-CN"/>
        </w:rPr>
        <w:t>排放</w:t>
      </w:r>
      <w:r>
        <w:rPr>
          <w:rFonts w:hint="default" w:ascii="Times New Roman" w:hAnsi="Times New Roman" w:eastAsia="方正仿宋_GBK" w:cs="Times New Roman"/>
          <w:spacing w:val="-6"/>
          <w:sz w:val="32"/>
          <w:szCs w:val="32"/>
          <w:lang w:val="en-US" w:eastAsia="zh-CN"/>
        </w:rPr>
        <w:t>，排放</w:t>
      </w:r>
      <w:r>
        <w:rPr>
          <w:rFonts w:hint="eastAsia" w:eastAsia="方正仿宋_GBK" w:cs="Times New Roman"/>
          <w:spacing w:val="-6"/>
          <w:sz w:val="32"/>
          <w:szCs w:val="32"/>
          <w:lang w:val="en-US" w:eastAsia="zh-CN"/>
        </w:rPr>
        <w:t>废气中污染物</w:t>
      </w:r>
      <w:r>
        <w:rPr>
          <w:rFonts w:hint="default" w:ascii="Times New Roman" w:hAnsi="Times New Roman" w:eastAsia="方正仿宋_GBK" w:cs="Times New Roman"/>
          <w:spacing w:val="-6"/>
          <w:sz w:val="32"/>
          <w:szCs w:val="32"/>
          <w:lang w:val="en-US" w:eastAsia="zh-CN"/>
        </w:rPr>
        <w:t>浓度</w:t>
      </w:r>
      <w:r>
        <w:rPr>
          <w:rFonts w:hint="eastAsia" w:ascii="Times New Roman" w:hAnsi="Times New Roman" w:eastAsia="方正仿宋_GBK" w:cs="Times New Roman"/>
          <w:spacing w:val="-6"/>
          <w:sz w:val="32"/>
          <w:szCs w:val="32"/>
          <w:lang w:val="en-US" w:eastAsia="zh-CN"/>
        </w:rPr>
        <w:t>须</w:t>
      </w:r>
      <w:r>
        <w:rPr>
          <w:rFonts w:hint="default" w:ascii="Times New Roman" w:hAnsi="Times New Roman" w:eastAsia="方正仿宋_GBK" w:cs="Times New Roman"/>
          <w:spacing w:val="-6"/>
          <w:sz w:val="32"/>
          <w:szCs w:val="32"/>
          <w:lang w:val="en-US" w:eastAsia="zh-CN"/>
        </w:rPr>
        <w:t>满足《锅炉大气污染物排放标准》（GB13271</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2014）表2</w:t>
      </w:r>
      <w:r>
        <w:rPr>
          <w:rFonts w:hint="eastAsia" w:ascii="Times New Roman" w:hAnsi="Times New Roman" w:eastAsia="方正仿宋_GBK" w:cs="Times New Roman"/>
          <w:spacing w:val="-6"/>
          <w:sz w:val="32"/>
          <w:szCs w:val="32"/>
          <w:lang w:val="en-US" w:eastAsia="zh-CN"/>
        </w:rPr>
        <w:t>中燃煤锅炉排放</w:t>
      </w:r>
      <w:r>
        <w:rPr>
          <w:rFonts w:hint="default" w:ascii="Times New Roman" w:hAnsi="Times New Roman" w:eastAsia="方正仿宋_GBK" w:cs="Times New Roman"/>
          <w:spacing w:val="-6"/>
          <w:sz w:val="32"/>
          <w:szCs w:val="32"/>
          <w:lang w:val="en-US" w:eastAsia="zh-CN"/>
        </w:rPr>
        <w:t>限值</w:t>
      </w:r>
      <w:r>
        <w:rPr>
          <w:rFonts w:hint="eastAsia" w:ascii="Times New Roman" w:hAnsi="Times New Roman" w:eastAsia="方正仿宋_GBK" w:cs="Times New Roman"/>
          <w:spacing w:val="-6"/>
          <w:sz w:val="32"/>
          <w:szCs w:val="32"/>
          <w:lang w:val="en-US" w:eastAsia="zh-CN"/>
        </w:rPr>
        <w:t>要求。</w:t>
      </w:r>
    </w:p>
    <w:p w14:paraId="7964307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16" w:firstLineChars="200"/>
        <w:textAlignment w:val="auto"/>
        <w:rPr>
          <w:rFonts w:hint="eastAsia"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强化无组织废气管控。</w:t>
      </w:r>
      <w:r>
        <w:rPr>
          <w:rFonts w:hint="default" w:ascii="Times New Roman" w:hAnsi="Times New Roman" w:eastAsia="方正仿宋_GBK" w:cs="Times New Roman"/>
          <w:color w:val="auto"/>
          <w:spacing w:val="-6"/>
          <w:sz w:val="32"/>
          <w:szCs w:val="32"/>
          <w:lang w:val="en-US" w:eastAsia="zh-CN"/>
        </w:rPr>
        <w:t>加工厂房应采用半封闭式结构，定期对厂房内沉降的粉尘进行清扫。加强生产过程管理，减少木料烘干废气、施胶废气等无组</w:t>
      </w:r>
      <w:r>
        <w:rPr>
          <w:rFonts w:hint="default" w:ascii="Times New Roman" w:hAnsi="Times New Roman" w:eastAsia="方正仿宋_GBK" w:cs="Times New Roman"/>
          <w:spacing w:val="-6"/>
          <w:sz w:val="32"/>
          <w:szCs w:val="32"/>
          <w:lang w:val="en-US" w:eastAsia="zh-CN"/>
        </w:rPr>
        <w:t>织排放。运营期厂区内VOCs无组织排放须符合《挥发性有机物无组织排放控制标准》（GB37822-2019）中表A.1限值要求；厂界外颗粒物、非甲烷总烃等无组织排放监控浓度须符合《大气污染物综合排放标准》（GB16297-1996）表2中无组织排放监控浓度限值要求。拼接工序使用的白乳胶须为国家规定的低VOCs含量产品，同时应在单独储存间密闭储存。</w:t>
      </w:r>
    </w:p>
    <w:p w14:paraId="6F54AD7E">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kern w:val="2"/>
          <w:sz w:val="32"/>
          <w:szCs w:val="32"/>
          <w:lang w:val="en-US" w:eastAsia="zh-CN" w:bidi="ar-SA"/>
        </w:rPr>
        <w:t>（三）严格落实水污染防治措施。</w:t>
      </w:r>
      <w:r>
        <w:rPr>
          <w:rFonts w:hint="eastAsia" w:ascii="Times New Roman" w:hAnsi="Times New Roman" w:eastAsia="方正仿宋_GBK" w:cs="Times New Roman"/>
          <w:spacing w:val="-6"/>
          <w:sz w:val="32"/>
          <w:szCs w:val="32"/>
          <w:lang w:val="en-US" w:eastAsia="zh-CN"/>
        </w:rPr>
        <w:t>运营期</w:t>
      </w:r>
      <w:r>
        <w:rPr>
          <w:rFonts w:hint="eastAsia" w:eastAsia="方正仿宋_GBK" w:cs="Times New Roman"/>
          <w:spacing w:val="-6"/>
          <w:sz w:val="32"/>
          <w:szCs w:val="32"/>
          <w:lang w:val="en-US" w:eastAsia="zh-CN"/>
        </w:rPr>
        <w:t>厂区应</w:t>
      </w:r>
      <w:r>
        <w:rPr>
          <w:rFonts w:hint="eastAsia" w:ascii="Times New Roman" w:hAnsi="Times New Roman" w:eastAsia="方正仿宋_GBK" w:cs="Times New Roman"/>
          <w:spacing w:val="-6"/>
          <w:sz w:val="32"/>
          <w:szCs w:val="32"/>
          <w:lang w:val="en-US" w:eastAsia="zh-CN"/>
        </w:rPr>
        <w:t>实行雨</w:t>
      </w:r>
      <w:r>
        <w:rPr>
          <w:rFonts w:hint="eastAsia" w:ascii="Times New Roman" w:hAnsi="Times New Roman" w:eastAsia="方正仿宋_GBK" w:cs="Times New Roman"/>
          <w:spacing w:val="-6"/>
          <w:sz w:val="32"/>
          <w:szCs w:val="32"/>
          <w:highlight w:val="none"/>
          <w:lang w:val="en-US" w:eastAsia="zh-CN"/>
        </w:rPr>
        <w:t>污分流、清污分流</w:t>
      </w:r>
      <w:r>
        <w:rPr>
          <w:rFonts w:hint="eastAsia" w:eastAsia="方正仿宋_GBK" w:cs="Times New Roman"/>
          <w:spacing w:val="-6"/>
          <w:sz w:val="32"/>
          <w:szCs w:val="32"/>
          <w:highlight w:val="none"/>
          <w:lang w:val="en-US" w:eastAsia="zh-CN"/>
        </w:rPr>
        <w:t>。原料堆场区域须设置初期雨水收集系统，初期雨水须引入初期雨水收集池，经沉淀处理后，于晴天分批回用于厂区绿化及道路洒水抑尘，不得外排。</w:t>
      </w:r>
      <w:r>
        <w:rPr>
          <w:rFonts w:hint="eastAsia" w:ascii="Times New Roman" w:hAnsi="Times New Roman" w:eastAsia="方正仿宋_GBK" w:cs="Times New Roman"/>
          <w:spacing w:val="-6"/>
          <w:sz w:val="32"/>
          <w:szCs w:val="32"/>
          <w:highlight w:val="none"/>
          <w:lang w:val="en-US" w:eastAsia="zh-CN"/>
        </w:rPr>
        <w:t>生活污水经化粪池预处理，锅炉废水经冷却水池冷却后，</w:t>
      </w:r>
      <w:r>
        <w:rPr>
          <w:rFonts w:hint="eastAsia" w:eastAsia="方正仿宋_GBK" w:cs="Times New Roman"/>
          <w:spacing w:val="-6"/>
          <w:sz w:val="32"/>
          <w:szCs w:val="32"/>
          <w:highlight w:val="none"/>
          <w:lang w:val="en-US" w:eastAsia="zh-CN"/>
        </w:rPr>
        <w:t>一并进入</w:t>
      </w:r>
      <w:r>
        <w:rPr>
          <w:rFonts w:hint="eastAsia" w:ascii="Times New Roman" w:hAnsi="Times New Roman" w:eastAsia="方正仿宋_GBK" w:cs="Times New Roman"/>
          <w:spacing w:val="-6"/>
          <w:sz w:val="32"/>
          <w:szCs w:val="32"/>
          <w:highlight w:val="none"/>
          <w:lang w:val="en-US" w:eastAsia="zh-CN"/>
        </w:rPr>
        <w:t>一体化污水处理设施（处理规</w:t>
      </w:r>
      <w:r>
        <w:rPr>
          <w:rFonts w:hint="default" w:ascii="Times New Roman" w:hAnsi="Times New Roman" w:eastAsia="方正仿宋_GBK" w:cs="Times New Roman"/>
          <w:spacing w:val="-6"/>
          <w:sz w:val="32"/>
          <w:szCs w:val="32"/>
          <w:highlight w:val="none"/>
          <w:lang w:val="en-US" w:eastAsia="zh-CN"/>
        </w:rPr>
        <w:t>模7.0m</w:t>
      </w:r>
      <w:r>
        <w:rPr>
          <w:rFonts w:hint="default" w:ascii="Times New Roman" w:hAnsi="Times New Roman" w:eastAsia="方正仿宋_GBK" w:cs="Times New Roman"/>
          <w:spacing w:val="-6"/>
          <w:sz w:val="32"/>
          <w:szCs w:val="32"/>
          <w:highlight w:val="none"/>
          <w:vertAlign w:val="superscript"/>
          <w:lang w:val="en-US" w:eastAsia="zh-CN"/>
        </w:rPr>
        <w:t>3</w:t>
      </w:r>
      <w:r>
        <w:rPr>
          <w:rFonts w:hint="default" w:ascii="Times New Roman" w:hAnsi="Times New Roman" w:eastAsia="方正仿宋_GBK" w:cs="Times New Roman"/>
          <w:spacing w:val="-6"/>
          <w:sz w:val="32"/>
          <w:szCs w:val="32"/>
          <w:highlight w:val="none"/>
          <w:lang w:val="en-US" w:eastAsia="zh-CN"/>
        </w:rPr>
        <w:t>/d</w:t>
      </w:r>
      <w:r>
        <w:rPr>
          <w:rFonts w:hint="eastAsia" w:ascii="Times New Roman" w:hAnsi="Times New Roman" w:eastAsia="方正仿宋_GBK" w:cs="Times New Roman"/>
          <w:spacing w:val="-6"/>
          <w:sz w:val="32"/>
          <w:szCs w:val="32"/>
          <w:highlight w:val="none"/>
          <w:lang w:val="en-US" w:eastAsia="zh-CN"/>
        </w:rPr>
        <w:t>、采用MBR工艺）</w:t>
      </w:r>
      <w:r>
        <w:rPr>
          <w:rFonts w:hint="default" w:ascii="Times New Roman" w:hAnsi="Times New Roman" w:eastAsia="方正仿宋_GBK" w:cs="Times New Roman"/>
          <w:spacing w:val="-6"/>
          <w:sz w:val="32"/>
          <w:szCs w:val="32"/>
          <w:highlight w:val="none"/>
          <w:lang w:val="en-US" w:eastAsia="zh-CN"/>
        </w:rPr>
        <w:t>处理达到《城市污水再生利用 城市杂用水水质》（GB/T18920-2020）中城市绿化标准要求后，暂存</w:t>
      </w:r>
      <w:r>
        <w:rPr>
          <w:rFonts w:hint="eastAsia" w:ascii="Times New Roman" w:hAnsi="Times New Roman" w:eastAsia="方正仿宋_GBK" w:cs="Times New Roman"/>
          <w:spacing w:val="-6"/>
          <w:sz w:val="32"/>
          <w:szCs w:val="32"/>
          <w:highlight w:val="none"/>
          <w:lang w:val="en-US" w:eastAsia="zh-CN"/>
        </w:rPr>
        <w:t>至</w:t>
      </w:r>
      <w:r>
        <w:rPr>
          <w:rFonts w:hint="default" w:ascii="Times New Roman" w:hAnsi="Times New Roman" w:eastAsia="方正仿宋_GBK" w:cs="Times New Roman"/>
          <w:spacing w:val="-6"/>
          <w:sz w:val="32"/>
          <w:szCs w:val="32"/>
          <w:highlight w:val="none"/>
          <w:lang w:val="en-US" w:eastAsia="zh-CN"/>
        </w:rPr>
        <w:t>30m</w:t>
      </w:r>
      <w:r>
        <w:rPr>
          <w:rFonts w:hint="default" w:ascii="Times New Roman" w:hAnsi="Times New Roman" w:eastAsia="方正仿宋_GBK" w:cs="Times New Roman"/>
          <w:spacing w:val="-6"/>
          <w:sz w:val="32"/>
          <w:szCs w:val="32"/>
          <w:highlight w:val="none"/>
          <w:vertAlign w:val="superscript"/>
          <w:lang w:val="en-US" w:eastAsia="zh-CN"/>
        </w:rPr>
        <w:t>3</w:t>
      </w:r>
      <w:r>
        <w:rPr>
          <w:rFonts w:hint="default" w:ascii="Times New Roman" w:hAnsi="Times New Roman" w:eastAsia="方正仿宋_GBK" w:cs="Times New Roman"/>
          <w:spacing w:val="-6"/>
          <w:sz w:val="32"/>
          <w:szCs w:val="32"/>
          <w:highlight w:val="none"/>
          <w:lang w:val="en-US" w:eastAsia="zh-CN"/>
        </w:rPr>
        <w:t>暂存池内，全部回用于厂区绿化和道路降尘，不</w:t>
      </w:r>
      <w:r>
        <w:rPr>
          <w:rFonts w:hint="eastAsia" w:ascii="Times New Roman" w:hAnsi="Times New Roman" w:eastAsia="方正仿宋_GBK" w:cs="Times New Roman"/>
          <w:spacing w:val="-6"/>
          <w:sz w:val="32"/>
          <w:szCs w:val="32"/>
          <w:highlight w:val="none"/>
          <w:lang w:val="en-US" w:eastAsia="zh-CN"/>
        </w:rPr>
        <w:t>得</w:t>
      </w:r>
      <w:r>
        <w:rPr>
          <w:rFonts w:hint="default" w:ascii="Times New Roman" w:hAnsi="Times New Roman" w:eastAsia="方正仿宋_GBK" w:cs="Times New Roman"/>
          <w:spacing w:val="-6"/>
          <w:sz w:val="32"/>
          <w:szCs w:val="32"/>
          <w:highlight w:val="none"/>
          <w:lang w:val="en-US" w:eastAsia="zh-CN"/>
        </w:rPr>
        <w:t>外排。</w:t>
      </w:r>
    </w:p>
    <w:p w14:paraId="014B130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kern w:val="2"/>
          <w:sz w:val="32"/>
          <w:szCs w:val="32"/>
          <w:highlight w:val="none"/>
          <w:lang w:val="en-US" w:eastAsia="zh-CN" w:bidi="ar-SA"/>
        </w:rPr>
        <w:t>（四）有效控制噪声环境影响。</w:t>
      </w:r>
      <w:r>
        <w:rPr>
          <w:rFonts w:hint="eastAsia" w:ascii="Times New Roman" w:hAnsi="Times New Roman" w:eastAsia="方正仿宋_GBK" w:cs="Times New Roman"/>
          <w:spacing w:val="-6"/>
          <w:sz w:val="32"/>
          <w:szCs w:val="32"/>
          <w:highlight w:val="none"/>
          <w:lang w:val="en-US" w:eastAsia="zh-CN"/>
        </w:rPr>
        <w:t>优化厂区总平面布局，优先选用低噪声设备。对高噪声设备采取基础减振、厂房隔声、安装消声器、管道外壳阻尼等</w:t>
      </w:r>
      <w:r>
        <w:rPr>
          <w:rFonts w:hint="eastAsia" w:eastAsia="方正仿宋_GBK" w:cs="Times New Roman"/>
          <w:spacing w:val="-6"/>
          <w:sz w:val="32"/>
          <w:szCs w:val="32"/>
          <w:highlight w:val="none"/>
          <w:lang w:val="en-US" w:eastAsia="zh-CN"/>
        </w:rPr>
        <w:t>有效</w:t>
      </w:r>
      <w:r>
        <w:rPr>
          <w:rFonts w:hint="eastAsia" w:ascii="Times New Roman" w:hAnsi="Times New Roman" w:eastAsia="方正仿宋_GBK" w:cs="Times New Roman"/>
          <w:spacing w:val="-6"/>
          <w:sz w:val="32"/>
          <w:szCs w:val="32"/>
          <w:highlight w:val="none"/>
          <w:lang w:val="en-US" w:eastAsia="zh-CN"/>
        </w:rPr>
        <w:t>降噪措施</w:t>
      </w:r>
      <w:r>
        <w:rPr>
          <w:rFonts w:hint="eastAsia" w:eastAsia="方正仿宋_GBK" w:cs="Times New Roman"/>
          <w:spacing w:val="-6"/>
          <w:sz w:val="32"/>
          <w:szCs w:val="32"/>
          <w:highlight w:val="none"/>
          <w:lang w:val="en-US" w:eastAsia="zh-CN"/>
        </w:rPr>
        <w:t>。加强设备维护保养及厂内运输车辆管理。在厂界四周设置立体防护绿化带。确保</w:t>
      </w:r>
      <w:r>
        <w:rPr>
          <w:rFonts w:hint="eastAsia" w:ascii="Times New Roman" w:hAnsi="Times New Roman" w:eastAsia="方正仿宋_GBK" w:cs="Times New Roman"/>
          <w:spacing w:val="-6"/>
          <w:sz w:val="32"/>
          <w:szCs w:val="32"/>
          <w:highlight w:val="none"/>
          <w:lang w:val="en-US" w:eastAsia="zh-CN"/>
        </w:rPr>
        <w:t>运营期</w:t>
      </w:r>
      <w:r>
        <w:rPr>
          <w:rFonts w:hint="eastAsia" w:eastAsia="方正仿宋_GBK" w:cs="Times New Roman"/>
          <w:spacing w:val="-6"/>
          <w:sz w:val="32"/>
          <w:szCs w:val="32"/>
          <w:highlight w:val="none"/>
          <w:lang w:val="en-US" w:eastAsia="zh-CN"/>
        </w:rPr>
        <w:t>各</w:t>
      </w:r>
      <w:r>
        <w:rPr>
          <w:rFonts w:hint="eastAsia" w:ascii="Times New Roman" w:hAnsi="Times New Roman" w:eastAsia="方正仿宋_GBK" w:cs="Times New Roman"/>
          <w:spacing w:val="-6"/>
          <w:sz w:val="32"/>
          <w:szCs w:val="32"/>
          <w:highlight w:val="none"/>
          <w:lang w:val="en-US" w:eastAsia="zh-CN"/>
        </w:rPr>
        <w:t>厂界环境噪声</w:t>
      </w:r>
      <w:r>
        <w:rPr>
          <w:rFonts w:hint="eastAsia" w:eastAsia="方正仿宋_GBK" w:cs="Times New Roman"/>
          <w:spacing w:val="-6"/>
          <w:sz w:val="32"/>
          <w:szCs w:val="32"/>
          <w:highlight w:val="none"/>
          <w:lang w:val="en-US" w:eastAsia="zh-CN"/>
        </w:rPr>
        <w:t>满足</w:t>
      </w:r>
      <w:r>
        <w:rPr>
          <w:rFonts w:hint="eastAsia" w:ascii="Times New Roman" w:hAnsi="Times New Roman" w:eastAsia="方正仿宋_GBK" w:cs="Times New Roman"/>
          <w:spacing w:val="-6"/>
          <w:sz w:val="32"/>
          <w:szCs w:val="32"/>
          <w:highlight w:val="none"/>
          <w:lang w:val="en-US" w:eastAsia="zh-CN"/>
        </w:rPr>
        <w:t>《工业企业厂界环境噪声排放标</w:t>
      </w:r>
      <w:r>
        <w:rPr>
          <w:rFonts w:hint="eastAsia" w:ascii="Times New Roman" w:hAnsi="Times New Roman" w:eastAsia="方正仿宋_GBK" w:cs="Times New Roman"/>
          <w:spacing w:val="-6"/>
          <w:sz w:val="32"/>
          <w:szCs w:val="32"/>
          <w:lang w:val="en-US" w:eastAsia="zh-CN"/>
        </w:rPr>
        <w:t>准》（GB12348-2008）3类标准</w:t>
      </w:r>
      <w:r>
        <w:rPr>
          <w:rFonts w:hint="eastAsia" w:eastAsia="方正仿宋_GBK" w:cs="Times New Roman"/>
          <w:spacing w:val="-6"/>
          <w:sz w:val="32"/>
          <w:szCs w:val="32"/>
          <w:lang w:val="en-US" w:eastAsia="zh-CN"/>
        </w:rPr>
        <w:t>限值要求</w:t>
      </w:r>
      <w:r>
        <w:rPr>
          <w:rFonts w:hint="eastAsia" w:ascii="Times New Roman" w:hAnsi="Times New Roman" w:eastAsia="方正仿宋_GBK" w:cs="Times New Roman"/>
          <w:spacing w:val="-6"/>
          <w:sz w:val="32"/>
          <w:szCs w:val="32"/>
          <w:lang w:val="en-US" w:eastAsia="zh-CN"/>
        </w:rPr>
        <w:t>。</w:t>
      </w:r>
    </w:p>
    <w:p w14:paraId="0DE90AB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kern w:val="2"/>
          <w:sz w:val="32"/>
          <w:szCs w:val="32"/>
          <w:lang w:val="en-US" w:eastAsia="zh-CN" w:bidi="ar-SA"/>
        </w:rPr>
        <w:t>（五）严格落实固体废物分类处置与管理。</w:t>
      </w:r>
      <w:r>
        <w:rPr>
          <w:rFonts w:hint="eastAsia" w:ascii="Times New Roman" w:hAnsi="Times New Roman" w:eastAsia="方正仿宋_GBK" w:cs="方正仿宋_GBK"/>
          <w:color w:val="auto"/>
          <w:kern w:val="2"/>
          <w:sz w:val="32"/>
          <w:szCs w:val="32"/>
          <w:highlight w:val="none"/>
          <w:lang w:val="en-US" w:eastAsia="zh-CN" w:bidi="ar-SA"/>
        </w:rPr>
        <w:t>一般工业固废</w:t>
      </w:r>
      <w:r>
        <w:rPr>
          <w:rFonts w:hint="eastAsia" w:eastAsia="方正仿宋_GBK" w:cs="方正仿宋_GBK"/>
          <w:color w:val="auto"/>
          <w:kern w:val="2"/>
          <w:sz w:val="32"/>
          <w:szCs w:val="32"/>
          <w:highlight w:val="none"/>
          <w:lang w:val="en-US" w:eastAsia="zh-CN" w:bidi="ar-SA"/>
        </w:rPr>
        <w:t>的</w:t>
      </w:r>
      <w:r>
        <w:rPr>
          <w:rFonts w:hint="eastAsia" w:ascii="Times New Roman" w:hAnsi="Times New Roman" w:eastAsia="方正仿宋_GBK" w:cs="方正仿宋_GBK"/>
          <w:color w:val="auto"/>
          <w:kern w:val="2"/>
          <w:sz w:val="32"/>
          <w:szCs w:val="32"/>
          <w:highlight w:val="none"/>
          <w:lang w:val="en-US" w:eastAsia="zh-CN" w:bidi="ar-SA"/>
        </w:rPr>
        <w:t>贮存</w:t>
      </w:r>
      <w:r>
        <w:rPr>
          <w:rFonts w:hint="eastAsia" w:eastAsia="方正仿宋_GBK" w:cs="方正仿宋_GBK"/>
          <w:color w:val="auto"/>
          <w:kern w:val="2"/>
          <w:sz w:val="32"/>
          <w:szCs w:val="32"/>
          <w:highlight w:val="none"/>
          <w:lang w:val="en-US" w:eastAsia="zh-CN" w:bidi="ar-SA"/>
        </w:rPr>
        <w:t>、</w:t>
      </w:r>
      <w:r>
        <w:rPr>
          <w:rFonts w:hint="eastAsia" w:ascii="Times New Roman" w:hAnsi="Times New Roman" w:eastAsia="方正仿宋_GBK" w:cs="方正仿宋_GBK"/>
          <w:color w:val="auto"/>
          <w:kern w:val="2"/>
          <w:sz w:val="32"/>
          <w:szCs w:val="32"/>
          <w:highlight w:val="none"/>
          <w:lang w:val="en-US" w:eastAsia="zh-CN" w:bidi="ar-SA"/>
        </w:rPr>
        <w:t>处置</w:t>
      </w:r>
      <w:r>
        <w:rPr>
          <w:rFonts w:hint="eastAsia" w:eastAsia="方正仿宋_GBK" w:cs="方正仿宋_GBK"/>
          <w:color w:val="auto"/>
          <w:kern w:val="2"/>
          <w:sz w:val="32"/>
          <w:szCs w:val="32"/>
          <w:highlight w:val="none"/>
          <w:lang w:val="en-US" w:eastAsia="zh-CN" w:bidi="ar-SA"/>
        </w:rPr>
        <w:t>须</w:t>
      </w:r>
      <w:r>
        <w:rPr>
          <w:rFonts w:hint="eastAsia" w:ascii="Times New Roman" w:hAnsi="Times New Roman" w:eastAsia="方正仿宋_GBK" w:cs="方正仿宋_GBK"/>
          <w:color w:val="auto"/>
          <w:kern w:val="2"/>
          <w:sz w:val="32"/>
          <w:szCs w:val="32"/>
          <w:highlight w:val="none"/>
          <w:lang w:val="en-US" w:eastAsia="zh-CN" w:bidi="ar-SA"/>
        </w:rPr>
        <w:t>严格按照《一般工业固体废物贮存和填埋污染控制标准》（GB 18599-2020）执行。化粪池及污水处理系统污泥</w:t>
      </w:r>
      <w:r>
        <w:rPr>
          <w:rFonts w:hint="default" w:ascii="Times New Roman" w:hAnsi="Times New Roman" w:eastAsia="方正仿宋_GBK" w:cs="方正仿宋_GBK"/>
          <w:color w:val="auto"/>
          <w:kern w:val="2"/>
          <w:sz w:val="32"/>
          <w:szCs w:val="32"/>
          <w:highlight w:val="none"/>
          <w:lang w:val="en-US" w:eastAsia="zh-CN" w:bidi="ar-SA"/>
        </w:rPr>
        <w:t>委托环卫部门</w:t>
      </w:r>
      <w:r>
        <w:rPr>
          <w:rFonts w:hint="eastAsia" w:ascii="Times New Roman" w:hAnsi="Times New Roman" w:eastAsia="方正仿宋_GBK" w:cs="方正仿宋_GBK"/>
          <w:color w:val="auto"/>
          <w:kern w:val="2"/>
          <w:sz w:val="32"/>
          <w:szCs w:val="32"/>
          <w:highlight w:val="none"/>
          <w:lang w:val="en-US" w:eastAsia="zh-CN" w:bidi="ar-SA"/>
        </w:rPr>
        <w:t>定期清掏处置</w:t>
      </w:r>
      <w:r>
        <w:rPr>
          <w:rFonts w:hint="default" w:ascii="Times New Roman" w:hAnsi="Times New Roman" w:eastAsia="方正仿宋_GBK" w:cs="方正仿宋_GBK"/>
          <w:color w:val="auto"/>
          <w:kern w:val="2"/>
          <w:sz w:val="32"/>
          <w:szCs w:val="32"/>
          <w:highlight w:val="none"/>
          <w:lang w:val="en-US" w:eastAsia="zh-CN" w:bidi="ar-SA"/>
        </w:rPr>
        <w:t>；</w:t>
      </w:r>
      <w:r>
        <w:rPr>
          <w:rFonts w:hint="eastAsia" w:ascii="Times New Roman" w:hAnsi="Times New Roman" w:eastAsia="方正仿宋_GBK" w:cs="方正仿宋_GBK"/>
          <w:color w:val="auto"/>
          <w:kern w:val="2"/>
          <w:sz w:val="32"/>
          <w:szCs w:val="32"/>
          <w:highlight w:val="none"/>
          <w:lang w:val="en-US" w:eastAsia="zh-CN" w:bidi="ar-SA"/>
        </w:rPr>
        <w:t>废边角料及不合格产品用于锅炉燃料或外售</w:t>
      </w:r>
      <w:r>
        <w:rPr>
          <w:rFonts w:hint="default" w:ascii="Times New Roman" w:hAnsi="Times New Roman" w:eastAsia="方正仿宋_GBK" w:cs="方正仿宋_GBK"/>
          <w:color w:val="auto"/>
          <w:kern w:val="2"/>
          <w:sz w:val="32"/>
          <w:szCs w:val="32"/>
          <w:highlight w:val="none"/>
          <w:lang w:val="en-US" w:eastAsia="zh-CN" w:bidi="ar-SA"/>
        </w:rPr>
        <w:t>；</w:t>
      </w:r>
      <w:r>
        <w:rPr>
          <w:rFonts w:hint="eastAsia" w:ascii="Times New Roman" w:hAnsi="Times New Roman" w:eastAsia="方正仿宋_GBK" w:cs="方正仿宋_GBK"/>
          <w:color w:val="auto"/>
          <w:kern w:val="2"/>
          <w:sz w:val="32"/>
          <w:szCs w:val="32"/>
          <w:highlight w:val="none"/>
          <w:lang w:val="en-US" w:eastAsia="zh-CN" w:bidi="ar-SA"/>
        </w:rPr>
        <w:t>除尘器粉尘、锅炉炉渣委托周边农户做农田肥料综合利用；废离子交换树脂收集后外售资源回收利用公司。</w:t>
      </w:r>
      <w:r>
        <w:rPr>
          <w:rFonts w:hint="default" w:ascii="Times New Roman" w:hAnsi="Times New Roman" w:eastAsia="方正仿宋_GBK" w:cs="方正仿宋_GBK"/>
          <w:color w:val="auto"/>
          <w:kern w:val="2"/>
          <w:sz w:val="32"/>
          <w:szCs w:val="32"/>
          <w:highlight w:val="none"/>
          <w:lang w:val="en-US" w:eastAsia="zh-CN" w:bidi="ar-SA"/>
        </w:rPr>
        <w:t>废</w:t>
      </w:r>
      <w:r>
        <w:rPr>
          <w:rFonts w:hint="eastAsia" w:ascii="Times New Roman" w:hAnsi="Times New Roman" w:eastAsia="方正仿宋_GBK" w:cs="方正仿宋_GBK"/>
          <w:color w:val="auto"/>
          <w:kern w:val="2"/>
          <w:sz w:val="32"/>
          <w:szCs w:val="32"/>
          <w:highlight w:val="none"/>
          <w:lang w:val="en-US" w:eastAsia="zh-CN" w:bidi="ar-SA"/>
        </w:rPr>
        <w:t>润滑</w:t>
      </w:r>
      <w:r>
        <w:rPr>
          <w:rFonts w:hint="default" w:ascii="Times New Roman" w:hAnsi="Times New Roman" w:eastAsia="方正仿宋_GBK" w:cs="方正仿宋_GBK"/>
          <w:color w:val="auto"/>
          <w:kern w:val="2"/>
          <w:sz w:val="32"/>
          <w:szCs w:val="32"/>
          <w:highlight w:val="none"/>
          <w:lang w:val="en-US" w:eastAsia="zh-CN" w:bidi="ar-SA"/>
        </w:rPr>
        <w:t>油</w:t>
      </w:r>
      <w:r>
        <w:rPr>
          <w:rFonts w:hint="eastAsia" w:ascii="Times New Roman" w:hAnsi="Times New Roman" w:eastAsia="方正仿宋_GBK" w:cs="方正仿宋_GBK"/>
          <w:color w:val="auto"/>
          <w:kern w:val="2"/>
          <w:sz w:val="32"/>
          <w:szCs w:val="32"/>
          <w:highlight w:val="none"/>
          <w:lang w:val="en-US" w:eastAsia="zh-CN" w:bidi="ar-SA"/>
        </w:rPr>
        <w:t>、废胶桶等危险废物须</w:t>
      </w:r>
      <w:r>
        <w:rPr>
          <w:rFonts w:hint="default" w:ascii="Times New Roman" w:hAnsi="Times New Roman" w:eastAsia="方正仿宋_GBK" w:cs="方正仿宋_GBK"/>
          <w:color w:val="auto"/>
          <w:kern w:val="2"/>
          <w:sz w:val="32"/>
          <w:szCs w:val="32"/>
          <w:highlight w:val="none"/>
          <w:lang w:val="en-US" w:eastAsia="zh-CN" w:bidi="ar-SA"/>
        </w:rPr>
        <w:t>暂存</w:t>
      </w:r>
      <w:r>
        <w:rPr>
          <w:rFonts w:hint="eastAsia" w:ascii="Times New Roman" w:hAnsi="Times New Roman" w:eastAsia="方正仿宋_GBK" w:cs="方正仿宋_GBK"/>
          <w:color w:val="auto"/>
          <w:kern w:val="2"/>
          <w:sz w:val="32"/>
          <w:szCs w:val="32"/>
          <w:highlight w:val="none"/>
          <w:lang w:val="en-US" w:eastAsia="zh-CN" w:bidi="ar-SA"/>
        </w:rPr>
        <w:t>至</w:t>
      </w:r>
      <w:r>
        <w:rPr>
          <w:rFonts w:hint="default" w:ascii="Times New Roman" w:hAnsi="Times New Roman" w:eastAsia="方正仿宋_GBK" w:cs="方正仿宋_GBK"/>
          <w:color w:val="auto"/>
          <w:kern w:val="2"/>
          <w:sz w:val="32"/>
          <w:szCs w:val="32"/>
          <w:highlight w:val="none"/>
          <w:lang w:val="en-US" w:eastAsia="zh-CN" w:bidi="ar-SA"/>
        </w:rPr>
        <w:t>危废贮存库</w:t>
      </w:r>
      <w:r>
        <w:rPr>
          <w:rFonts w:hint="eastAsia" w:ascii="Times New Roman" w:hAnsi="Times New Roman"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委托有资质单位定期清运处置</w:t>
      </w:r>
      <w:r>
        <w:rPr>
          <w:rFonts w:hint="eastAsia" w:ascii="Times New Roman" w:hAnsi="Times New Roman" w:eastAsia="方正仿宋_GBK" w:cs="方正仿宋_GBK"/>
          <w:color w:val="auto"/>
          <w:kern w:val="2"/>
          <w:sz w:val="32"/>
          <w:szCs w:val="32"/>
          <w:highlight w:val="none"/>
          <w:lang w:val="en-US" w:eastAsia="zh-CN" w:bidi="ar-SA"/>
        </w:rPr>
        <w:t>。危险废物的暂存、转移、外运管理须严格执行《危险废物贮存污染控制标准》(GB18597-2023)及《危险废物转移管理办法》等相关要求，执行危险废物转移联单制度，建立管</w:t>
      </w:r>
      <w:r>
        <w:rPr>
          <w:rFonts w:hint="eastAsia" w:ascii="Times New Roman" w:hAnsi="Times New Roman" w:eastAsia="方正仿宋_GBK" w:cs="Times New Roman"/>
          <w:kern w:val="2"/>
          <w:sz w:val="32"/>
          <w:szCs w:val="24"/>
          <w:lang w:val="en-US" w:eastAsia="zh-CN" w:bidi="ar-SA"/>
        </w:rPr>
        <w:t>理台账，存档备查。</w:t>
      </w:r>
    </w:p>
    <w:p w14:paraId="63BA1C14">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（六）强化土壤与地下水环境保护。</w:t>
      </w:r>
      <w:r>
        <w:rPr>
          <w:rFonts w:hint="default" w:ascii="Times New Roman" w:hAnsi="Times New Roman" w:eastAsia="方正仿宋_GBK" w:cs="Times New Roman"/>
          <w:kern w:val="2"/>
          <w:sz w:val="32"/>
          <w:szCs w:val="24"/>
          <w:lang w:val="en-US" w:eastAsia="zh-CN" w:bidi="ar-SA"/>
        </w:rPr>
        <w:t>严格落实《报告</w:t>
      </w:r>
      <w:r>
        <w:rPr>
          <w:rFonts w:hint="eastAsia" w:ascii="Times New Roman" w:hAnsi="Times New Roman" w:eastAsia="方正仿宋_GBK" w:cs="Times New Roman"/>
          <w:kern w:val="2"/>
          <w:sz w:val="32"/>
          <w:szCs w:val="24"/>
          <w:lang w:val="en-US" w:eastAsia="zh-CN" w:bidi="ar-SA"/>
        </w:rPr>
        <w:t>表</w:t>
      </w:r>
      <w:r>
        <w:rPr>
          <w:rFonts w:hint="default" w:ascii="Times New Roman" w:hAnsi="Times New Roman" w:eastAsia="方正仿宋_GBK" w:cs="Times New Roman"/>
          <w:kern w:val="2"/>
          <w:sz w:val="32"/>
          <w:szCs w:val="24"/>
          <w:lang w:val="en-US" w:eastAsia="zh-CN" w:bidi="ar-SA"/>
        </w:rPr>
        <w:t>》提出</w:t>
      </w:r>
      <w:r>
        <w:rPr>
          <w:rFonts w:hint="eastAsia" w:ascii="Times New Roman" w:hAnsi="Times New Roman" w:eastAsia="方正仿宋_GBK" w:cs="Times New Roman"/>
          <w:kern w:val="2"/>
          <w:sz w:val="32"/>
          <w:szCs w:val="24"/>
          <w:lang w:val="en-US" w:eastAsia="zh-CN" w:bidi="ar-SA"/>
        </w:rPr>
        <w:t>的</w:t>
      </w:r>
      <w:r>
        <w:rPr>
          <w:rFonts w:hint="default" w:ascii="Times New Roman" w:hAnsi="Times New Roman" w:eastAsia="方正仿宋_GBK" w:cs="Times New Roman"/>
          <w:kern w:val="2"/>
          <w:sz w:val="32"/>
          <w:szCs w:val="24"/>
          <w:lang w:val="en-US" w:eastAsia="zh-CN" w:bidi="ar-SA"/>
        </w:rPr>
        <w:t>各项分区防渗措施</w:t>
      </w:r>
      <w:r>
        <w:rPr>
          <w:rFonts w:hint="eastAsia" w:ascii="Times New Roman" w:hAnsi="Times New Roman" w:eastAsia="方正仿宋_GBK" w:cs="Times New Roman"/>
          <w:kern w:val="2"/>
          <w:sz w:val="32"/>
          <w:szCs w:val="24"/>
          <w:lang w:val="en-US" w:eastAsia="zh-CN" w:bidi="ar-SA"/>
        </w:rPr>
        <w:t>，危废贮存库、涂胶作业区、胶料及机油仓储区划分为重点防渗区，污水处理设施、化粪池、初期雨水收集池等区域划分为一般防渗区，生产厂房、办公生活用房等其他区域划分为简单防渗区。</w:t>
      </w:r>
      <w:r>
        <w:rPr>
          <w:rFonts w:hint="default" w:ascii="Times New Roman" w:hAnsi="Times New Roman" w:eastAsia="方正仿宋_GBK" w:cs="Times New Roman"/>
          <w:kern w:val="2"/>
          <w:sz w:val="32"/>
          <w:szCs w:val="24"/>
          <w:lang w:val="en-US" w:eastAsia="zh-CN" w:bidi="ar-SA"/>
        </w:rPr>
        <w:t>防渗技</w:t>
      </w:r>
      <w:r>
        <w:rPr>
          <w:rFonts w:hint="default" w:ascii="Times New Roman" w:hAnsi="Times New Roman" w:eastAsia="方正仿宋_GBK" w:cs="方正仿宋_GBK"/>
          <w:color w:val="auto"/>
          <w:kern w:val="2"/>
          <w:sz w:val="32"/>
          <w:szCs w:val="32"/>
          <w:highlight w:val="none"/>
          <w:lang w:val="en-US" w:eastAsia="zh-CN" w:bidi="ar-SA"/>
        </w:rPr>
        <w:t>术要求</w:t>
      </w:r>
      <w:r>
        <w:rPr>
          <w:rFonts w:hint="eastAsia" w:ascii="Times New Roman" w:hAnsi="Times New Roman" w:eastAsia="方正仿宋_GBK" w:cs="方正仿宋_GBK"/>
          <w:color w:val="auto"/>
          <w:kern w:val="2"/>
          <w:sz w:val="32"/>
          <w:szCs w:val="32"/>
          <w:highlight w:val="none"/>
          <w:lang w:val="en-US" w:eastAsia="zh-CN" w:bidi="ar-SA"/>
        </w:rPr>
        <w:t>按照</w:t>
      </w:r>
      <w:r>
        <w:rPr>
          <w:rFonts w:hint="default" w:ascii="Times New Roman" w:hAnsi="Times New Roman" w:eastAsia="方正仿宋_GBK" w:cs="Times New Roman"/>
          <w:color w:val="000000"/>
          <w:kern w:val="2"/>
          <w:sz w:val="32"/>
          <w:szCs w:val="32"/>
          <w:highlight w:val="none"/>
          <w:lang w:val="en-US" w:eastAsia="zh-CN" w:bidi="ar-SA"/>
        </w:rPr>
        <w:t>《环境影响评价</w:t>
      </w:r>
      <w:r>
        <w:rPr>
          <w:rFonts w:hint="default" w:ascii="Times New Roman" w:hAnsi="Times New Roman" w:eastAsia="方正仿宋_GBK" w:cs="Times New Roman"/>
          <w:kern w:val="2"/>
          <w:sz w:val="32"/>
          <w:szCs w:val="24"/>
          <w:lang w:val="en-US" w:eastAsia="zh-CN" w:bidi="ar-SA"/>
        </w:rPr>
        <w:t>技术导则 地下水环境》（HJ 610</w:t>
      </w:r>
      <w:r>
        <w:rPr>
          <w:rFonts w:hint="eastAsia" w:ascii="Times New Roman" w:hAnsi="Times New Roman" w:eastAsia="方正仿宋_GBK" w:cs="Times New Roman"/>
          <w:kern w:val="2"/>
          <w:sz w:val="32"/>
          <w:szCs w:val="24"/>
          <w:lang w:val="en-US" w:eastAsia="zh-CN" w:bidi="ar-SA"/>
        </w:rPr>
        <w:t>-2016</w:t>
      </w:r>
      <w:r>
        <w:rPr>
          <w:rFonts w:hint="default" w:ascii="Times New Roman" w:hAnsi="Times New Roman"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的相关规定执行。定期对污水处理站、危废暂存间、污水管网等进行巡检和维护，严防“跑、冒、滴、漏”现象发生，避免污染土壤和地下水。</w:t>
      </w:r>
    </w:p>
    <w:p w14:paraId="08DFCD0C">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（七）加强环境风险防范与应急管理。</w:t>
      </w:r>
      <w:r>
        <w:rPr>
          <w:rFonts w:hint="eastAsia" w:ascii="Times New Roman" w:hAnsi="Times New Roman" w:eastAsia="方正仿宋_GBK" w:cs="Times New Roman"/>
          <w:kern w:val="2"/>
          <w:sz w:val="32"/>
          <w:szCs w:val="24"/>
          <w:lang w:val="en-US" w:eastAsia="zh-CN" w:bidi="ar-SA"/>
        </w:rPr>
        <w:t>严格落实《报告表》提出的</w:t>
      </w:r>
      <w:r>
        <w:rPr>
          <w:rFonts w:hint="eastAsia" w:eastAsia="方正仿宋_GBK" w:cs="Times New Roman"/>
          <w:kern w:val="2"/>
          <w:sz w:val="32"/>
          <w:szCs w:val="24"/>
          <w:lang w:val="en-US" w:eastAsia="zh-CN" w:bidi="ar-SA"/>
        </w:rPr>
        <w:t>各项</w:t>
      </w:r>
      <w:r>
        <w:rPr>
          <w:rFonts w:hint="eastAsia" w:ascii="Times New Roman" w:hAnsi="Times New Roman" w:eastAsia="方正仿宋_GBK" w:cs="Times New Roman"/>
          <w:kern w:val="2"/>
          <w:sz w:val="32"/>
          <w:szCs w:val="24"/>
          <w:lang w:val="en-US" w:eastAsia="zh-CN" w:bidi="ar-SA"/>
        </w:rPr>
        <w:t>风险防控措施，并于投产前</w:t>
      </w:r>
      <w:r>
        <w:rPr>
          <w:rFonts w:hint="eastAsia" w:eastAsia="方正仿宋_GBK" w:cs="Times New Roman"/>
          <w:kern w:val="2"/>
          <w:sz w:val="32"/>
          <w:szCs w:val="24"/>
          <w:lang w:val="en-US" w:eastAsia="zh-CN" w:bidi="ar-SA"/>
        </w:rPr>
        <w:t>编制</w:t>
      </w:r>
      <w:r>
        <w:rPr>
          <w:rFonts w:hint="eastAsia" w:ascii="Times New Roman" w:hAnsi="Times New Roman" w:eastAsia="方正仿宋_GBK" w:cs="Times New Roman"/>
          <w:kern w:val="2"/>
          <w:sz w:val="32"/>
          <w:szCs w:val="24"/>
          <w:lang w:val="en-US" w:eastAsia="zh-CN" w:bidi="ar-SA"/>
        </w:rPr>
        <w:t>突发环境事件应急预案，报属地生态环境主管部门备案</w:t>
      </w:r>
      <w:r>
        <w:rPr>
          <w:rFonts w:hint="eastAsia" w:eastAsia="方正仿宋_GBK" w:cs="Times New Roman"/>
          <w:kern w:val="2"/>
          <w:sz w:val="32"/>
          <w:szCs w:val="24"/>
          <w:lang w:val="en-US" w:eastAsia="zh-CN" w:bidi="ar-SA"/>
        </w:rPr>
        <w:t>。厂区须建设1座有效容积不小于15</w:t>
      </w:r>
      <w:r>
        <w:rPr>
          <w:rFonts w:hint="default" w:ascii="Times New Roman" w:hAnsi="Times New Roman" w:eastAsia="方正仿宋_GBK" w:cs="Times New Roman"/>
          <w:spacing w:val="-6"/>
          <w:sz w:val="32"/>
          <w:szCs w:val="32"/>
          <w:highlight w:val="none"/>
          <w:lang w:val="en-US" w:eastAsia="zh-CN"/>
        </w:rPr>
        <w:t>m</w:t>
      </w:r>
      <w:r>
        <w:rPr>
          <w:rFonts w:hint="default" w:ascii="Times New Roman" w:hAnsi="Times New Roman" w:eastAsia="方正仿宋_GBK" w:cs="Times New Roman"/>
          <w:spacing w:val="-6"/>
          <w:sz w:val="32"/>
          <w:szCs w:val="32"/>
          <w:highlight w:val="none"/>
          <w:vertAlign w:val="superscript"/>
          <w:lang w:val="en-US" w:eastAsia="zh-CN"/>
        </w:rPr>
        <w:t>3</w:t>
      </w:r>
      <w:r>
        <w:rPr>
          <w:rFonts w:hint="eastAsia" w:eastAsia="方正仿宋_GBK" w:cs="Times New Roman"/>
          <w:kern w:val="2"/>
          <w:sz w:val="32"/>
          <w:szCs w:val="24"/>
          <w:lang w:val="en-US" w:eastAsia="zh-CN" w:bidi="ar-SA"/>
        </w:rPr>
        <w:t>的事故应急池，</w:t>
      </w:r>
      <w:r>
        <w:rPr>
          <w:rFonts w:hint="eastAsia" w:ascii="Times New Roman" w:hAnsi="Times New Roman" w:eastAsia="方正仿宋_GBK" w:cs="Times New Roman"/>
          <w:kern w:val="2"/>
          <w:sz w:val="32"/>
          <w:szCs w:val="24"/>
          <w:lang w:val="en-US" w:eastAsia="zh-CN" w:bidi="ar-SA"/>
        </w:rPr>
        <w:t>用于收集事故状态下的消防废水，事故池须保持常空状态。按规范配备足够的消防器材和应急物资，定期组织开展环境应急演练，提升应对突发环境事件的能力。</w:t>
      </w:r>
    </w:p>
    <w:p w14:paraId="4F9913ED">
      <w:pPr>
        <w:keepNext w:val="0"/>
        <w:keepLines w:val="0"/>
        <w:pageBreakBefore w:val="0"/>
        <w:widowControl w:val="0"/>
        <w:kinsoku/>
        <w:wordWrap/>
        <w:overflowPunct/>
        <w:topLinePunct/>
        <w:autoSpaceDE/>
        <w:autoSpaceDN/>
        <w:bidi w:val="0"/>
        <w:adjustRightInd/>
        <w:snapToGrid/>
        <w:spacing w:line="560" w:lineRule="exact"/>
        <w:ind w:firstLine="960" w:firstLineChars="300"/>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color w:val="000000"/>
          <w:sz w:val="32"/>
          <w:szCs w:val="32"/>
          <w:highlight w:val="none"/>
        </w:rPr>
        <w:t>（</w:t>
      </w:r>
      <w:r>
        <w:rPr>
          <w:rFonts w:hint="eastAsia" w:ascii="方正楷体_GBK" w:hAnsi="方正楷体_GBK" w:eastAsia="方正楷体_GBK" w:cs="方正楷体_GBK"/>
          <w:kern w:val="2"/>
          <w:sz w:val="32"/>
          <w:szCs w:val="32"/>
          <w:lang w:val="en-US" w:eastAsia="zh-CN" w:bidi="ar-SA"/>
        </w:rPr>
        <w:t>八）严格落实项目主要污染物总量控制制度。</w:t>
      </w:r>
      <w:r>
        <w:rPr>
          <w:rFonts w:hint="eastAsia" w:ascii="Times New Roman" w:hAnsi="Times New Roman" w:eastAsia="方正仿宋_GBK" w:cs="Times New Roman"/>
          <w:kern w:val="2"/>
          <w:sz w:val="32"/>
          <w:szCs w:val="24"/>
          <w:lang w:val="en-US" w:eastAsia="zh-CN" w:bidi="ar-SA"/>
        </w:rPr>
        <w:t>根据《报告表》核算及德宏州生态环境局梁河分局的初步审查意见，项目建成后</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氮氧化物有组织排放总量控制指标核定为0.793吨/年，其来源为中粮梁河糖业有限公司梁河工厂关停形成的减排量替代。你公司须严格落实总量控制要求，其他污染物排放须按《报告表》及本批复要求进行严格控制。所有总量控制指标由德宏州生态环境局梁河分局纳入统一监管。</w:t>
      </w:r>
    </w:p>
    <w:p w14:paraId="2294FDAC">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三、</w:t>
      </w:r>
      <w:r>
        <w:rPr>
          <w:rFonts w:hint="eastAsia" w:ascii="Times New Roman" w:hAnsi="Times New Roman" w:eastAsia="方正仿宋_GBK" w:cs="Times New Roman"/>
          <w:kern w:val="2"/>
          <w:sz w:val="32"/>
          <w:szCs w:val="24"/>
          <w:lang w:val="en-US" w:eastAsia="zh-CN" w:bidi="ar-SA"/>
        </w:rPr>
        <w:t>项目建设必须严格执行配套建设的环境保护设施与主体工程同时设计、同时施工、同时投入使用的环境保护“三同时”制度。项目竣工后，你公司应按规定标准和程序开展环境保护设施验收，验收合格后方可正式投入生产，并按照要求登录全国建设项目竣工环境保护验收信息平台，填报建设项目基本信息、环境保护设施验收情况等相关信息。在启动生产设施或者发生实际排污前，你公司应在全国排污许可证管理信息平台-公开端（http://permit.mee.gov.cn）填报排污登记表，登记基本信息、污染物排放去向、执行的污染物排放标准及采取的污染防治措施等。</w:t>
      </w:r>
    </w:p>
    <w:p w14:paraId="7BB1F63D">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四、</w:t>
      </w:r>
      <w:r>
        <w:rPr>
          <w:rFonts w:hint="eastAsia" w:ascii="Times New Roman" w:hAnsi="Times New Roman" w:eastAsia="方正仿宋_GBK" w:cs="Times New Roman"/>
          <w:kern w:val="2"/>
          <w:sz w:val="32"/>
          <w:szCs w:val="24"/>
          <w:lang w:val="en-US" w:eastAsia="zh-CN" w:bidi="ar-SA"/>
        </w:rPr>
        <w:t>《报告表》经批准后，如项目的性质、规模、地点、采用的生产工艺或者防治污染、防止生态破坏的措施发生重大变动的，建设单位应当重新报批项目环境影响评价文件。自《报告表》批准之日起</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如超过5年方决定开工建设的</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《报告表》应当重新报审。</w:t>
      </w:r>
    </w:p>
    <w:p w14:paraId="742970C0">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五、</w:t>
      </w:r>
      <w:r>
        <w:rPr>
          <w:rFonts w:hint="eastAsia" w:ascii="Times New Roman" w:hAnsi="Times New Roman" w:eastAsia="方正仿宋_GBK" w:cs="Times New Roman"/>
          <w:kern w:val="2"/>
          <w:sz w:val="32"/>
          <w:szCs w:val="24"/>
          <w:lang w:val="en-US" w:eastAsia="zh-CN" w:bidi="ar-SA"/>
        </w:rPr>
        <w:t>请你</w:t>
      </w:r>
      <w:r>
        <w:rPr>
          <w:rFonts w:hint="eastAsia" w:ascii="Times New Roman" w:hAnsi="Times New Roman" w:eastAsia="方正仿宋_GBK" w:cs="方正仿宋_GBK"/>
          <w:kern w:val="2"/>
          <w:sz w:val="32"/>
          <w:szCs w:val="32"/>
          <w:highlight w:val="none"/>
          <w:lang w:val="en-US" w:eastAsia="zh-CN" w:bidi="ar-SA"/>
        </w:rPr>
        <w:t>公司在收到本批复后20个工作日内，将批准后的《报告表》及本批复文件报送州生态环境保护综合行政执法支队及德宏州生态环境局</w:t>
      </w:r>
      <w:r>
        <w:rPr>
          <w:rFonts w:hint="eastAsia" w:eastAsia="方正仿宋_GBK" w:cs="方正仿宋_GBK"/>
          <w:kern w:val="2"/>
          <w:sz w:val="32"/>
          <w:szCs w:val="32"/>
          <w:highlight w:val="none"/>
          <w:lang w:val="en-US" w:eastAsia="zh-CN" w:bidi="ar-SA"/>
        </w:rPr>
        <w:t>梁河</w:t>
      </w:r>
      <w:r>
        <w:rPr>
          <w:rFonts w:hint="eastAsia" w:ascii="Times New Roman" w:hAnsi="Times New Roman" w:eastAsia="方正仿宋_GBK" w:cs="方正仿宋_GBK"/>
          <w:kern w:val="2"/>
          <w:sz w:val="32"/>
          <w:szCs w:val="32"/>
          <w:highlight w:val="none"/>
          <w:lang w:val="en-US" w:eastAsia="zh-CN" w:bidi="ar-SA"/>
        </w:rPr>
        <w:t>分局，并严格落实污染防治主体责任，及时排查并消除环境风险隐患，自觉接受各级生态环境主管部门的监督检查，按要求完成问题整改。</w:t>
      </w:r>
    </w:p>
    <w:p w14:paraId="623C1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黑体_GBK" w:cs="Times New Roman"/>
          <w:kern w:val="2"/>
          <w:sz w:val="32"/>
          <w:szCs w:val="32"/>
          <w:lang w:val="en-US" w:eastAsia="zh-CN" w:bidi="ar-SA"/>
        </w:rPr>
        <w:t>六、</w:t>
      </w:r>
      <w:r>
        <w:rPr>
          <w:rFonts w:hint="eastAsia" w:ascii="Times New Roman" w:hAnsi="Times New Roman" w:eastAsia="方正仿宋_GBK" w:cs="方正仿宋_GBK"/>
          <w:sz w:val="32"/>
          <w:szCs w:val="32"/>
          <w:highlight w:val="none"/>
        </w:rPr>
        <w:t>州生态环境局相关科室及直属单位应按照职责分工，加强对项目的监督指导</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州</w:t>
      </w:r>
      <w:r>
        <w:rPr>
          <w:rFonts w:hint="eastAsia" w:ascii="Times New Roman" w:hAnsi="Times New Roman" w:eastAsia="方正仿宋_GBK" w:cs="方正仿宋_GBK"/>
          <w:sz w:val="32"/>
          <w:szCs w:val="32"/>
          <w:highlight w:val="none"/>
        </w:rPr>
        <w:t>生态环境局</w:t>
      </w:r>
      <w:r>
        <w:rPr>
          <w:rFonts w:hint="eastAsia" w:eastAsia="方正仿宋_GBK" w:cs="方正仿宋_GBK"/>
          <w:sz w:val="32"/>
          <w:szCs w:val="32"/>
          <w:highlight w:val="none"/>
          <w:lang w:val="en-US" w:eastAsia="zh-CN"/>
        </w:rPr>
        <w:t>梁河</w:t>
      </w:r>
      <w:r>
        <w:rPr>
          <w:rFonts w:hint="eastAsia" w:ascii="Times New Roman" w:hAnsi="Times New Roman" w:eastAsia="方正仿宋_GBK" w:cs="方正仿宋_GBK"/>
          <w:sz w:val="32"/>
          <w:szCs w:val="32"/>
          <w:highlight w:val="none"/>
        </w:rPr>
        <w:t>分局要</w:t>
      </w:r>
      <w:r>
        <w:rPr>
          <w:rFonts w:hint="eastAsia" w:eastAsia="方正仿宋_GBK" w:cs="方正仿宋_GBK"/>
          <w:sz w:val="32"/>
          <w:szCs w:val="32"/>
          <w:highlight w:val="none"/>
          <w:lang w:val="en-US" w:eastAsia="zh-CN"/>
        </w:rPr>
        <w:t>切实</w:t>
      </w:r>
      <w:r>
        <w:rPr>
          <w:rFonts w:hint="eastAsia" w:ascii="Times New Roman" w:hAnsi="Times New Roman" w:eastAsia="方正仿宋_GBK" w:cs="方正仿宋_GBK"/>
          <w:sz w:val="32"/>
          <w:szCs w:val="32"/>
          <w:highlight w:val="none"/>
        </w:rPr>
        <w:t>履行属地监管职责</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承担事中事后监管</w:t>
      </w:r>
      <w:r>
        <w:rPr>
          <w:rFonts w:hint="eastAsia" w:eastAsia="方正仿宋_GBK" w:cs="方正仿宋_GBK"/>
          <w:sz w:val="32"/>
          <w:szCs w:val="32"/>
          <w:highlight w:val="none"/>
          <w:lang w:val="en-US" w:eastAsia="zh-CN"/>
        </w:rPr>
        <w:t>主体</w:t>
      </w:r>
      <w:r>
        <w:rPr>
          <w:rFonts w:hint="eastAsia" w:ascii="Times New Roman" w:hAnsi="Times New Roman" w:eastAsia="方正仿宋_GBK" w:cs="方正仿宋_GBK"/>
          <w:sz w:val="32"/>
          <w:szCs w:val="32"/>
          <w:highlight w:val="none"/>
        </w:rPr>
        <w:t>责任，</w:t>
      </w:r>
      <w:r>
        <w:rPr>
          <w:rFonts w:hint="eastAsia" w:eastAsia="方正仿宋_GBK" w:cs="方正仿宋_GBK"/>
          <w:sz w:val="32"/>
          <w:szCs w:val="32"/>
          <w:highlight w:val="none"/>
          <w:lang w:val="en-US" w:eastAsia="zh-CN"/>
        </w:rPr>
        <w:t>依据相关</w:t>
      </w:r>
      <w:r>
        <w:rPr>
          <w:rFonts w:hint="eastAsia" w:ascii="Times New Roman" w:hAnsi="Times New Roman" w:eastAsia="方正仿宋_GBK" w:cs="方正仿宋_GBK"/>
          <w:sz w:val="32"/>
          <w:szCs w:val="32"/>
          <w:highlight w:val="none"/>
        </w:rPr>
        <w:t>法律法规及《关于进一步完善建设项目环境保护“三同时”及竣工环境保护自主验收监管工作机制的意见》（环执法〔2021〕70号）等文件要求，加强对该项目环境保护“三同时”</w:t>
      </w:r>
      <w:r>
        <w:rPr>
          <w:rFonts w:hint="eastAsia" w:eastAsia="方正仿宋_GBK" w:cs="方正仿宋_GBK"/>
          <w:sz w:val="32"/>
          <w:szCs w:val="32"/>
          <w:highlight w:val="none"/>
          <w:lang w:val="en-US" w:eastAsia="zh-CN"/>
        </w:rPr>
        <w:t>执行情况</w:t>
      </w:r>
      <w:r>
        <w:rPr>
          <w:rFonts w:hint="eastAsia" w:ascii="Times New Roman" w:hAnsi="Times New Roman" w:eastAsia="方正仿宋_GBK" w:cs="方正仿宋_GBK"/>
          <w:sz w:val="32"/>
          <w:szCs w:val="32"/>
          <w:highlight w:val="none"/>
        </w:rPr>
        <w:t>、竣工环境保护自主验收</w:t>
      </w:r>
      <w:r>
        <w:rPr>
          <w:rFonts w:hint="eastAsia" w:eastAsia="方正仿宋_GBK" w:cs="方正仿宋_GBK"/>
          <w:sz w:val="32"/>
          <w:szCs w:val="32"/>
          <w:highlight w:val="none"/>
          <w:lang w:val="en-US" w:eastAsia="zh-CN"/>
        </w:rPr>
        <w:t>及</w:t>
      </w:r>
      <w:r>
        <w:rPr>
          <w:rFonts w:hint="eastAsia" w:ascii="Times New Roman" w:hAnsi="Times New Roman" w:eastAsia="方正仿宋_GBK" w:cs="方正仿宋_GBK"/>
          <w:sz w:val="32"/>
          <w:szCs w:val="32"/>
          <w:highlight w:val="none"/>
        </w:rPr>
        <w:t>日常运行等</w:t>
      </w:r>
      <w:r>
        <w:rPr>
          <w:rFonts w:hint="eastAsia" w:eastAsia="方正仿宋_GBK" w:cs="方正仿宋_GBK"/>
          <w:sz w:val="32"/>
          <w:szCs w:val="32"/>
          <w:highlight w:val="none"/>
          <w:lang w:val="en-US" w:eastAsia="zh-CN"/>
        </w:rPr>
        <w:t>的</w:t>
      </w:r>
      <w:r>
        <w:rPr>
          <w:rFonts w:hint="eastAsia" w:ascii="Times New Roman" w:hAnsi="Times New Roman" w:eastAsia="方正仿宋_GBK" w:cs="方正仿宋_GBK"/>
          <w:sz w:val="32"/>
          <w:szCs w:val="32"/>
          <w:highlight w:val="none"/>
        </w:rPr>
        <w:t>执法监管工作。</w:t>
      </w:r>
    </w:p>
    <w:p w14:paraId="233A22E9">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rPr>
      </w:pPr>
    </w:p>
    <w:p w14:paraId="06E07502">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rPr>
      </w:pPr>
    </w:p>
    <w:p w14:paraId="765C24D7">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德宏州生态环境局</w:t>
      </w:r>
      <w:r>
        <w:rPr>
          <w:rFonts w:hint="eastAsia" w:eastAsia="方正仿宋_GBK" w:cs="Times New Roman"/>
          <w:bCs/>
          <w:sz w:val="32"/>
          <w:szCs w:val="32"/>
          <w:lang w:val="en-US" w:eastAsia="zh-CN"/>
        </w:rPr>
        <w:t xml:space="preserve">   </w:t>
      </w:r>
    </w:p>
    <w:p w14:paraId="79110485">
      <w:pPr>
        <w:keepNext w:val="0"/>
        <w:keepLines w:val="0"/>
        <w:pageBreakBefore w:val="0"/>
        <w:widowControl w:val="0"/>
        <w:kinsoku/>
        <w:wordWrap w:val="0"/>
        <w:overflowPunct/>
        <w:topLinePunct/>
        <w:autoSpaceDE/>
        <w:autoSpaceDN/>
        <w:bidi w:val="0"/>
        <w:adjustRightInd/>
        <w:snapToGrid/>
        <w:spacing w:line="540" w:lineRule="exact"/>
        <w:jc w:val="both"/>
        <w:textAlignment w:val="auto"/>
        <w:rPr>
          <w:rFonts w:hint="eastAsia" w:eastAsia="方正仿宋_GBK" w:cs="Times New Roman"/>
          <w:bCs/>
          <w:sz w:val="32"/>
          <w:szCs w:val="32"/>
          <w:highlight w:val="none"/>
          <w:shd w:val="clear" w:color="auto" w:fill="auto"/>
          <w:lang w:val="en-US" w:eastAsia="zh-CN"/>
        </w:rPr>
      </w:pPr>
      <w:r>
        <w:rPr>
          <w:rFonts w:hint="eastAsia"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lang w:val="en-US" w:eastAsia="zh-CN"/>
        </w:rPr>
        <w:t>1</w:t>
      </w:r>
      <w:r>
        <w:rPr>
          <w:rFonts w:hint="eastAsia" w:eastAsia="方正仿宋_GBK" w:cs="Times New Roman"/>
          <w:bCs/>
          <w:sz w:val="32"/>
          <w:szCs w:val="32"/>
          <w:lang w:val="en-US" w:eastAsia="zh-CN"/>
        </w:rPr>
        <w:t>2</w:t>
      </w:r>
      <w:r>
        <w:rPr>
          <w:rFonts w:hint="default" w:ascii="Times New Roman" w:hAnsi="Times New Roman" w:eastAsia="方正仿宋_GBK" w:cs="Times New Roman"/>
          <w:bCs/>
          <w:sz w:val="32"/>
          <w:szCs w:val="32"/>
        </w:rPr>
        <w:t>月</w:t>
      </w:r>
      <w:r>
        <w:rPr>
          <w:rFonts w:hint="eastAsia" w:eastAsia="方正仿宋_GBK" w:cs="Times New Roman"/>
          <w:bCs/>
          <w:sz w:val="32"/>
          <w:szCs w:val="32"/>
          <w:highlight w:val="none"/>
          <w:lang w:val="en-US" w:eastAsia="zh-CN"/>
        </w:rPr>
        <w:t>24</w:t>
      </w:r>
      <w:r>
        <w:rPr>
          <w:rFonts w:hint="default"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 xml:space="preserve"> </w:t>
      </w:r>
      <w:r>
        <w:rPr>
          <w:rFonts w:hint="eastAsia" w:eastAsia="方正仿宋_GBK" w:cs="Times New Roman"/>
          <w:bCs/>
          <w:sz w:val="32"/>
          <w:szCs w:val="32"/>
          <w:highlight w:val="none"/>
          <w:shd w:val="clear" w:color="auto" w:fill="auto"/>
          <w:lang w:val="en-US" w:eastAsia="zh-CN"/>
        </w:rPr>
        <w:t xml:space="preserve">  </w:t>
      </w:r>
    </w:p>
    <w:p w14:paraId="2F1CB7B7">
      <w:pPr>
        <w:keepNext w:val="0"/>
        <w:keepLines w:val="0"/>
        <w:pageBreakBefore w:val="0"/>
        <w:widowControl w:val="0"/>
        <w:kinsoku/>
        <w:wordWrap w:val="0"/>
        <w:overflowPunct/>
        <w:topLinePunct/>
        <w:autoSpaceDE/>
        <w:autoSpaceDN/>
        <w:bidi w:val="0"/>
        <w:adjustRightInd/>
        <w:snapToGrid/>
        <w:spacing w:line="540" w:lineRule="exact"/>
        <w:ind w:firstLine="320" w:firstLineChars="1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14:paraId="3A44ABF0">
      <w:pPr>
        <w:pStyle w:val="2"/>
        <w:rPr>
          <w:rFonts w:hint="default" w:ascii="Times New Roman" w:hAnsi="Times New Roman" w:eastAsia="方正仿宋_GBK" w:cs="Times New Roman"/>
          <w:bCs/>
          <w:sz w:val="32"/>
          <w:szCs w:val="32"/>
        </w:rPr>
      </w:pPr>
    </w:p>
    <w:p w14:paraId="3B671166">
      <w:pPr>
        <w:pStyle w:val="2"/>
        <w:rPr>
          <w:rFonts w:hint="default" w:ascii="Times New Roman" w:hAnsi="Times New Roman" w:eastAsia="方正仿宋_GBK" w:cs="Times New Roman"/>
          <w:bCs/>
          <w:sz w:val="32"/>
          <w:szCs w:val="32"/>
        </w:rPr>
      </w:pPr>
    </w:p>
    <w:p w14:paraId="297C25DF">
      <w:pPr>
        <w:pStyle w:val="2"/>
        <w:rPr>
          <w:rFonts w:hint="default" w:ascii="Times New Roman" w:hAnsi="Times New Roman" w:eastAsia="方正仿宋_GBK" w:cs="Times New Roman"/>
          <w:bCs/>
          <w:sz w:val="32"/>
          <w:szCs w:val="32"/>
        </w:rPr>
      </w:pPr>
    </w:p>
    <w:p w14:paraId="38771811">
      <w:pPr>
        <w:pStyle w:val="2"/>
        <w:rPr>
          <w:rFonts w:hint="default" w:ascii="Times New Roman" w:hAnsi="Times New Roman" w:eastAsia="方正仿宋_GBK" w:cs="Times New Roman"/>
          <w:bCs/>
          <w:sz w:val="32"/>
          <w:szCs w:val="32"/>
        </w:rPr>
      </w:pPr>
    </w:p>
    <w:p w14:paraId="753DD50C">
      <w:pPr>
        <w:pStyle w:val="2"/>
        <w:rPr>
          <w:rFonts w:hint="default" w:ascii="Times New Roman" w:hAnsi="Times New Roman" w:eastAsia="方正仿宋_GBK" w:cs="Times New Roman"/>
          <w:bCs/>
          <w:sz w:val="32"/>
          <w:szCs w:val="32"/>
        </w:rPr>
      </w:pPr>
    </w:p>
    <w:p w14:paraId="551C22F7">
      <w:pPr>
        <w:pStyle w:val="2"/>
        <w:rPr>
          <w:rFonts w:hint="default" w:ascii="Times New Roman" w:hAnsi="Times New Roman" w:eastAsia="方正仿宋_GBK" w:cs="Times New Roman"/>
          <w:bCs/>
          <w:sz w:val="32"/>
          <w:szCs w:val="32"/>
        </w:rPr>
      </w:pPr>
    </w:p>
    <w:p w14:paraId="10DE4331">
      <w:pPr>
        <w:pStyle w:val="2"/>
        <w:rPr>
          <w:rFonts w:hint="default" w:ascii="Times New Roman" w:hAnsi="Times New Roman" w:eastAsia="方正仿宋_GBK" w:cs="Times New Roman"/>
          <w:bCs/>
          <w:sz w:val="32"/>
          <w:szCs w:val="32"/>
        </w:rPr>
      </w:pPr>
    </w:p>
    <w:p w14:paraId="69BE2986">
      <w:pPr>
        <w:pStyle w:val="2"/>
        <w:rPr>
          <w:rFonts w:hint="default" w:ascii="Times New Roman" w:hAnsi="Times New Roman" w:eastAsia="方正仿宋_GBK" w:cs="Times New Roman"/>
          <w:bCs/>
          <w:sz w:val="32"/>
          <w:szCs w:val="32"/>
        </w:rPr>
      </w:pPr>
    </w:p>
    <w:p w14:paraId="379EA980">
      <w:pPr>
        <w:pStyle w:val="2"/>
        <w:rPr>
          <w:rFonts w:hint="default" w:ascii="Times New Roman" w:hAnsi="Times New Roman" w:eastAsia="方正仿宋_GBK" w:cs="Times New Roman"/>
          <w:bCs/>
          <w:sz w:val="32"/>
          <w:szCs w:val="32"/>
        </w:rPr>
      </w:pPr>
    </w:p>
    <w:p w14:paraId="2D66E292">
      <w:pPr>
        <w:pStyle w:val="2"/>
        <w:rPr>
          <w:rFonts w:hint="default" w:ascii="Times New Roman" w:hAnsi="Times New Roman" w:eastAsia="方正仿宋_GBK" w:cs="Times New Roman"/>
          <w:bCs/>
          <w:sz w:val="32"/>
          <w:szCs w:val="32"/>
        </w:rPr>
      </w:pPr>
    </w:p>
    <w:p w14:paraId="3CB408E1">
      <w:pPr>
        <w:pStyle w:val="2"/>
        <w:rPr>
          <w:rFonts w:hint="default" w:ascii="Times New Roman" w:hAnsi="Times New Roman" w:eastAsia="方正仿宋_GBK" w:cs="Times New Roman"/>
          <w:bCs/>
          <w:sz w:val="32"/>
          <w:szCs w:val="32"/>
        </w:rPr>
      </w:pPr>
    </w:p>
    <w:p w14:paraId="1EF7326E">
      <w:pPr>
        <w:pStyle w:val="2"/>
        <w:rPr>
          <w:rFonts w:hint="default" w:ascii="Times New Roman" w:hAnsi="Times New Roman" w:eastAsia="方正仿宋_GBK" w:cs="Times New Roman"/>
          <w:bCs/>
          <w:sz w:val="32"/>
          <w:szCs w:val="32"/>
        </w:rPr>
      </w:pPr>
    </w:p>
    <w:p w14:paraId="780A3D8B">
      <w:pPr>
        <w:pStyle w:val="2"/>
        <w:rPr>
          <w:rFonts w:hint="default" w:ascii="Times New Roman" w:hAnsi="Times New Roman" w:eastAsia="方正仿宋_GBK" w:cs="Times New Roman"/>
          <w:bCs/>
          <w:sz w:val="32"/>
          <w:szCs w:val="32"/>
        </w:rPr>
      </w:pPr>
    </w:p>
    <w:p w14:paraId="2135C58A">
      <w:pPr>
        <w:pStyle w:val="2"/>
        <w:rPr>
          <w:rFonts w:hint="default" w:ascii="Times New Roman" w:hAnsi="Times New Roman" w:eastAsia="方正仿宋_GBK" w:cs="Times New Roman"/>
          <w:bCs/>
          <w:sz w:val="32"/>
          <w:szCs w:val="32"/>
        </w:rPr>
      </w:pPr>
    </w:p>
    <w:p w14:paraId="0B7E136A">
      <w:pPr>
        <w:pStyle w:val="2"/>
        <w:rPr>
          <w:rFonts w:hint="default" w:ascii="Times New Roman" w:hAnsi="Times New Roman" w:eastAsia="方正仿宋_GBK" w:cs="Times New Roman"/>
          <w:bCs/>
          <w:sz w:val="32"/>
          <w:szCs w:val="32"/>
        </w:rPr>
      </w:pPr>
    </w:p>
    <w:p w14:paraId="3B91FDB4">
      <w:pPr>
        <w:pStyle w:val="2"/>
        <w:rPr>
          <w:rFonts w:hint="default" w:ascii="Times New Roman" w:hAnsi="Times New Roman" w:eastAsia="方正仿宋_GBK" w:cs="Times New Roman"/>
          <w:bCs/>
          <w:sz w:val="32"/>
          <w:szCs w:val="32"/>
        </w:rPr>
      </w:pPr>
    </w:p>
    <w:p w14:paraId="69E3874B">
      <w:pPr>
        <w:pStyle w:val="2"/>
        <w:rPr>
          <w:rFonts w:hint="default" w:ascii="Times New Roman" w:hAnsi="Times New Roman" w:eastAsia="方正仿宋_GBK" w:cs="Times New Roman"/>
          <w:bCs/>
          <w:sz w:val="32"/>
          <w:szCs w:val="32"/>
        </w:rPr>
      </w:pPr>
    </w:p>
    <w:p w14:paraId="29C3936A">
      <w:pPr>
        <w:pStyle w:val="2"/>
        <w:rPr>
          <w:rFonts w:hint="default" w:ascii="Times New Roman" w:hAnsi="Times New Roman" w:eastAsia="方正仿宋_GBK" w:cs="Times New Roman"/>
          <w:bCs/>
          <w:sz w:val="32"/>
          <w:szCs w:val="32"/>
        </w:rPr>
      </w:pPr>
    </w:p>
    <w:p w14:paraId="1A7FEE0B">
      <w:pPr>
        <w:pStyle w:val="2"/>
        <w:rPr>
          <w:rFonts w:hint="default" w:ascii="Times New Roman" w:hAnsi="Times New Roman" w:eastAsia="方正仿宋_GBK" w:cs="Times New Roman"/>
          <w:bCs/>
          <w:sz w:val="32"/>
          <w:szCs w:val="32"/>
        </w:rPr>
      </w:pPr>
    </w:p>
    <w:p w14:paraId="37A15291">
      <w:pPr>
        <w:pStyle w:val="2"/>
        <w:rPr>
          <w:rFonts w:hint="default" w:ascii="Times New Roman" w:hAnsi="Times New Roman" w:eastAsia="方正仿宋_GBK" w:cs="Times New Roman"/>
          <w:bCs/>
          <w:sz w:val="32"/>
          <w:szCs w:val="32"/>
        </w:rPr>
      </w:pPr>
    </w:p>
    <w:p w14:paraId="4237247D">
      <w:pPr>
        <w:pStyle w:val="2"/>
        <w:rPr>
          <w:rFonts w:hint="default" w:ascii="Times New Roman" w:hAnsi="Times New Roman" w:eastAsia="方正仿宋_GBK" w:cs="Times New Roman"/>
          <w:bCs/>
          <w:sz w:val="32"/>
          <w:szCs w:val="32"/>
        </w:rPr>
      </w:pPr>
    </w:p>
    <w:p w14:paraId="763869B3">
      <w:pPr>
        <w:pStyle w:val="2"/>
        <w:rPr>
          <w:rFonts w:hint="default" w:ascii="Times New Roman" w:hAnsi="Times New Roman" w:eastAsia="方正仿宋_GBK" w:cs="Times New Roman"/>
          <w:bCs/>
          <w:sz w:val="32"/>
          <w:szCs w:val="32"/>
        </w:rPr>
      </w:pPr>
    </w:p>
    <w:p w14:paraId="7BEF99B2">
      <w:pPr>
        <w:pStyle w:val="2"/>
        <w:rPr>
          <w:rFonts w:hint="default" w:ascii="Times New Roman" w:hAnsi="Times New Roman" w:eastAsia="方正仿宋_GBK" w:cs="Times New Roman"/>
          <w:bCs/>
          <w:sz w:val="32"/>
          <w:szCs w:val="32"/>
        </w:rPr>
      </w:pPr>
    </w:p>
    <w:p w14:paraId="1815FA5B">
      <w:pPr>
        <w:pStyle w:val="2"/>
        <w:rPr>
          <w:rFonts w:hint="default" w:ascii="Times New Roman" w:hAnsi="Times New Roman" w:eastAsia="方正仿宋_GBK" w:cs="Times New Roman"/>
          <w:bCs/>
          <w:sz w:val="32"/>
          <w:szCs w:val="32"/>
        </w:rPr>
      </w:pPr>
    </w:p>
    <w:p w14:paraId="5DCBB13D">
      <w:pPr>
        <w:pStyle w:val="2"/>
        <w:rPr>
          <w:rFonts w:hint="default" w:ascii="Times New Roman" w:hAnsi="Times New Roman" w:eastAsia="方正仿宋_GBK" w:cs="Times New Roman"/>
          <w:bCs/>
          <w:sz w:val="32"/>
          <w:szCs w:val="32"/>
        </w:rPr>
      </w:pPr>
    </w:p>
    <w:p w14:paraId="556FA92B">
      <w:pPr>
        <w:pStyle w:val="2"/>
        <w:rPr>
          <w:rFonts w:hint="default" w:ascii="Times New Roman" w:hAnsi="Times New Roman" w:eastAsia="方正仿宋_GBK" w:cs="Times New Roman"/>
          <w:bCs/>
          <w:sz w:val="32"/>
          <w:szCs w:val="32"/>
        </w:rPr>
      </w:pPr>
    </w:p>
    <w:p w14:paraId="3EAB0D87">
      <w:pPr>
        <w:pStyle w:val="2"/>
        <w:rPr>
          <w:rFonts w:hint="default" w:ascii="Times New Roman" w:hAnsi="Times New Roman" w:eastAsia="方正仿宋_GBK" w:cs="Times New Roman"/>
          <w:bCs/>
          <w:sz w:val="32"/>
          <w:szCs w:val="32"/>
        </w:rPr>
      </w:pPr>
    </w:p>
    <w:p w14:paraId="263AA866">
      <w:pPr>
        <w:pStyle w:val="2"/>
        <w:rPr>
          <w:rFonts w:hint="default" w:ascii="Times New Roman" w:hAnsi="Times New Roman" w:eastAsia="方正仿宋_GBK" w:cs="Times New Roman"/>
          <w:bCs/>
          <w:sz w:val="32"/>
          <w:szCs w:val="32"/>
        </w:rPr>
      </w:pPr>
    </w:p>
    <w:p w14:paraId="263C989A">
      <w:pPr>
        <w:pStyle w:val="2"/>
        <w:rPr>
          <w:rFonts w:hint="default" w:ascii="Times New Roman" w:hAnsi="Times New Roman" w:eastAsia="方正仿宋_GBK" w:cs="Times New Roman"/>
          <w:bCs/>
          <w:sz w:val="32"/>
          <w:szCs w:val="32"/>
        </w:rPr>
      </w:pPr>
    </w:p>
    <w:p w14:paraId="47D4C5F0">
      <w:pPr>
        <w:pStyle w:val="2"/>
        <w:rPr>
          <w:rFonts w:hint="default" w:ascii="Times New Roman" w:hAnsi="Times New Roman" w:eastAsia="方正仿宋_GBK" w:cs="Times New Roman"/>
          <w:bCs/>
          <w:sz w:val="32"/>
          <w:szCs w:val="32"/>
        </w:rPr>
      </w:pPr>
    </w:p>
    <w:p w14:paraId="334BC2F9">
      <w:pPr>
        <w:pStyle w:val="2"/>
        <w:rPr>
          <w:rFonts w:hint="default" w:ascii="Times New Roman" w:hAnsi="Times New Roman" w:eastAsia="方正仿宋_GBK" w:cs="Times New Roman"/>
          <w:bCs/>
          <w:sz w:val="32"/>
          <w:szCs w:val="32"/>
        </w:rPr>
      </w:pPr>
    </w:p>
    <w:p w14:paraId="5EF3C5B1">
      <w:pPr>
        <w:pStyle w:val="2"/>
        <w:rPr>
          <w:rFonts w:hint="default" w:ascii="Times New Roman" w:hAnsi="Times New Roman" w:eastAsia="方正仿宋_GBK" w:cs="Times New Roman"/>
          <w:bCs/>
          <w:sz w:val="32"/>
          <w:szCs w:val="32"/>
        </w:rPr>
      </w:pPr>
    </w:p>
    <w:p w14:paraId="1D7EB418">
      <w:pPr>
        <w:pStyle w:val="2"/>
        <w:rPr>
          <w:rFonts w:hint="default" w:ascii="Times New Roman" w:hAnsi="Times New Roman" w:eastAsia="方正仿宋_GBK" w:cs="Times New Roman"/>
          <w:bCs/>
          <w:sz w:val="32"/>
          <w:szCs w:val="32"/>
        </w:rPr>
      </w:pPr>
    </w:p>
    <w:p w14:paraId="08C13339">
      <w:pPr>
        <w:pStyle w:val="2"/>
        <w:rPr>
          <w:rFonts w:hint="default" w:ascii="Times New Roman" w:hAnsi="Times New Roman" w:eastAsia="方正仿宋_GBK" w:cs="Times New Roman"/>
          <w:bCs/>
          <w:sz w:val="32"/>
          <w:szCs w:val="32"/>
        </w:rPr>
      </w:pPr>
    </w:p>
    <w:p w14:paraId="720A0EAB">
      <w:pPr>
        <w:pStyle w:val="2"/>
        <w:rPr>
          <w:rFonts w:hint="default" w:ascii="Times New Roman" w:hAnsi="Times New Roman" w:eastAsia="方正仿宋_GBK" w:cs="Times New Roman"/>
          <w:bCs/>
          <w:sz w:val="32"/>
          <w:szCs w:val="32"/>
        </w:rPr>
      </w:pPr>
    </w:p>
    <w:p w14:paraId="7FF7F4FB">
      <w:pPr>
        <w:pStyle w:val="2"/>
        <w:rPr>
          <w:rFonts w:hint="default" w:ascii="Times New Roman" w:hAnsi="Times New Roman" w:eastAsia="方正仿宋_GBK" w:cs="Times New Roman"/>
          <w:bCs/>
          <w:sz w:val="32"/>
          <w:szCs w:val="32"/>
        </w:rPr>
      </w:pPr>
    </w:p>
    <w:p w14:paraId="2ED21A3C">
      <w:pPr>
        <w:pStyle w:val="2"/>
        <w:rPr>
          <w:rFonts w:hint="default" w:ascii="Times New Roman" w:hAnsi="Times New Roman" w:eastAsia="方正仿宋_GBK" w:cs="Times New Roman"/>
          <w:bCs/>
          <w:sz w:val="32"/>
          <w:szCs w:val="32"/>
        </w:rPr>
      </w:pPr>
    </w:p>
    <w:p w14:paraId="4E026B81">
      <w:pPr>
        <w:pStyle w:val="2"/>
        <w:rPr>
          <w:rFonts w:hint="default" w:ascii="Times New Roman" w:hAnsi="Times New Roman" w:eastAsia="方正仿宋_GBK" w:cs="Times New Roman"/>
          <w:bCs/>
          <w:sz w:val="32"/>
          <w:szCs w:val="32"/>
        </w:rPr>
      </w:pPr>
    </w:p>
    <w:p w14:paraId="63BEB52C">
      <w:pPr>
        <w:pStyle w:val="2"/>
        <w:rPr>
          <w:rFonts w:hint="default" w:ascii="Times New Roman" w:hAnsi="Times New Roman" w:eastAsia="方正仿宋_GBK" w:cs="Times New Roman"/>
          <w:bCs/>
          <w:sz w:val="32"/>
          <w:szCs w:val="32"/>
        </w:rPr>
      </w:pPr>
    </w:p>
    <w:p w14:paraId="49D00043">
      <w:pPr>
        <w:pStyle w:val="2"/>
        <w:rPr>
          <w:rFonts w:hint="default" w:ascii="Times New Roman" w:hAnsi="Times New Roman" w:eastAsia="方正仿宋_GBK" w:cs="Times New Roman"/>
          <w:bCs/>
          <w:sz w:val="32"/>
          <w:szCs w:val="32"/>
        </w:rPr>
      </w:pPr>
    </w:p>
    <w:p w14:paraId="68D04246">
      <w:pPr>
        <w:pStyle w:val="2"/>
        <w:rPr>
          <w:rFonts w:hint="default" w:ascii="Times New Roman" w:hAnsi="Times New Roman" w:eastAsia="方正仿宋_GBK" w:cs="Times New Roman"/>
          <w:bCs/>
          <w:sz w:val="32"/>
          <w:szCs w:val="32"/>
        </w:rPr>
      </w:pPr>
    </w:p>
    <w:p w14:paraId="0FA4BCB4">
      <w:pPr>
        <w:pStyle w:val="2"/>
        <w:rPr>
          <w:rFonts w:hint="default" w:ascii="Times New Roman" w:hAnsi="Times New Roman" w:eastAsia="方正仿宋_GBK" w:cs="Times New Roman"/>
          <w:bCs/>
          <w:sz w:val="32"/>
          <w:szCs w:val="32"/>
        </w:rPr>
      </w:pPr>
    </w:p>
    <w:p w14:paraId="3E61A78D">
      <w:pPr>
        <w:pStyle w:val="2"/>
        <w:rPr>
          <w:rFonts w:hint="default" w:ascii="Times New Roman" w:hAnsi="Times New Roman" w:eastAsia="方正仿宋_GBK" w:cs="Times New Roman"/>
          <w:bCs/>
          <w:sz w:val="32"/>
          <w:szCs w:val="32"/>
        </w:rPr>
      </w:pPr>
    </w:p>
    <w:p w14:paraId="39D81E4F">
      <w:pPr>
        <w:pStyle w:val="2"/>
        <w:rPr>
          <w:rFonts w:hint="default" w:ascii="Times New Roman" w:hAnsi="Times New Roman" w:eastAsia="方正仿宋_GBK" w:cs="Times New Roman"/>
          <w:bCs/>
          <w:sz w:val="32"/>
          <w:szCs w:val="32"/>
        </w:rPr>
      </w:pPr>
    </w:p>
    <w:p w14:paraId="5F93B1B4">
      <w:pPr>
        <w:pStyle w:val="2"/>
        <w:rPr>
          <w:rFonts w:hint="default" w:ascii="Times New Roman" w:hAnsi="Times New Roman" w:eastAsia="方正仿宋_GBK" w:cs="Times New Roman"/>
          <w:bCs/>
          <w:sz w:val="32"/>
          <w:szCs w:val="32"/>
        </w:rPr>
      </w:pPr>
    </w:p>
    <w:p w14:paraId="63D71F59">
      <w:pPr>
        <w:pStyle w:val="12"/>
        <w:rPr>
          <w:rFonts w:hint="default"/>
        </w:rPr>
      </w:pPr>
    </w:p>
    <w:p w14:paraId="0D3F0E50">
      <w:pPr>
        <w:pBdr>
          <w:top w:val="single" w:color="auto" w:sz="4" w:space="1"/>
          <w:bottom w:val="single" w:color="auto" w:sz="4" w:space="1"/>
        </w:pBdr>
        <w:topLinePunct/>
        <w:spacing w:line="560" w:lineRule="exact"/>
        <w:ind w:firstLine="280" w:firstLineChars="100"/>
        <w:rPr>
          <w:rFonts w:hint="eastAsia" w:eastAsia="方正仿宋_GBK" w:cs="Times New Roman"/>
          <w:sz w:val="28"/>
          <w:szCs w:val="28"/>
          <w:lang w:eastAsia="zh-CN"/>
        </w:rPr>
      </w:pPr>
      <w:r>
        <w:rPr>
          <w:rFonts w:hint="default" w:ascii="Times New Roman" w:hAnsi="Times New Roman" w:eastAsia="方正仿宋_GBK" w:cs="Times New Roman"/>
          <w:sz w:val="28"/>
          <w:szCs w:val="28"/>
        </w:rPr>
        <w:t>发：州</w:t>
      </w:r>
      <w:r>
        <w:rPr>
          <w:rFonts w:hint="eastAsia" w:ascii="Times New Roman" w:hAnsi="Times New Roman" w:eastAsia="方正仿宋_GBK" w:cs="Times New Roman"/>
          <w:sz w:val="28"/>
          <w:szCs w:val="28"/>
          <w:lang w:eastAsia="zh-CN"/>
        </w:rPr>
        <w:t>生态环境保护综合行政执法支队</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州生态环境局</w:t>
      </w:r>
      <w:r>
        <w:rPr>
          <w:rFonts w:hint="eastAsia" w:eastAsia="方正仿宋_GBK" w:cs="Times New Roman"/>
          <w:sz w:val="28"/>
          <w:szCs w:val="28"/>
          <w:lang w:val="en-US" w:eastAsia="zh-CN"/>
        </w:rPr>
        <w:t>梁河</w:t>
      </w:r>
      <w:r>
        <w:rPr>
          <w:rFonts w:hint="default" w:ascii="Times New Roman" w:hAnsi="Times New Roman" w:eastAsia="方正仿宋_GBK" w:cs="Times New Roman"/>
          <w:sz w:val="28"/>
          <w:szCs w:val="28"/>
        </w:rPr>
        <w:t>分局，</w:t>
      </w:r>
      <w:r>
        <w:rPr>
          <w:rFonts w:hint="eastAsia" w:eastAsia="方正仿宋_GBK" w:cs="Times New Roman"/>
          <w:sz w:val="28"/>
          <w:szCs w:val="28"/>
          <w:lang w:eastAsia="zh-CN"/>
        </w:rPr>
        <w:t>云南</w:t>
      </w:r>
    </w:p>
    <w:p w14:paraId="2D9B0D9D">
      <w:pPr>
        <w:pBdr>
          <w:top w:val="single" w:color="auto" w:sz="4" w:space="1"/>
          <w:bottom w:val="single" w:color="auto" w:sz="4" w:space="1"/>
        </w:pBdr>
        <w:topLinePunct/>
        <w:spacing w:line="560" w:lineRule="exact"/>
        <w:ind w:firstLine="840" w:firstLineChars="300"/>
        <w:rPr>
          <w:rFonts w:hint="default" w:ascii="Times New Roman" w:hAnsi="Times New Roman" w:eastAsia="方正仿宋_GBK" w:cs="Times New Roman"/>
          <w:sz w:val="28"/>
          <w:szCs w:val="28"/>
          <w:lang w:eastAsia="zh-CN"/>
        </w:rPr>
      </w:pPr>
      <w:r>
        <w:rPr>
          <w:rFonts w:hint="eastAsia" w:eastAsia="方正仿宋_GBK" w:cs="Times New Roman"/>
          <w:sz w:val="28"/>
          <w:szCs w:val="28"/>
          <w:lang w:eastAsia="zh-CN"/>
        </w:rPr>
        <w:t>润熙环保工程有限公</w:t>
      </w:r>
      <w:r>
        <w:rPr>
          <w:rFonts w:hint="eastAsia" w:ascii="Times New Roman" w:hAnsi="Times New Roman" w:eastAsia="方正仿宋_GBK" w:cs="Times New Roman"/>
          <w:sz w:val="28"/>
          <w:szCs w:val="28"/>
          <w:lang w:eastAsia="zh-CN"/>
        </w:rPr>
        <w:t>司，</w:t>
      </w:r>
      <w:r>
        <w:rPr>
          <w:rFonts w:hint="eastAsia" w:ascii="Times New Roman" w:hAnsi="Times New Roman" w:eastAsia="方正仿宋_GBK" w:cs="Times New Roman"/>
          <w:sz w:val="28"/>
          <w:szCs w:val="28"/>
          <w:lang w:val="en-US" w:eastAsia="zh-CN"/>
        </w:rPr>
        <w:t>云南保兴环境科技咨询有限公司</w:t>
      </w:r>
      <w:r>
        <w:rPr>
          <w:rFonts w:hint="default" w:ascii="Times New Roman" w:hAnsi="Times New Roman" w:eastAsia="方正仿宋_GBK" w:cs="Times New Roman"/>
          <w:sz w:val="28"/>
          <w:szCs w:val="28"/>
          <w:lang w:eastAsia="zh-CN"/>
        </w:rPr>
        <w:t>。</w:t>
      </w:r>
    </w:p>
    <w:p w14:paraId="28A7DCD6">
      <w:pPr>
        <w:pBdr>
          <w:bottom w:val="single" w:color="auto" w:sz="4" w:space="1"/>
        </w:pBdr>
        <w:topLinePunct/>
        <w:spacing w:line="560" w:lineRule="exact"/>
        <w:ind w:firstLine="280" w:firstLineChars="100"/>
      </w:pPr>
      <w:r>
        <w:rPr>
          <w:rFonts w:hint="default" w:ascii="Times New Roman" w:hAnsi="Times New Roman" w:eastAsia="方正仿宋_GBK" w:cs="Times New Roman"/>
          <w:sz w:val="28"/>
          <w:szCs w:val="28"/>
        </w:rPr>
        <w:t xml:space="preserve">德宏州生态环境局办公室              </w:t>
      </w:r>
      <w:r>
        <w:rPr>
          <w:rFonts w:hint="eastAsia" w:eastAsia="方正仿宋_GBK" w:cs="Times New Roman"/>
          <w:sz w:val="28"/>
          <w:szCs w:val="28"/>
          <w:lang w:val="en-US" w:eastAsia="zh-CN"/>
        </w:rPr>
        <w:t xml:space="preserve">  </w:t>
      </w: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w:t>
      </w:r>
      <w:r>
        <w:rPr>
          <w:rFonts w:hint="eastAsia"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年</w:t>
      </w:r>
      <w:r>
        <w:rPr>
          <w:rFonts w:hint="eastAsia" w:eastAsia="方正仿宋_GBK" w:cs="Times New Roman"/>
          <w:sz w:val="28"/>
          <w:szCs w:val="28"/>
          <w:highlight w:val="none"/>
          <w:lang w:val="en-US" w:eastAsia="zh-CN"/>
        </w:rPr>
        <w:t>12</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24</w:t>
      </w:r>
      <w:r>
        <w:rPr>
          <w:rFonts w:hint="default" w:ascii="Times New Roman" w:hAnsi="Times New Roman" w:eastAsia="方正仿宋_GBK" w:cs="Times New Roman"/>
          <w:sz w:val="28"/>
          <w:szCs w:val="28"/>
          <w:highlight w:val="none"/>
        </w:rPr>
        <w:t>日印发</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1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CECE87CA-5D61-4225-A66D-A4F335F3E709}"/>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7FF4FB05-5E45-4E62-9C61-C91A5C08E0C5}"/>
  </w:font>
  <w:font w:name="方正楷体_GBK">
    <w:panose1 w:val="03000509000000000000"/>
    <w:charset w:val="86"/>
    <w:family w:val="auto"/>
    <w:pitch w:val="default"/>
    <w:sig w:usb0="00000001" w:usb1="080E0000" w:usb2="00000000" w:usb3="00000000" w:csb0="00040000" w:csb1="00000000"/>
    <w:embedRegular r:id="rId3" w:fontKey="{3D57188F-6190-4F10-96E1-323ABDFF47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5EC4">
    <w:pPr>
      <w:pStyle w:val="11"/>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848E9">
                          <w:pPr>
                            <w:pStyle w:val="11"/>
                            <w:jc w:val="center"/>
                          </w:pPr>
                          <w:r>
                            <w:rPr>
                              <w:rStyle w:val="20"/>
                              <w:rFonts w:hint="default" w:ascii="Times New Roman" w:hAnsi="Times New Roman" w:eastAsia="方正仿宋_GBK" w:cs="Times New Roman"/>
                              <w:sz w:val="28"/>
                              <w:szCs w:val="28"/>
                            </w:rPr>
                            <w:t>—</w:t>
                          </w:r>
                          <w:r>
                            <w:rPr>
                              <w:rStyle w:val="20"/>
                              <w:rFonts w:hint="default" w:ascii="Times New Roman" w:hAnsi="Times New Roman" w:eastAsia="方正仿宋_GBK" w:cs="Times New Roman"/>
                              <w:sz w:val="28"/>
                              <w:szCs w:val="28"/>
                              <w:lang w:val="en-US" w:eastAsia="zh-CN"/>
                            </w:rPr>
                            <w:t xml:space="preserve"> </w:t>
                          </w:r>
                          <w:r>
                            <w:rPr>
                              <w:rStyle w:val="20"/>
                              <w:rFonts w:hint="default" w:ascii="Times New Roman" w:hAnsi="Times New Roman" w:eastAsia="方正仿宋_GBK" w:cs="Times New Roman"/>
                              <w:sz w:val="28"/>
                              <w:szCs w:val="28"/>
                            </w:rPr>
                            <w:fldChar w:fldCharType="begin"/>
                          </w:r>
                          <w:r>
                            <w:rPr>
                              <w:rStyle w:val="20"/>
                              <w:rFonts w:hint="default" w:ascii="Times New Roman" w:hAnsi="Times New Roman" w:eastAsia="方正仿宋_GBK" w:cs="Times New Roman"/>
                              <w:sz w:val="28"/>
                              <w:szCs w:val="28"/>
                            </w:rPr>
                            <w:instrText xml:space="preserve"> PAGE </w:instrText>
                          </w:r>
                          <w:r>
                            <w:rPr>
                              <w:rStyle w:val="20"/>
                              <w:rFonts w:hint="default" w:ascii="Times New Roman" w:hAnsi="Times New Roman" w:eastAsia="方正仿宋_GBK" w:cs="Times New Roman"/>
                              <w:sz w:val="28"/>
                              <w:szCs w:val="28"/>
                            </w:rPr>
                            <w:fldChar w:fldCharType="separate"/>
                          </w:r>
                          <w:r>
                            <w:rPr>
                              <w:rStyle w:val="20"/>
                              <w:rFonts w:hint="default" w:ascii="Times New Roman" w:hAnsi="Times New Roman" w:eastAsia="方正仿宋_GBK" w:cs="Times New Roman"/>
                              <w:sz w:val="28"/>
                              <w:szCs w:val="28"/>
                            </w:rPr>
                            <w:t>8</w:t>
                          </w:r>
                          <w:r>
                            <w:rPr>
                              <w:rStyle w:val="20"/>
                              <w:rFonts w:hint="default" w:ascii="Times New Roman" w:hAnsi="Times New Roman" w:eastAsia="方正仿宋_GBK" w:cs="Times New Roman"/>
                              <w:sz w:val="28"/>
                              <w:szCs w:val="28"/>
                            </w:rPr>
                            <w:fldChar w:fldCharType="end"/>
                          </w:r>
                          <w:r>
                            <w:rPr>
                              <w:rStyle w:val="20"/>
                              <w:rFonts w:hint="default" w:ascii="Times New Roman" w:hAnsi="Times New Roman" w:eastAsia="方正仿宋_GBK" w:cs="Times New Roman"/>
                              <w:sz w:val="28"/>
                              <w:szCs w:val="28"/>
                              <w:lang w:val="en-US" w:eastAsia="zh-CN"/>
                            </w:rPr>
                            <w:t xml:space="preserve"> </w:t>
                          </w:r>
                          <w:r>
                            <w:rPr>
                              <w:rStyle w:val="20"/>
                              <w:rFonts w:hint="default" w:ascii="Times New Roman" w:hAnsi="Times New Roman" w:eastAsia="方正仿宋_GBK"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F848E9">
                    <w:pPr>
                      <w:pStyle w:val="11"/>
                      <w:jc w:val="center"/>
                    </w:pPr>
                    <w:r>
                      <w:rPr>
                        <w:rStyle w:val="20"/>
                        <w:rFonts w:hint="default" w:ascii="Times New Roman" w:hAnsi="Times New Roman" w:eastAsia="方正仿宋_GBK" w:cs="Times New Roman"/>
                        <w:sz w:val="28"/>
                        <w:szCs w:val="28"/>
                      </w:rPr>
                      <w:t>—</w:t>
                    </w:r>
                    <w:r>
                      <w:rPr>
                        <w:rStyle w:val="20"/>
                        <w:rFonts w:hint="default" w:ascii="Times New Roman" w:hAnsi="Times New Roman" w:eastAsia="方正仿宋_GBK" w:cs="Times New Roman"/>
                        <w:sz w:val="28"/>
                        <w:szCs w:val="28"/>
                        <w:lang w:val="en-US" w:eastAsia="zh-CN"/>
                      </w:rPr>
                      <w:t xml:space="preserve"> </w:t>
                    </w:r>
                    <w:r>
                      <w:rPr>
                        <w:rStyle w:val="20"/>
                        <w:rFonts w:hint="default" w:ascii="Times New Roman" w:hAnsi="Times New Roman" w:eastAsia="方正仿宋_GBK" w:cs="Times New Roman"/>
                        <w:sz w:val="28"/>
                        <w:szCs w:val="28"/>
                      </w:rPr>
                      <w:fldChar w:fldCharType="begin"/>
                    </w:r>
                    <w:r>
                      <w:rPr>
                        <w:rStyle w:val="20"/>
                        <w:rFonts w:hint="default" w:ascii="Times New Roman" w:hAnsi="Times New Roman" w:eastAsia="方正仿宋_GBK" w:cs="Times New Roman"/>
                        <w:sz w:val="28"/>
                        <w:szCs w:val="28"/>
                      </w:rPr>
                      <w:instrText xml:space="preserve"> PAGE </w:instrText>
                    </w:r>
                    <w:r>
                      <w:rPr>
                        <w:rStyle w:val="20"/>
                        <w:rFonts w:hint="default" w:ascii="Times New Roman" w:hAnsi="Times New Roman" w:eastAsia="方正仿宋_GBK" w:cs="Times New Roman"/>
                        <w:sz w:val="28"/>
                        <w:szCs w:val="28"/>
                      </w:rPr>
                      <w:fldChar w:fldCharType="separate"/>
                    </w:r>
                    <w:r>
                      <w:rPr>
                        <w:rStyle w:val="20"/>
                        <w:rFonts w:hint="default" w:ascii="Times New Roman" w:hAnsi="Times New Roman" w:eastAsia="方正仿宋_GBK" w:cs="Times New Roman"/>
                        <w:sz w:val="28"/>
                        <w:szCs w:val="28"/>
                      </w:rPr>
                      <w:t>8</w:t>
                    </w:r>
                    <w:r>
                      <w:rPr>
                        <w:rStyle w:val="20"/>
                        <w:rFonts w:hint="default" w:ascii="Times New Roman" w:hAnsi="Times New Roman" w:eastAsia="方正仿宋_GBK" w:cs="Times New Roman"/>
                        <w:sz w:val="28"/>
                        <w:szCs w:val="28"/>
                      </w:rPr>
                      <w:fldChar w:fldCharType="end"/>
                    </w:r>
                    <w:r>
                      <w:rPr>
                        <w:rStyle w:val="20"/>
                        <w:rFonts w:hint="default" w:ascii="Times New Roman" w:hAnsi="Times New Roman" w:eastAsia="方正仿宋_GBK" w:cs="Times New Roman"/>
                        <w:sz w:val="28"/>
                        <w:szCs w:val="28"/>
                        <w:lang w:val="en-US" w:eastAsia="zh-CN"/>
                      </w:rPr>
                      <w:t xml:space="preserve"> </w:t>
                    </w:r>
                    <w:r>
                      <w:rPr>
                        <w:rStyle w:val="20"/>
                        <w:rFonts w:hint="default" w:ascii="Times New Roman" w:hAnsi="Times New Roman" w:eastAsia="方正仿宋_GBK"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2NkM2NmOGE3NDUyOTJiOWMyYzAwMDk5ZjFkNDIifQ=="/>
  </w:docVars>
  <w:rsids>
    <w:rsidRoot w:val="00000000"/>
    <w:rsid w:val="01CD1001"/>
    <w:rsid w:val="01DF0A33"/>
    <w:rsid w:val="040775AC"/>
    <w:rsid w:val="04F62304"/>
    <w:rsid w:val="0920721C"/>
    <w:rsid w:val="09AD0696"/>
    <w:rsid w:val="09F14739"/>
    <w:rsid w:val="0A546180"/>
    <w:rsid w:val="0A9E7CF1"/>
    <w:rsid w:val="0BBE689D"/>
    <w:rsid w:val="0BF15B45"/>
    <w:rsid w:val="0C82679C"/>
    <w:rsid w:val="0F4439C1"/>
    <w:rsid w:val="12294519"/>
    <w:rsid w:val="12803F2F"/>
    <w:rsid w:val="130D2041"/>
    <w:rsid w:val="146565F0"/>
    <w:rsid w:val="16643524"/>
    <w:rsid w:val="171C1CB2"/>
    <w:rsid w:val="188E19FE"/>
    <w:rsid w:val="1961296B"/>
    <w:rsid w:val="1A805581"/>
    <w:rsid w:val="1B334456"/>
    <w:rsid w:val="1C797E65"/>
    <w:rsid w:val="21BF0D94"/>
    <w:rsid w:val="268E49D6"/>
    <w:rsid w:val="278F2EC0"/>
    <w:rsid w:val="27E27B5A"/>
    <w:rsid w:val="2A5750C2"/>
    <w:rsid w:val="2C6223C5"/>
    <w:rsid w:val="30B473BD"/>
    <w:rsid w:val="31E21F30"/>
    <w:rsid w:val="32771890"/>
    <w:rsid w:val="3284589B"/>
    <w:rsid w:val="32BE58DD"/>
    <w:rsid w:val="3A8E7F1B"/>
    <w:rsid w:val="3AC86916"/>
    <w:rsid w:val="3AF41BA7"/>
    <w:rsid w:val="3B3B3DFE"/>
    <w:rsid w:val="3F221150"/>
    <w:rsid w:val="3FE3200D"/>
    <w:rsid w:val="40C819E2"/>
    <w:rsid w:val="41DF17B2"/>
    <w:rsid w:val="41F911D3"/>
    <w:rsid w:val="4451664F"/>
    <w:rsid w:val="44FB7922"/>
    <w:rsid w:val="4594519B"/>
    <w:rsid w:val="46C13A68"/>
    <w:rsid w:val="46D0425A"/>
    <w:rsid w:val="493A3767"/>
    <w:rsid w:val="499E578E"/>
    <w:rsid w:val="4A5F4E29"/>
    <w:rsid w:val="4AA46683"/>
    <w:rsid w:val="4AAE7501"/>
    <w:rsid w:val="4D6926CC"/>
    <w:rsid w:val="4E540E07"/>
    <w:rsid w:val="4EBD22B5"/>
    <w:rsid w:val="512D6CA6"/>
    <w:rsid w:val="51B355CB"/>
    <w:rsid w:val="524F3C70"/>
    <w:rsid w:val="53675A64"/>
    <w:rsid w:val="57CA54AD"/>
    <w:rsid w:val="5A08003E"/>
    <w:rsid w:val="5A3E204A"/>
    <w:rsid w:val="5B9C713E"/>
    <w:rsid w:val="5FB94527"/>
    <w:rsid w:val="5FD56E87"/>
    <w:rsid w:val="6223278A"/>
    <w:rsid w:val="645A7293"/>
    <w:rsid w:val="6B1D652E"/>
    <w:rsid w:val="6C166C87"/>
    <w:rsid w:val="6C627CF4"/>
    <w:rsid w:val="6D2D3E5E"/>
    <w:rsid w:val="6EE03FF5"/>
    <w:rsid w:val="734F231B"/>
    <w:rsid w:val="748836AF"/>
    <w:rsid w:val="75EB4455"/>
    <w:rsid w:val="7CFC3E57"/>
    <w:rsid w:val="7E4D4294"/>
    <w:rsid w:val="FBF7D80C"/>
    <w:rsid w:val="FDE48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样式 样式 小四 首行缩进:  2.25 字符 + 首行缩进:  2.25 字符 + 首行缩进:  2 字符"/>
    <w:basedOn w:val="3"/>
    <w:qFormat/>
    <w:uiPriority w:val="0"/>
  </w:style>
  <w:style w:type="paragraph" w:customStyle="1" w:styleId="3">
    <w:name w:val="样式 样式 小四 首行缩进:  2.25 字符 + 首行缩进:  2.25 字符"/>
    <w:basedOn w:val="4"/>
    <w:qFormat/>
    <w:uiPriority w:val="0"/>
  </w:style>
  <w:style w:type="paragraph" w:customStyle="1" w:styleId="4">
    <w:name w:val="样式 小四 首行缩进:  2.25 字符"/>
    <w:basedOn w:val="1"/>
    <w:qFormat/>
    <w:uiPriority w:val="0"/>
    <w:pPr>
      <w:spacing w:line="440" w:lineRule="exact"/>
      <w:ind w:firstLine="200"/>
    </w:pPr>
    <w:rPr>
      <w:szCs w:val="20"/>
    </w:rPr>
  </w:style>
  <w:style w:type="paragraph" w:styleId="5">
    <w:name w:val="Normal Indent"/>
    <w:basedOn w:val="1"/>
    <w:next w:val="1"/>
    <w:unhideWhenUsed/>
    <w:qFormat/>
    <w:uiPriority w:val="99"/>
    <w:pPr>
      <w:snapToGrid w:val="0"/>
      <w:spacing w:line="300" w:lineRule="auto"/>
      <w:ind w:firstLine="556"/>
    </w:pPr>
    <w:rPr>
      <w:rFonts w:ascii="仿宋_GB2312" w:eastAsia="仿宋_GB2312" w:cs="仿宋_GB2312"/>
      <w:kern w:val="0"/>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customStyle="1" w:styleId="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9">
    <w:name w:val="Plain Text"/>
    <w:basedOn w:val="1"/>
    <w:next w:val="1"/>
    <w:qFormat/>
    <w:uiPriority w:val="0"/>
    <w:rPr>
      <w:rFonts w:hint="default" w:hAnsi="Courier New"/>
      <w:szCs w:val="20"/>
    </w:rPr>
  </w:style>
  <w:style w:type="paragraph" w:styleId="10">
    <w:name w:val="Body Text Indent 2"/>
    <w:basedOn w:val="1"/>
    <w:next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正文1"/>
    <w:next w:val="1"/>
    <w:qFormat/>
    <w:uiPriority w:val="0"/>
    <w:pPr>
      <w:jc w:val="both"/>
    </w:pPr>
    <w:rPr>
      <w:rFonts w:ascii="Calibri" w:hAnsi="Calibri" w:eastAsia="宋体" w:cs="宋体"/>
      <w:kern w:val="2"/>
      <w:sz w:val="21"/>
      <w:szCs w:val="21"/>
      <w:lang w:val="en-US" w:eastAsia="zh-CN" w:bidi="ar-SA"/>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3176</Words>
  <Characters>3428</Characters>
  <Lines>0</Lines>
  <Paragraphs>0</Paragraphs>
  <TotalTime>3</TotalTime>
  <ScaleCrop>false</ScaleCrop>
  <LinksUpToDate>false</LinksUpToDate>
  <CharactersWithSpaces>3489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2025-09-17T23:51:00Z</dcterms:created>
  <dc:creator>Administrator</dc:creator>
  <cp:lastModifiedBy>陌  沫</cp:lastModifiedBy>
  <cp:lastPrinted>2025-09-28T14:49:00Z</cp:lastPrinted>
  <dcterms:modified xsi:type="dcterms:W3CDTF">2025-12-25T06:34:38Z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eyJoZGlkIjoiYjJiMjAzNGQ2NjI0YTQ4NmQ4YzZjMjhhNjViMzA5YWUiLCJ1c2VySWQiOiI5ODY2Nzc2MDEifQ==</vt:lpwstr>
  </property>
  <property fmtid="{D5CDD505-2E9C-101B-9397-08002B2CF9AE}" pid="4" name="ICV">
    <vt:lpwstr>A7294023C2794B35AC4E1FD8A5BA9F73_12</vt:lpwstr>
  </property>
</Properties>
</file>