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德宏州环境监测站2018年部门预算编制说明</w:t>
      </w:r>
    </w:p>
    <w:p>
      <w:pPr>
        <w:jc w:val="left"/>
        <w:rPr>
          <w:rFonts w:ascii="黑体" w:hAnsi="黑体" w:eastAsia="黑体"/>
          <w:sz w:val="30"/>
          <w:szCs w:val="30"/>
        </w:rPr>
      </w:pPr>
      <w:r>
        <w:rPr>
          <w:rFonts w:hint="eastAsia" w:ascii="黑体" w:hAnsi="黑体" w:eastAsia="黑体"/>
          <w:sz w:val="30"/>
          <w:szCs w:val="30"/>
        </w:rPr>
        <w:t>第二部分 德宏州环境监测站2018年部门预算表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十、州本级项目支出绩效目标表（本次下达）</w:t>
      </w:r>
    </w:p>
    <w:p>
      <w:pPr>
        <w:jc w:val="left"/>
        <w:rPr>
          <w:rFonts w:eastAsia="仿宋_GB2312"/>
          <w:sz w:val="30"/>
          <w:szCs w:val="30"/>
        </w:rPr>
      </w:pPr>
      <w:r>
        <w:rPr>
          <w:rFonts w:hint="eastAsia" w:eastAsia="仿宋_GB2312"/>
          <w:sz w:val="30"/>
          <w:szCs w:val="30"/>
        </w:rPr>
        <w:t>十一、州本级项目支出绩效目标表（另文下达）</w:t>
      </w:r>
    </w:p>
    <w:p>
      <w:pPr>
        <w:jc w:val="left"/>
        <w:rPr>
          <w:rFonts w:eastAsia="仿宋_GB2312"/>
          <w:sz w:val="30"/>
          <w:szCs w:val="30"/>
        </w:rPr>
      </w:pPr>
      <w:r>
        <w:rPr>
          <w:rFonts w:hint="eastAsia" w:eastAsia="仿宋_GB2312"/>
          <w:sz w:val="30"/>
          <w:szCs w:val="30"/>
        </w:rPr>
        <w:t>十二、州对下转移支付绩效目标表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spacing w:line="560" w:lineRule="exact"/>
        <w:jc w:val="center"/>
        <w:rPr>
          <w:rFonts w:ascii="黑体" w:hAnsi="黑体" w:eastAsia="黑体" w:cs="黑体"/>
          <w:sz w:val="44"/>
          <w:szCs w:val="44"/>
        </w:rPr>
      </w:pPr>
      <w:r>
        <w:rPr>
          <w:rFonts w:hint="eastAsia" w:ascii="黑体" w:hAnsi="黑体" w:eastAsia="黑体" w:cs="黑体"/>
          <w:sz w:val="44"/>
          <w:szCs w:val="44"/>
        </w:rPr>
        <w:t>德宏州环境监测站2018年部门</w:t>
      </w:r>
    </w:p>
    <w:p>
      <w:pPr>
        <w:spacing w:line="560" w:lineRule="exact"/>
        <w:jc w:val="center"/>
        <w:rPr>
          <w:rFonts w:ascii="黑体" w:hAnsi="黑体" w:eastAsia="黑体" w:cs="黑体"/>
          <w:sz w:val="44"/>
          <w:szCs w:val="44"/>
        </w:rPr>
      </w:pPr>
      <w:r>
        <w:rPr>
          <w:rFonts w:hint="eastAsia" w:ascii="黑体" w:hAnsi="黑体" w:eastAsia="黑体" w:cs="黑体"/>
          <w:sz w:val="44"/>
          <w:szCs w:val="44"/>
        </w:rPr>
        <w:t>预算编制说明</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按照预算管理的相关规定，目前部门预算的编制实行全口径预算管理，即收入和支出全部纳入预算管理，全部收入和支出都反映在预算中。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（一）主要职责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1、全面完成生态环境质量监测任务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完成州委、州政府及上级环境保护主管部门下达的各项环境监测任务；完成国控省控地表水、饮用水源地水质监测任务；完成全州重点污染源的监督性监测任务；完成芒市城市噪声、降雨等项目的监测。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2、大力提升应急监测能力建设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伴随着瑞丽开发开放试验区的不断推进，我州企业数量将不断增多，而人民群众对环境质量需求也在不断增加，污染事故、污染纠纷呈现增多趋势。在下一步工作中，我单位将大力提升应急监测能力建设，配齐配全应急监测设备，加强应急监测演练与培训，担负起全州环境突发事件应急监测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3、强化监测设备的维护与管理，确保监测数据的真实准确。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一是积极向上争取资金，购置配齐必要设备，强化硬件设施配套建设；二是做好有关仪器设备的维护与管理工作，定期完成仪器设备期间核查、校准工作，使监测数据可信度高，经得起推敲、检验。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4、加强质量控制与保证，推进标准化建设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按照《管理手册》及《程序文件》要求，认真做好质量控制与质量管理工作，保证体系文件的运行和监测工作的质量。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5、逐步拓宽监测业务领域，提升监测能力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监测项目范围是衡量一个监测站能力的主要指标之一。下一步工作中，我站将进一步加强业务能力建设，逐步拓宽监测业务领域，不断提高监测能力与水平，进一步加强有机项目和土壤监测，以满足和适应新时期、新形势、新常态下的监测分析工作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6、强化班子队伍建设，提升干部职工业务素质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一是认真落实党风廉政建设等相关职责，扎实开展“两学一做”、“三严三实”学习，严格执行中央</w:t>
      </w:r>
      <w:bookmarkStart w:id="0" w:name="_GoBack"/>
      <w:bookmarkEnd w:id="0"/>
      <w:r>
        <w:rPr>
          <w:rFonts w:hint="eastAsia" w:ascii="仿宋" w:hAnsi="仿宋" w:eastAsia="仿宋" w:cs="仿宋"/>
          <w:sz w:val="32"/>
          <w:szCs w:val="32"/>
        </w:rPr>
        <w:t>八项规定和省、州有关措施，认真做好爱岗奉献与警示教育；二是积极参加上级组织的各种学习培训，提升职工业务水平，确保监测人员持证上岗；三是调动干部职工工作的积极性、主动性，营造“团结、干事”工作氛围，确保时常能以昂扬的斗志、饱满的热情、顽强的作风完成好各项工作任务；四是按质按量完成各项监测统计、环境统计等的上报工作，及时为管理部门决策提供科学依据。</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（二）机构设置情况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德宏州环境监测站成立于1986年4月，行政上隶属德宏州环境保护局，属国家二级监测站（加挂德宏州辐射环境监测站、德宏州环境科学研究所牌子）。下设办公室、监测分析室、技术管理和质量控制室、野外监测室及自动监测室。全站目前有编制33个，实有33人，其中高级工程师4人，工程师17人，助理工程师9人，工勤人员3人。</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（三）重点工作概述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1、认真做好地表水水质监测。监测数据表明，我州地表水环境质量总体良好，出境水监测指标满足功能区的要求，饮用水安全。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2、切实加强水质自动站运行管理。监测结果显示监测断面水质满足功能区的要求。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3、认真做好降雨监测工作。降雨监测为分析大气污染状况和环境保护部门提出控制污染途径及方法提供了基础资料和依据。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4、有效完成芒市城市区域声环境、城市交通噪声环境质量监测。芒市城市区域声环境布点106个，城市交通噪声布点20个，对芒市城市区域声环境、城市交通噪声环境质量进行一次全面的监测评价。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二、预算单位基本情况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我单位编制2018年部门预算单位共1个。其中：财政全供给单位1个。我单位是财政全供给事业单位1个，部门基本情况如下：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在职人员事业编制33人，离退休人员 5人，其中： 离休 0人，退休5人。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车辆编制7辆，实有车辆7辆。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三、预算单位收入情况</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（一）部门财务收入情况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部门财务总收入411.61万元，其中：一般公共预算财政拨款411.61万元，政府性基金预算财政拨款0万元，国有资本经营预算财政拨款0万元，事业收入0万元，事业单位经营收入0万元，其他收入0万元，上年结转0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（二）财政拨款收入情况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2018年部门财政拨款收入 411.61万元，其中:本年收入411.61万元，上年结转0万元。本年收入中，一般公共预算财政拨款411.61万元（本级财力411.61万元）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四、预算单位支出情况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2018年部门预算总支出 411.61万元。财政拨款安排支出 411.61万元，其中，基本支出391.61万元，项目支出20万元。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财政拨款安排支出按功能科目分类情况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节能环保支出-环境保护管理事务-其他环境保护管理事务312.57万元，其中：基本支出292.57万元,项目支出20万元;主要用于发放干部职工的工资，公务用车用车运行维护费开支，办公费、印刷费和水电费，专用材料等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社会保障和就业支出—行政事业单位离退休—归口管理的行政单位离退休0.3万元，均为基本支出，主要用于离退休干部日常开展活动的公用经费。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社会保障和就业支出—行政事业单位离退休—机关事业单位基本养老保险缴费支出50.19万元，均为基本支出，主要用于在职干部职工缴纳养老保险支出。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社会保障和就业支出—行政事业单位离退休—机关事业单位职业年金缴费支出18.13万元，均为基本支出，主要用于在职干部职工缴纳职业年金支出。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住房保障支出—住房改革支出—住房公积金支出30.42万元，均为基本支出，主要用于在职干部职工缴纳住房公积金。</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（二）财政拨款安排支出按经济科目分类情况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2018年德宏州环境监测站预算总支出411.61万元,其中：基本支出391.61万元，项目支出20万元。按经济科目分类分别为：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工资福利支出375.31万元（均为基本支出）。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商品服务支出36.3万元，（其中：基本支出16.3万元，项目支出20万元）。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对个人和家庭的补助0万元。</w:t>
      </w:r>
    </w:p>
    <w:p>
      <w:pPr>
        <w:rPr>
          <w:rFonts w:ascii="黑体" w:hAnsi="黑体" w:eastAsia="黑体" w:cs="黑体"/>
          <w:sz w:val="32"/>
          <w:szCs w:val="32"/>
        </w:rPr>
      </w:pPr>
      <w:r>
        <w:rPr>
          <w:rFonts w:hint="eastAsia" w:ascii="黑体" w:hAnsi="黑体" w:eastAsia="黑体" w:cs="黑体"/>
          <w:sz w:val="32"/>
          <w:szCs w:val="32"/>
        </w:rPr>
        <w:t>五、州对下转项转移支付情况</w:t>
      </w:r>
    </w:p>
    <w:p>
      <w:pPr>
        <w:ind w:firstLine="640" w:firstLineChars="200"/>
        <w:rPr>
          <w:rFonts w:ascii="楷体" w:hAnsi="楷体" w:eastAsia="楷体" w:cs="楷体"/>
          <w:sz w:val="32"/>
          <w:szCs w:val="32"/>
        </w:rPr>
      </w:pPr>
      <w:r>
        <w:rPr>
          <w:rFonts w:hint="eastAsia" w:ascii="楷体" w:hAnsi="楷体" w:eastAsia="楷体" w:cs="楷体"/>
          <w:sz w:val="32"/>
          <w:szCs w:val="32"/>
        </w:rPr>
        <w:t>（一）列入省对下专项转移支付项目清单项目情况</w:t>
      </w:r>
    </w:p>
    <w:p>
      <w:pPr>
        <w:ind w:firstLine="960" w:firstLineChars="300"/>
        <w:rPr>
          <w:rFonts w:ascii="仿宋" w:hAnsi="仿宋" w:eastAsia="仿宋" w:cs="仿宋"/>
          <w:sz w:val="32"/>
          <w:szCs w:val="32"/>
        </w:rPr>
      </w:pPr>
      <w:r>
        <w:rPr>
          <w:rFonts w:hint="eastAsia" w:ascii="仿宋" w:hAnsi="仿宋" w:eastAsia="仿宋" w:cs="仿宋"/>
          <w:sz w:val="32"/>
          <w:szCs w:val="32"/>
        </w:rPr>
        <w:t>2018年无省对下专项转移支付。</w:t>
      </w:r>
    </w:p>
    <w:p>
      <w:pPr>
        <w:ind w:firstLine="640" w:firstLineChars="200"/>
        <w:rPr>
          <w:rFonts w:ascii="楷体" w:hAnsi="楷体" w:eastAsia="楷体" w:cs="楷体"/>
          <w:sz w:val="32"/>
          <w:szCs w:val="32"/>
        </w:rPr>
      </w:pPr>
      <w:r>
        <w:rPr>
          <w:rFonts w:hint="eastAsia" w:ascii="楷体" w:hAnsi="楷体" w:eastAsia="楷体" w:cs="楷体"/>
          <w:sz w:val="32"/>
          <w:szCs w:val="32"/>
        </w:rPr>
        <w:t>（二）与中央、省配套事项</w:t>
      </w:r>
    </w:p>
    <w:p>
      <w:pPr>
        <w:ind w:firstLine="960" w:firstLineChars="300"/>
        <w:rPr>
          <w:rFonts w:ascii="仿宋" w:hAnsi="仿宋" w:eastAsia="仿宋" w:cs="仿宋"/>
          <w:sz w:val="32"/>
          <w:szCs w:val="32"/>
        </w:rPr>
      </w:pPr>
      <w:r>
        <w:rPr>
          <w:rFonts w:hint="eastAsia" w:ascii="仿宋" w:hAnsi="仿宋" w:eastAsia="仿宋" w:cs="仿宋"/>
          <w:sz w:val="32"/>
          <w:szCs w:val="32"/>
        </w:rPr>
        <w:t>我单位无此情况。</w:t>
      </w:r>
    </w:p>
    <w:p>
      <w:pPr>
        <w:ind w:firstLine="640" w:firstLineChars="200"/>
        <w:rPr>
          <w:rFonts w:ascii="楷体" w:hAnsi="楷体" w:eastAsia="楷体" w:cs="楷体"/>
          <w:sz w:val="32"/>
          <w:szCs w:val="32"/>
        </w:rPr>
      </w:pPr>
      <w:r>
        <w:rPr>
          <w:rFonts w:hint="eastAsia" w:ascii="楷体" w:hAnsi="楷体" w:eastAsia="楷体" w:cs="楷体"/>
          <w:sz w:val="32"/>
          <w:szCs w:val="32"/>
        </w:rPr>
        <w:t>（三）按既定政策标准测算补助事项</w:t>
      </w:r>
    </w:p>
    <w:p>
      <w:pPr>
        <w:ind w:firstLine="960" w:firstLineChars="300"/>
        <w:rPr>
          <w:rFonts w:ascii="仿宋" w:hAnsi="仿宋" w:eastAsia="仿宋" w:cs="仿宋"/>
          <w:sz w:val="32"/>
          <w:szCs w:val="32"/>
        </w:rPr>
      </w:pPr>
      <w:r>
        <w:rPr>
          <w:rFonts w:hint="eastAsia" w:ascii="仿宋" w:hAnsi="仿宋" w:eastAsia="仿宋" w:cs="仿宋"/>
          <w:sz w:val="32"/>
          <w:szCs w:val="32"/>
        </w:rPr>
        <w:t>我单位无此情况。</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六、政府采购预算情况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本单位没有做政府采购预算，根据《中华人民共和国政府采购法》、《党政机关厉行节约反对浪费条例》文件规定，根据工作需要我局在项目实施中采购的电脑、复印机、传真机等办公设备费。对符合纳入政府集中采购目录的事项，严格按政府采购管理规定办理政府采购审批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七、预算收支增减变化情况说明</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（一）基本支出预算变动的主要原因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1.工资福利支出与上年对比增加107.06万元，主要原因是工资基数增加，福利费相应增加；住房公积金由对个人和家庭的补助支出调整到工资福利支出中。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2.商品服务支出与上年对比增加11.84万元，主要原因是今年增加了州本级项目开支。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3.个人和家庭的补助养与上年对比减少63.69万元，主要原因是住房公积金由对个人和家庭的补助支出调整到工资福利支出中，退休人员的退休费纳入养老中心发放。</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（二）项目支出预算变动的主要原因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项目支出经费与上年对比增加了20万元。监测任务较多，而非税收入又取消收费。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八、其他公开信息</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（一）专业名词解释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1、三公经费是指财政拨款支出安排的出国（境）费、车辆购置及运行费、公务接待费这三项经费。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事业运行经费是指为保障行政单位(包括实行公务员管理的事业单位)运行用于购买货物和服务的各项资金，包括办公及印刷费、邮电费、差旅费、会议费、福利费、日常维修费、专用材料及一般设备购置费、办公用房水电费、取暖费、物业管理费、公务用车运行维护费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3、一般公共预算拨款收入是指财政当年拨付的资金。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4、上年结余指以前年度尚未完成、结转到本年仍按原规定用途继续使用的资金。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5、公务用车运行维护费是指单位按规定保留的公务用车租用费、燃油费、维修费、过路过桥费、保险费等支出。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6、公务接待费是指单位按规定开支的各类公务接待（含外宾接待）费用。</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（二）事业公用运行经费安排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事业公用运行经费16.30万元，主要用于办公费2万元、印刷费2万元、水费2万元、公务接待费4万元、劳务费0万元、公务用车运行维护费6万元、离退休公用经费0.3万元。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（三）国有资产占用情况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截至2018年12月31日的国有资产占有使用情况需在完成2018年决算编制后才能统计汇总相关数据，因此，将在公开2018年度部门决算时一并公开部门截至2018年12月31日的国有资产占有使用情况。</w:t>
      </w:r>
    </w:p>
    <w:p>
      <w:pPr>
        <w:spacing w:line="560" w:lineRule="exact"/>
        <w:ind w:firstLine="640" w:firstLineChars="200"/>
        <w:rPr>
          <w:rFonts w:ascii="仿宋" w:hAnsi="仿宋" w:eastAsia="仿宋" w:cs="仿宋"/>
          <w:sz w:val="32"/>
          <w:szCs w:val="32"/>
        </w:rPr>
      </w:pP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44F73"/>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57A3E"/>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2930"/>
    <w:rsid w:val="005431C8"/>
    <w:rsid w:val="005463F4"/>
    <w:rsid w:val="00552BA8"/>
    <w:rsid w:val="0055409A"/>
    <w:rsid w:val="00560F85"/>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731"/>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23C0"/>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AA559A"/>
    <w:rsid w:val="054C44FD"/>
    <w:rsid w:val="0FC1435D"/>
    <w:rsid w:val="189708C3"/>
    <w:rsid w:val="227577A8"/>
    <w:rsid w:val="24464F5C"/>
    <w:rsid w:val="24FB4F51"/>
    <w:rsid w:val="2668047F"/>
    <w:rsid w:val="2C1A0FAF"/>
    <w:rsid w:val="2FC1654C"/>
    <w:rsid w:val="307E6D7E"/>
    <w:rsid w:val="33B34849"/>
    <w:rsid w:val="3C8D36CF"/>
    <w:rsid w:val="3EBF1F45"/>
    <w:rsid w:val="3EE14D7D"/>
    <w:rsid w:val="423D0EC5"/>
    <w:rsid w:val="46F023B6"/>
    <w:rsid w:val="5699500A"/>
    <w:rsid w:val="65A23471"/>
    <w:rsid w:val="6CF25349"/>
    <w:rsid w:val="6E5414B2"/>
    <w:rsid w:val="6E846757"/>
    <w:rsid w:val="74EC7C11"/>
    <w:rsid w:val="7E6223A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0"/>
    <w:pPr>
      <w:spacing w:beforeAutospacing="1" w:afterAutospacing="1"/>
      <w:jc w:val="left"/>
    </w:pPr>
    <w:rPr>
      <w:kern w:val="0"/>
      <w:sz w:val="24"/>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_Style 11"/>
    <w:basedOn w:val="1"/>
    <w:next w:val="1"/>
    <w:uiPriority w:val="0"/>
    <w:pPr>
      <w:pBdr>
        <w:bottom w:val="single" w:color="auto" w:sz="6" w:space="1"/>
      </w:pBdr>
      <w:jc w:val="center"/>
    </w:pPr>
    <w:rPr>
      <w:rFonts w:ascii="Arial"/>
      <w:vanish/>
      <w:sz w:val="16"/>
    </w:rPr>
  </w:style>
  <w:style w:type="paragraph" w:customStyle="1" w:styleId="13">
    <w:name w:val="_Style 12"/>
    <w:basedOn w:val="1"/>
    <w:next w:val="1"/>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547</Words>
  <Characters>3118</Characters>
  <Lines>25</Lines>
  <Paragraphs>7</Paragraphs>
  <TotalTime>293</TotalTime>
  <ScaleCrop>false</ScaleCrop>
  <LinksUpToDate>false</LinksUpToDate>
  <CharactersWithSpaces>3658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NINGMEI</cp:lastModifiedBy>
  <cp:lastPrinted>2018-01-31T03:32:00Z</cp:lastPrinted>
  <dcterms:modified xsi:type="dcterms:W3CDTF">2024-04-01T09:53:17Z</dcterms:modified>
  <dc:title>年部门预算编制说明</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