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2240" w:firstLineChars="700"/>
        <w:jc w:val="both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德环审〔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2—01号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德宏州生态环境局关于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220千伏坝托变二期工程建设项目环境影响报告表的批复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云南电网有限责任公司德宏供电局：</w:t>
      </w:r>
    </w:p>
    <w:p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你公司申请报批的《220千伏坝托变二期工程建设项目环境影响报告表》(以下简称《报告表》)已收悉，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根据《中华人民共和国环境影响评价法》及《建设项目环境保护管理条例》有关规定，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技术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人员进行了技术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审查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结合技术审查意见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批复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如下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、本期工程建设项目（项目代码：2102-533100-04-02-617310）包括：（一）坝托220KV变电站扩建工程：1.新增2#主变，容量1×180MVA；2.在本期2#主变侧新增2组电容器，容量为2×12Mvar；3.扩建2#主变进线间隔1个，扩建220kV出线间隔3个；4.扩建2#主变110kV进线间隔1个，扩建110kV出线间隔1个。本期扩建工程均在变电站站内预留用地内进行，不新征占地。（二）轩岗110KV变电站间隔扩建工程：在轩岗110kV变电站站内预留间隔处扩建1个110kV出线间隔至坝托220kV变电站，占用110kV配电装置南至北第3个出线间隔，本期扩建工程在原有围墙内预留场地进行，不新征用地。（三）220kV龙江电站—潞西变线“π”接入220kV坝托变线路工程：开断220kV龙江电站—潞西变线路（220kV户潞线）“π”接入220kV坝托变，形成220kV坝托变—潞西变线路以及220kV坝托变—龙江电站线路，其中潞西侧新建线路路径约1.28km，龙江电站侧新建线路路径约1.44km。两条线路全线均采用单回架设，导线型号均为2×JL/LB20A-400/35，新建杆塔约11基。（四）新建110kV坝托变—轩岗变线路工程：新建110kV坝托变—轩岗变线路工程线路路径全长约24.25km，采取单、双回混合架设方式，其中单回架空线路约23.25km，双回架空线路约1km，新建杆塔约64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本期工程建设地点位于德宏州芒市遮放镇、三台山乡、轩岗乡。工程总投资5954万元，环保投资42万元，占比0.7%。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根据《报告表》的评价结论，该项目符合国家产业政策，符合城乡规划。本工程评价范围内不涉及各类自然保护区、风景名胜区、森林公园等需要特别保护的生态敏感区域，不涉及云南省生态保护红线及饮用水源保护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严格落实《报告表》提出的电磁辐射环境保护措施前提下，正常运行时产生的工频电场、工频磁场在满足《电磁环境控制限值》（GB8702-2014）中相关标准限值要求，从辐射安全和环境保护角度是可行的。我局同意该项目按照《报告表》中所述的性质、规模、内容、环境保护对策措施及辐射环境管理要求进行建设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三、项目施工及运营管理应重点做好的工作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default" w:ascii="Times New Roman" w:hAnsi="Times New Roman" w:eastAsia="仿宋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（一）严格按照《报告表》中的施工方案和电磁辐射环境保护措施进行施工，合理安排施工时间。施工期产生的扬尘、噪声、生活污水、固体废弃物严格按照《报告表》中的环境保护对策措施贯彻执行。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（二）项目施工期及运营期，厂界四周、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工程线路沿线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及电磁环境敏感目标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工频电场强度、工频磁感应强度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分别满足《电磁环境控制限值》（GB8702-2014）中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4000V/m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、100μT的公众曝露控制限值要求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，项目施工期噪声排放执行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《建筑施工场界环境噪声排放标准》（GB12523-2011）中相关要求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，运营期项目所在区域声环境质量执行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《声环境质量标准》（GB3096-2008）标准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相关要求。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 w:firstLine="64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（三）该项目输电线路的架设高度应严格按照《110kV～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750kV架空输电线路设计规范》（GB50545-2010）并结合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《输变电建设项目环境保护技术要求》（HJ1113-2020）中相关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要求进行架设。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 w:val="0"/>
          <w:color w:val="auto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施工期的环境保护管理，落实各项生态保护措施和污染防治措施。做好地表水体附近塔基的水土保持和植被恢复工作。此外，在跨越水体附近施工时禁止向水体内排放、倾倒、废水、废渣、沙土、垃圾等；及时恢复施工道路等临时施工用地的原有土地功能；施工时应采取有效防尘、降噪措施，不得扰民；合理安排牵张场、材料场，尽可能利用现有便道，减少新修道路和树木砍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Cs w:val="0"/>
          <w:color w:val="auto"/>
          <w:sz w:val="32"/>
          <w:szCs w:val="32"/>
          <w:lang w:val="en-US" w:eastAsia="zh-CN"/>
        </w:rPr>
        <w:t>（五）在输电设施重点保护区设立相应的警示标志，并做好警示宣传工作，醒目位置设置安全警示图文标志，标明严禁攀登、线下高位操作应有防护措施等安全注意事项。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bCs w:val="0"/>
          <w:color w:val="auto"/>
          <w:sz w:val="32"/>
          <w:szCs w:val="32"/>
          <w:lang w:val="en-US" w:eastAsia="zh-CN"/>
        </w:rPr>
        <w:t>（六）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加强施工期及运营期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管理，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合理设置监测点位，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定期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开展电磁辐射环境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监测，保证电力装置正常工作，防止电磁辐射超标，杜绝发生电磁辐射污染事故。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四、</w:t>
      </w:r>
      <w:r>
        <w:rPr>
          <w:rFonts w:hint="default" w:ascii="Times New Roman" w:hAnsi="Times New Roman" w:eastAsia="仿宋" w:cs="Times New Roman"/>
          <w:bCs w:val="0"/>
          <w:color w:val="auto"/>
          <w:kern w:val="2"/>
          <w:sz w:val="32"/>
          <w:szCs w:val="32"/>
          <w:lang w:val="en-US" w:eastAsia="zh-CN" w:bidi="ar-SA"/>
        </w:rPr>
        <w:t>认真落实环保资金的投入，严格按《报告表》提出的环保投资概算执行。严格执行环保设施与主体工程同时设计、同时施工、同时投产使用的环保“三同时”制度。项目竣工后依法开展竣工环保验收工作。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五、你公司应在接到本批复20个工作日内，将批准后的《报告表》送德宏州生态环境局芒市分局，并按规定接受各级生态环境主管部门的日常监督检查。</w:t>
      </w:r>
    </w:p>
    <w:p>
      <w:pPr>
        <w:pStyle w:val="4"/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请德宏州生态环境保护综合执法支队、德宏州生态环境局芒市分局负责该项目落实《报告表》及本批复各项要求和措施的现场监督检查工作。</w:t>
      </w:r>
    </w:p>
    <w:p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德宏州生态环境局</w:t>
      </w:r>
    </w:p>
    <w:p>
      <w:pPr>
        <w:keepNext w:val="0"/>
        <w:keepLines w:val="0"/>
        <w:pageBreakBefore w:val="0"/>
        <w:widowControl w:val="0"/>
        <w:kinsoku/>
        <w:overflowPunct/>
        <w:bidi w:val="0"/>
        <w:spacing w:line="560" w:lineRule="exact"/>
        <w:ind w:left="0" w:leftChars="0" w:right="0" w:rightChars="0" w:firstLine="5120" w:firstLineChars="16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2021年4月23日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oto Sans CJK JP Regular">
    <w:altName w:val="仿宋_GB2312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Genev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iner Hand ITC">
    <w:panose1 w:val="03070502030502020203"/>
    <w:charset w:val="00"/>
    <w:family w:val="auto"/>
    <w:pitch w:val="default"/>
    <w:sig w:usb0="00000003" w:usb1="00000000" w:usb2="00000000" w:usb3="00000000" w:csb0="200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ai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光小标宋_CNKI">
    <w:altName w:val="宋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Emoji">
    <w:altName w:val="Segoe U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iddenHorzOCl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五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lotter">
    <w:altName w:val="Lucida Console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瀹嬩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12A22"/>
    <w:multiLevelType w:val="singleLevel"/>
    <w:tmpl w:val="60812A22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E207A"/>
    <w:rsid w:val="09421FC6"/>
    <w:rsid w:val="0AE43136"/>
    <w:rsid w:val="15523405"/>
    <w:rsid w:val="1E5E207A"/>
    <w:rsid w:val="20327967"/>
    <w:rsid w:val="22D967D9"/>
    <w:rsid w:val="2BFB7FEB"/>
    <w:rsid w:val="30637644"/>
    <w:rsid w:val="32294C89"/>
    <w:rsid w:val="3CF255E6"/>
    <w:rsid w:val="3D8A28D3"/>
    <w:rsid w:val="3FE5127D"/>
    <w:rsid w:val="4237766E"/>
    <w:rsid w:val="451E1D9B"/>
    <w:rsid w:val="4564222B"/>
    <w:rsid w:val="491D69DF"/>
    <w:rsid w:val="4AAC5D2E"/>
    <w:rsid w:val="4FF525F4"/>
    <w:rsid w:val="54837271"/>
    <w:rsid w:val="593F7103"/>
    <w:rsid w:val="5B135E2A"/>
    <w:rsid w:val="64B233CA"/>
    <w:rsid w:val="69F638B9"/>
    <w:rsid w:val="6A50021A"/>
    <w:rsid w:val="6B18285E"/>
    <w:rsid w:val="6F005A6F"/>
    <w:rsid w:val="71EC3ABE"/>
    <w:rsid w:val="71EE3E07"/>
    <w:rsid w:val="74BC42D6"/>
    <w:rsid w:val="756A3548"/>
    <w:rsid w:val="75794820"/>
    <w:rsid w:val="7E96485D"/>
    <w:rsid w:val="7F0D45B0"/>
    <w:rsid w:val="7F547E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iPriority w:val="0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color w:val="000000"/>
      <w:sz w:val="24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spacing w:line="460" w:lineRule="exact"/>
      <w:ind w:firstLine="600"/>
    </w:pPr>
    <w:rPr>
      <w:rFonts w:eastAsia="仿宋_GB2312"/>
      <w:sz w:val="28"/>
    </w:rPr>
  </w:style>
  <w:style w:type="paragraph" w:styleId="4">
    <w:name w:val="Plain Text"/>
    <w:basedOn w:val="1"/>
    <w:qFormat/>
    <w:uiPriority w:val="0"/>
    <w:rPr>
      <w:rFonts w:hint="default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2020-05-25T00:41:00Z</dcterms:created>
  <dc:creator>DELL</dc:creator>
  <cp:lastModifiedBy>DELL</cp:lastModifiedBy>
  <cp:lastPrinted>2021-04-23T02:21:00Z</cp:lastPrinted>
  <dcterms:modified xsi:type="dcterms:W3CDTF">2021-04-23T03:36:35Z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