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3"/>
        <w:jc w:val="center"/>
        <w:rPr>
          <w:b/>
          <w:bCs/>
          <w:sz w:val="32"/>
        </w:rPr>
      </w:pPr>
    </w:p>
    <w:p>
      <w:pPr>
        <w:ind w:firstLine="643"/>
        <w:jc w:val="center"/>
        <w:rPr>
          <w:b/>
          <w:bCs/>
          <w:sz w:val="32"/>
        </w:rPr>
      </w:pPr>
    </w:p>
    <w:p>
      <w:pPr>
        <w:adjustRightInd w:val="0"/>
        <w:snapToGrid w:val="0"/>
        <w:spacing w:line="240" w:lineRule="auto"/>
        <w:ind w:firstLine="0" w:firstLineChars="0"/>
        <w:jc w:val="center"/>
        <w:rPr>
          <w:rFonts w:ascii="黑体" w:hAnsi="黑体" w:eastAsia="黑体"/>
          <w:b/>
          <w:spacing w:val="20"/>
          <w:sz w:val="44"/>
          <w:szCs w:val="44"/>
        </w:rPr>
      </w:pPr>
      <w:r>
        <w:rPr>
          <w:rFonts w:hint="eastAsia" w:ascii="黑体" w:hAnsi="黑体" w:eastAsia="黑体"/>
          <w:b/>
          <w:spacing w:val="20"/>
          <w:sz w:val="44"/>
          <w:szCs w:val="44"/>
        </w:rPr>
        <w:t>云南省德宏州地质灾害防治“十四五”规划</w:t>
      </w:r>
    </w:p>
    <w:p>
      <w:pPr>
        <w:ind w:firstLine="0" w:firstLineChars="0"/>
        <w:jc w:val="center"/>
        <w:rPr>
          <w:b/>
          <w:bCs/>
          <w:sz w:val="32"/>
        </w:rPr>
      </w:pPr>
      <w:r>
        <w:rPr>
          <w:rFonts w:hint="eastAsia" w:ascii="黑体" w:hAnsi="黑体" w:eastAsia="黑体"/>
          <w:b/>
          <w:spacing w:val="20"/>
          <w:sz w:val="32"/>
          <w:szCs w:val="32"/>
        </w:rPr>
        <w:t>（2021—2025年）</w:t>
      </w:r>
    </w:p>
    <w:p>
      <w:pPr>
        <w:ind w:firstLine="0" w:firstLineChars="0"/>
        <w:jc w:val="center"/>
        <w:rPr>
          <w:b/>
          <w:bCs/>
          <w:sz w:val="32"/>
        </w:rPr>
      </w:pPr>
      <w:r>
        <w:rPr>
          <w:rFonts w:hint="eastAsia" w:ascii="黑体" w:hAnsi="黑体" w:eastAsia="黑体"/>
          <w:b/>
          <w:spacing w:val="20"/>
          <w:sz w:val="32"/>
          <w:szCs w:val="32"/>
        </w:rPr>
        <w:t>（送审稿）</w:t>
      </w:r>
    </w:p>
    <w:p>
      <w:pPr>
        <w:ind w:firstLine="643"/>
        <w:jc w:val="center"/>
        <w:rPr>
          <w:b/>
          <w:bCs/>
          <w:sz w:val="32"/>
        </w:rPr>
      </w:pPr>
    </w:p>
    <w:p>
      <w:pPr>
        <w:ind w:firstLine="643"/>
        <w:jc w:val="center"/>
        <w:rPr>
          <w:b/>
          <w:bCs/>
          <w:sz w:val="32"/>
        </w:rPr>
      </w:pPr>
    </w:p>
    <w:p>
      <w:pPr>
        <w:ind w:firstLine="643"/>
        <w:jc w:val="center"/>
        <w:rPr>
          <w:b/>
          <w:bCs/>
          <w:sz w:val="32"/>
        </w:rPr>
      </w:pPr>
    </w:p>
    <w:p>
      <w:pPr>
        <w:ind w:firstLine="643"/>
        <w:jc w:val="center"/>
        <w:rPr>
          <w:b/>
          <w:bCs/>
          <w:sz w:val="32"/>
        </w:rPr>
      </w:pPr>
    </w:p>
    <w:p>
      <w:pPr>
        <w:ind w:firstLine="643"/>
        <w:jc w:val="center"/>
        <w:rPr>
          <w:b/>
          <w:bCs/>
          <w:sz w:val="32"/>
        </w:rPr>
      </w:pPr>
    </w:p>
    <w:p>
      <w:pPr>
        <w:ind w:firstLine="643"/>
        <w:jc w:val="center"/>
        <w:rPr>
          <w:b/>
          <w:bCs/>
          <w:sz w:val="32"/>
        </w:rPr>
      </w:pPr>
    </w:p>
    <w:p>
      <w:pPr>
        <w:ind w:firstLine="643"/>
        <w:jc w:val="center"/>
        <w:rPr>
          <w:b/>
          <w:bCs/>
          <w:sz w:val="32"/>
        </w:rPr>
      </w:pPr>
    </w:p>
    <w:p>
      <w:pPr>
        <w:ind w:firstLine="643"/>
        <w:jc w:val="center"/>
        <w:rPr>
          <w:b/>
          <w:bCs/>
          <w:sz w:val="32"/>
        </w:rPr>
      </w:pPr>
    </w:p>
    <w:p>
      <w:pPr>
        <w:ind w:firstLine="643"/>
        <w:jc w:val="center"/>
        <w:rPr>
          <w:b/>
          <w:bCs/>
          <w:sz w:val="32"/>
        </w:rPr>
      </w:pPr>
    </w:p>
    <w:p>
      <w:pPr>
        <w:ind w:firstLine="643"/>
        <w:jc w:val="center"/>
        <w:rPr>
          <w:b/>
          <w:bCs/>
          <w:sz w:val="32"/>
        </w:rPr>
      </w:pPr>
    </w:p>
    <w:p>
      <w:pPr>
        <w:ind w:firstLine="643"/>
        <w:jc w:val="center"/>
        <w:rPr>
          <w:b/>
          <w:bCs/>
          <w:sz w:val="32"/>
        </w:rPr>
      </w:pPr>
    </w:p>
    <w:p>
      <w:pPr>
        <w:ind w:firstLine="738"/>
        <w:rPr>
          <w:b/>
          <w:bCs/>
          <w:spacing w:val="24"/>
          <w:sz w:val="32"/>
        </w:rPr>
      </w:pPr>
    </w:p>
    <w:p>
      <w:pPr>
        <w:ind w:firstLine="738"/>
        <w:rPr>
          <w:b/>
          <w:bCs/>
          <w:spacing w:val="24"/>
          <w:sz w:val="32"/>
        </w:rPr>
      </w:pPr>
    </w:p>
    <w:p>
      <w:pPr>
        <w:ind w:firstLine="738"/>
        <w:rPr>
          <w:b/>
          <w:bCs/>
          <w:spacing w:val="24"/>
          <w:sz w:val="32"/>
        </w:rPr>
      </w:pPr>
    </w:p>
    <w:p>
      <w:pPr>
        <w:ind w:firstLine="738"/>
        <w:rPr>
          <w:b/>
          <w:bCs/>
          <w:spacing w:val="24"/>
          <w:sz w:val="32"/>
        </w:rPr>
      </w:pPr>
    </w:p>
    <w:p>
      <w:pPr>
        <w:ind w:firstLine="0" w:firstLineChars="0"/>
        <w:jc w:val="center"/>
        <w:rPr>
          <w:b/>
          <w:bCs/>
          <w:sz w:val="32"/>
          <w:szCs w:val="32"/>
        </w:rPr>
      </w:pPr>
      <w:r>
        <w:rPr>
          <w:rFonts w:hint="eastAsia"/>
          <w:b/>
          <w:bCs/>
          <w:sz w:val="32"/>
          <w:szCs w:val="32"/>
        </w:rPr>
        <w:t>德宏州人民政府</w:t>
      </w:r>
    </w:p>
    <w:p>
      <w:pPr>
        <w:ind w:firstLine="0" w:firstLineChars="0"/>
        <w:jc w:val="center"/>
        <w:rPr>
          <w:b/>
          <w:bCs/>
          <w:spacing w:val="24"/>
          <w:szCs w:val="28"/>
        </w:rPr>
      </w:pPr>
      <w:r>
        <w:rPr>
          <w:rFonts w:hint="eastAsia"/>
          <w:b/>
          <w:bCs/>
          <w:sz w:val="32"/>
          <w:szCs w:val="32"/>
        </w:rPr>
        <w:t>二○二一年十一月</w:t>
      </w:r>
    </w:p>
    <w:p>
      <w:pPr>
        <w:adjustRightInd w:val="0"/>
        <w:snapToGrid w:val="0"/>
        <w:ind w:firstLine="0" w:firstLineChars="0"/>
        <w:jc w:val="center"/>
        <w:rPr>
          <w:rFonts w:ascii="黑体" w:hAnsi="黑体" w:eastAsia="黑体"/>
          <w:spacing w:val="20"/>
          <w:sz w:val="36"/>
          <w:szCs w:val="36"/>
        </w:rPr>
      </w:pPr>
    </w:p>
    <w:p>
      <w:pPr>
        <w:adjustRightInd w:val="0"/>
        <w:snapToGrid w:val="0"/>
        <w:ind w:firstLine="0" w:firstLineChars="0"/>
        <w:jc w:val="center"/>
        <w:rPr>
          <w:rFonts w:ascii="黑体" w:hAnsi="黑体" w:eastAsia="黑体"/>
          <w:spacing w:val="20"/>
          <w:sz w:val="36"/>
          <w:szCs w:val="36"/>
        </w:rPr>
      </w:pPr>
    </w:p>
    <w:p>
      <w:pPr>
        <w:adjustRightInd w:val="0"/>
        <w:snapToGrid w:val="0"/>
        <w:ind w:firstLine="0" w:firstLineChars="0"/>
        <w:jc w:val="center"/>
        <w:outlineLvl w:val="0"/>
        <w:rPr>
          <w:rFonts w:ascii="黑体" w:hAnsi="黑体" w:eastAsia="黑体"/>
          <w:kern w:val="0"/>
          <w:sz w:val="30"/>
          <w:szCs w:val="30"/>
        </w:rPr>
      </w:pPr>
      <w:bookmarkStart w:id="0" w:name="_Toc88832927"/>
      <w:r>
        <w:rPr>
          <w:rFonts w:hint="eastAsia" w:ascii="黑体" w:hAnsi="黑体" w:eastAsia="黑体"/>
          <w:kern w:val="0"/>
          <w:sz w:val="30"/>
          <w:szCs w:val="30"/>
        </w:rPr>
        <w:t>《</w:t>
      </w:r>
      <w:r>
        <w:rPr>
          <w:rFonts w:hint="eastAsia" w:ascii="黑体" w:hAnsi="黑体" w:eastAsia="黑体"/>
          <w:spacing w:val="20"/>
          <w:sz w:val="30"/>
          <w:szCs w:val="30"/>
        </w:rPr>
        <w:t>云南省德宏州地质灾害防治“十四五”规划（2021—2025年）</w:t>
      </w:r>
      <w:r>
        <w:rPr>
          <w:rFonts w:hint="eastAsia" w:ascii="黑体" w:hAnsi="黑体" w:eastAsia="黑体"/>
          <w:kern w:val="0"/>
          <w:sz w:val="30"/>
          <w:szCs w:val="30"/>
        </w:rPr>
        <w:t>》</w:t>
      </w:r>
      <w:bookmarkEnd w:id="0"/>
    </w:p>
    <w:p>
      <w:pPr>
        <w:adjustRightInd w:val="0"/>
        <w:snapToGrid w:val="0"/>
        <w:ind w:firstLine="0" w:firstLineChars="0"/>
        <w:jc w:val="center"/>
        <w:outlineLvl w:val="0"/>
        <w:rPr>
          <w:rFonts w:ascii="黑体" w:hAnsi="黑体" w:eastAsia="黑体"/>
          <w:spacing w:val="20"/>
          <w:sz w:val="36"/>
          <w:szCs w:val="36"/>
          <w:u w:val="double"/>
        </w:rPr>
      </w:pPr>
      <w:bookmarkStart w:id="1" w:name="_Toc88832928"/>
      <w:r>
        <w:rPr>
          <w:rFonts w:hint="eastAsia" w:ascii="黑体" w:hAnsi="黑体" w:eastAsia="黑体"/>
          <w:spacing w:val="20"/>
          <w:sz w:val="36"/>
          <w:szCs w:val="36"/>
          <w:u w:val="double"/>
        </w:rPr>
        <w:t>编  委  会</w:t>
      </w:r>
      <w:bookmarkEnd w:id="1"/>
    </w:p>
    <w:p>
      <w:pPr>
        <w:adjustRightInd w:val="0"/>
        <w:snapToGrid w:val="0"/>
        <w:ind w:firstLine="0" w:firstLineChars="0"/>
        <w:jc w:val="center"/>
        <w:rPr>
          <w:rFonts w:ascii="黑体" w:hAnsi="黑体" w:eastAsia="黑体"/>
          <w:spacing w:val="20"/>
          <w:sz w:val="32"/>
          <w:szCs w:val="32"/>
          <w:u w:val="double"/>
        </w:rPr>
      </w:pPr>
    </w:p>
    <w:p>
      <w:pPr>
        <w:ind w:firstLine="640"/>
        <w:rPr>
          <w:kern w:val="0"/>
          <w:sz w:val="32"/>
        </w:rPr>
      </w:pPr>
      <w:r>
        <w:rPr>
          <w:rFonts w:hint="eastAsia"/>
          <w:kern w:val="0"/>
          <w:sz w:val="32"/>
        </w:rPr>
        <w:t>主  编：彭晓波    董自明</w:t>
      </w:r>
    </w:p>
    <w:p>
      <w:pPr>
        <w:ind w:firstLine="640"/>
        <w:rPr>
          <w:kern w:val="0"/>
          <w:sz w:val="32"/>
        </w:rPr>
      </w:pPr>
    </w:p>
    <w:p>
      <w:pPr>
        <w:ind w:firstLine="640"/>
        <w:rPr>
          <w:kern w:val="0"/>
          <w:sz w:val="32"/>
        </w:rPr>
      </w:pPr>
      <w:r>
        <w:rPr>
          <w:rFonts w:hint="eastAsia"/>
          <w:kern w:val="0"/>
          <w:sz w:val="32"/>
        </w:rPr>
        <w:t>副主编：杨  媚    阙永芳    胡  斌</w:t>
      </w:r>
    </w:p>
    <w:p>
      <w:pPr>
        <w:ind w:firstLine="640"/>
        <w:rPr>
          <w:kern w:val="0"/>
          <w:sz w:val="32"/>
        </w:rPr>
      </w:pPr>
    </w:p>
    <w:p>
      <w:pPr>
        <w:ind w:firstLine="640"/>
        <w:rPr>
          <w:kern w:val="0"/>
          <w:sz w:val="32"/>
        </w:rPr>
      </w:pPr>
      <w:r>
        <w:rPr>
          <w:rFonts w:hint="eastAsia"/>
          <w:kern w:val="0"/>
          <w:sz w:val="32"/>
        </w:rPr>
        <w:t>委  员：李  林    梁  蓉    杨  斌</w:t>
      </w:r>
    </w:p>
    <w:p>
      <w:pPr>
        <w:ind w:left="1960" w:leftChars="700" w:firstLine="0" w:firstLineChars="0"/>
        <w:rPr>
          <w:kern w:val="0"/>
          <w:sz w:val="32"/>
        </w:rPr>
      </w:pPr>
      <w:r>
        <w:rPr>
          <w:rFonts w:hint="eastAsia"/>
          <w:kern w:val="0"/>
          <w:sz w:val="32"/>
        </w:rPr>
        <w:t>李侠强    尹  博    侯赤金</w:t>
      </w:r>
    </w:p>
    <w:p>
      <w:pPr>
        <w:ind w:left="1960" w:leftChars="700" w:firstLine="0" w:firstLineChars="0"/>
        <w:rPr>
          <w:kern w:val="0"/>
          <w:sz w:val="32"/>
        </w:rPr>
      </w:pPr>
      <w:r>
        <w:rPr>
          <w:rFonts w:hint="eastAsia"/>
          <w:kern w:val="0"/>
          <w:sz w:val="32"/>
        </w:rPr>
        <w:t>李朝飞    矣  来    李同选</w:t>
      </w:r>
    </w:p>
    <w:p>
      <w:pPr>
        <w:ind w:left="1960" w:leftChars="700" w:firstLine="0" w:firstLineChars="0"/>
        <w:rPr>
          <w:kern w:val="0"/>
          <w:sz w:val="32"/>
        </w:rPr>
      </w:pPr>
      <w:r>
        <w:rPr>
          <w:rFonts w:hint="eastAsia"/>
          <w:kern w:val="0"/>
          <w:sz w:val="32"/>
        </w:rPr>
        <w:t>娄现伟    尹海涛    张   钊</w:t>
      </w:r>
    </w:p>
    <w:p>
      <w:pPr>
        <w:ind w:left="1960" w:leftChars="700" w:firstLine="0" w:firstLineChars="0"/>
        <w:rPr>
          <w:kern w:val="0"/>
          <w:sz w:val="32"/>
        </w:rPr>
      </w:pPr>
    </w:p>
    <w:p>
      <w:pPr>
        <w:ind w:left="1960" w:leftChars="700" w:firstLine="0" w:firstLineChars="0"/>
        <w:rPr>
          <w:kern w:val="0"/>
          <w:sz w:val="32"/>
        </w:rPr>
      </w:pPr>
    </w:p>
    <w:p>
      <w:pPr>
        <w:ind w:left="1960" w:leftChars="700" w:firstLine="0" w:firstLineChars="0"/>
        <w:rPr>
          <w:kern w:val="0"/>
          <w:sz w:val="32"/>
        </w:rPr>
      </w:pPr>
    </w:p>
    <w:p>
      <w:pPr>
        <w:ind w:left="1960" w:leftChars="700" w:firstLine="0" w:firstLineChars="0"/>
        <w:rPr>
          <w:kern w:val="0"/>
          <w:sz w:val="32"/>
        </w:rPr>
      </w:pPr>
    </w:p>
    <w:p>
      <w:pPr>
        <w:ind w:left="1960" w:leftChars="700" w:firstLine="0" w:firstLineChars="0"/>
        <w:rPr>
          <w:kern w:val="0"/>
          <w:sz w:val="32"/>
        </w:rPr>
      </w:pPr>
    </w:p>
    <w:p>
      <w:pPr>
        <w:ind w:firstLine="320" w:firstLineChars="100"/>
        <w:rPr>
          <w:kern w:val="0"/>
          <w:sz w:val="32"/>
        </w:rPr>
      </w:pPr>
      <w:r>
        <w:rPr>
          <w:rFonts w:hint="eastAsia"/>
          <w:kern w:val="0"/>
          <w:sz w:val="32"/>
        </w:rPr>
        <w:t>完成单位：德宏州自然资源和规划局</w:t>
      </w:r>
    </w:p>
    <w:p>
      <w:pPr>
        <w:ind w:firstLine="320" w:firstLineChars="100"/>
        <w:rPr>
          <w:kern w:val="0"/>
          <w:sz w:val="32"/>
        </w:rPr>
      </w:pPr>
    </w:p>
    <w:p>
      <w:pPr>
        <w:ind w:firstLine="1920" w:firstLineChars="600"/>
        <w:rPr>
          <w:kern w:val="0"/>
          <w:sz w:val="32"/>
        </w:rPr>
      </w:pPr>
      <w:r>
        <w:rPr>
          <w:rFonts w:hint="eastAsia"/>
          <w:kern w:val="0"/>
          <w:sz w:val="32"/>
        </w:rPr>
        <w:t>云南地质工程第二勘察院</w:t>
      </w:r>
    </w:p>
    <w:p>
      <w:pPr>
        <w:ind w:firstLine="560"/>
        <w:sectPr>
          <w:headerReference r:id="rId7" w:type="first"/>
          <w:footerReference r:id="rId10" w:type="first"/>
          <w:headerReference r:id="rId5" w:type="default"/>
          <w:footerReference r:id="rId8" w:type="default"/>
          <w:headerReference r:id="rId6" w:type="even"/>
          <w:footerReference r:id="rId9" w:type="even"/>
          <w:pgSz w:w="11906" w:h="16838"/>
          <w:pgMar w:top="1134" w:right="1134" w:bottom="1134" w:left="1418" w:header="851" w:footer="992" w:gutter="0"/>
          <w:cols w:space="425" w:num="1"/>
          <w:docGrid w:type="lines" w:linePitch="312" w:charSpace="0"/>
        </w:sectPr>
      </w:pPr>
    </w:p>
    <w:p>
      <w:pPr>
        <w:pStyle w:val="26"/>
        <w:rPr>
          <w:spacing w:val="100"/>
        </w:rPr>
      </w:pPr>
      <w:r>
        <w:rPr>
          <w:rFonts w:hint="eastAsia"/>
          <w:spacing w:val="100"/>
        </w:rPr>
        <w:t>目 录</w:t>
      </w:r>
    </w:p>
    <w:p>
      <w:pPr>
        <w:pStyle w:val="26"/>
        <w:ind w:firstLine="422"/>
        <w:rPr>
          <w:rFonts w:asciiTheme="minorHAnsi" w:hAnsiTheme="minorHAnsi" w:eastAsiaTheme="minorEastAsia" w:cstheme="minorBidi"/>
          <w:b w:val="0"/>
          <w:kern w:val="2"/>
          <w:sz w:val="21"/>
          <w:szCs w:val="22"/>
          <w:lang w:bidi="ar-SA"/>
        </w:rPr>
      </w:pPr>
      <w:r>
        <w:rPr>
          <w:rFonts w:asciiTheme="minorEastAsia" w:hAnsiTheme="minorEastAsia" w:eastAsiaTheme="minorEastAsia"/>
          <w:b w:val="0"/>
          <w:sz w:val="21"/>
          <w:szCs w:val="21"/>
        </w:rPr>
        <w:fldChar w:fldCharType="begin"/>
      </w:r>
      <w:r>
        <w:rPr>
          <w:rFonts w:asciiTheme="minorEastAsia" w:hAnsiTheme="minorEastAsia" w:eastAsiaTheme="minorEastAsia"/>
          <w:b w:val="0"/>
          <w:sz w:val="21"/>
          <w:szCs w:val="21"/>
        </w:rPr>
        <w:instrText xml:space="preserve"> TOC \o "1-3" \h \z \u </w:instrText>
      </w:r>
      <w:r>
        <w:rPr>
          <w:rFonts w:asciiTheme="minorEastAsia" w:hAnsiTheme="minorEastAsia" w:eastAsiaTheme="minorEastAsia"/>
          <w:b w:val="0"/>
          <w:sz w:val="21"/>
          <w:szCs w:val="21"/>
        </w:rPr>
        <w:fldChar w:fldCharType="separate"/>
      </w:r>
    </w:p>
    <w:p>
      <w:pPr>
        <w:pStyle w:val="26"/>
        <w:rPr>
          <w:rFonts w:asciiTheme="minorHAnsi" w:hAnsiTheme="minorHAnsi" w:eastAsiaTheme="minorEastAsia" w:cstheme="minorBidi"/>
          <w:b w:val="0"/>
          <w:kern w:val="2"/>
          <w:sz w:val="21"/>
          <w:szCs w:val="22"/>
          <w:lang w:bidi="ar-SA"/>
        </w:rPr>
      </w:pPr>
    </w:p>
    <w:p>
      <w:pPr>
        <w:pStyle w:val="26"/>
        <w:rPr>
          <w:rFonts w:asciiTheme="minorHAnsi" w:hAnsiTheme="minorHAnsi" w:eastAsiaTheme="minorEastAsia" w:cstheme="minorBidi"/>
          <w:b w:val="0"/>
          <w:kern w:val="2"/>
          <w:sz w:val="21"/>
          <w:szCs w:val="22"/>
          <w:lang w:bidi="ar-SA"/>
        </w:rPr>
      </w:pPr>
      <w:r>
        <w:fldChar w:fldCharType="begin"/>
      </w:r>
      <w:r>
        <w:instrText xml:space="preserve"> HYPERLINK \l "_Toc88832929" </w:instrText>
      </w:r>
      <w:r>
        <w:fldChar w:fldCharType="separate"/>
      </w:r>
      <w:r>
        <w:rPr>
          <w:rStyle w:val="41"/>
          <w:rFonts w:hint="eastAsia"/>
          <w:color w:val="auto"/>
        </w:rPr>
        <w:t>一、前言</w:t>
      </w:r>
      <w:r>
        <w:tab/>
      </w:r>
      <w:r>
        <w:fldChar w:fldCharType="begin"/>
      </w:r>
      <w:r>
        <w:instrText xml:space="preserve"> PAGEREF _Toc88832929 \h </w:instrText>
      </w:r>
      <w:r>
        <w:fldChar w:fldCharType="separate"/>
      </w:r>
      <w:r>
        <w:t>1</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"_Toc88832930" </w:instrText>
      </w:r>
      <w:r>
        <w:fldChar w:fldCharType="separate"/>
      </w:r>
      <w:r>
        <w:rPr>
          <w:rStyle w:val="41"/>
          <w:color w:val="auto"/>
        </w:rPr>
        <w:t>1</w:t>
      </w:r>
      <w:r>
        <w:rPr>
          <w:rStyle w:val="41"/>
          <w:rFonts w:hint="eastAsia"/>
          <w:color w:val="auto"/>
        </w:rPr>
        <w:t>、社会经济概况</w:t>
      </w:r>
      <w:r>
        <w:tab/>
      </w:r>
      <w:r>
        <w:fldChar w:fldCharType="begin"/>
      </w:r>
      <w:r>
        <w:instrText xml:space="preserve"> PAGEREF _Toc88832930 \h </w:instrText>
      </w:r>
      <w:r>
        <w:fldChar w:fldCharType="separate"/>
      </w:r>
      <w:r>
        <w:t>1</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"_Toc88832931" </w:instrText>
      </w:r>
      <w:r>
        <w:fldChar w:fldCharType="separate"/>
      </w:r>
      <w:r>
        <w:rPr>
          <w:rStyle w:val="41"/>
          <w:color w:val="auto"/>
        </w:rPr>
        <w:t>2</w:t>
      </w:r>
      <w:r>
        <w:rPr>
          <w:rStyle w:val="41"/>
          <w:rFonts w:hint="eastAsia"/>
          <w:color w:val="auto"/>
        </w:rPr>
        <w:t>、规划目的</w:t>
      </w:r>
      <w:r>
        <w:tab/>
      </w:r>
      <w:r>
        <w:fldChar w:fldCharType="begin"/>
      </w:r>
      <w:r>
        <w:instrText xml:space="preserve"> PAGEREF _Toc88832931 \h </w:instrText>
      </w:r>
      <w:r>
        <w:fldChar w:fldCharType="separate"/>
      </w:r>
      <w:r>
        <w:t>1</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"_Toc88832932" </w:instrText>
      </w:r>
      <w:r>
        <w:fldChar w:fldCharType="separate"/>
      </w:r>
      <w:r>
        <w:rPr>
          <w:rStyle w:val="41"/>
          <w:color w:val="auto"/>
        </w:rPr>
        <w:t>3</w:t>
      </w:r>
      <w:r>
        <w:rPr>
          <w:rStyle w:val="41"/>
          <w:rFonts w:hint="eastAsia"/>
          <w:color w:val="auto"/>
        </w:rPr>
        <w:t>、规划依据</w:t>
      </w:r>
      <w:r>
        <w:tab/>
      </w:r>
      <w:r>
        <w:fldChar w:fldCharType="begin"/>
      </w:r>
      <w:r>
        <w:instrText xml:space="preserve"> PAGEREF _Toc88832932 \h </w:instrText>
      </w:r>
      <w:r>
        <w:fldChar w:fldCharType="separate"/>
      </w:r>
      <w:r>
        <w:t>2</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"_Toc88832933" </w:instrText>
      </w:r>
      <w:r>
        <w:fldChar w:fldCharType="separate"/>
      </w:r>
      <w:r>
        <w:rPr>
          <w:rStyle w:val="41"/>
          <w:color w:val="auto"/>
        </w:rPr>
        <w:t>4</w:t>
      </w:r>
      <w:r>
        <w:rPr>
          <w:rStyle w:val="41"/>
          <w:rFonts w:hint="eastAsia"/>
          <w:color w:val="auto"/>
        </w:rPr>
        <w:t>、规划区范围及对象</w:t>
      </w:r>
      <w:r>
        <w:tab/>
      </w:r>
      <w:r>
        <w:fldChar w:fldCharType="begin"/>
      </w:r>
      <w:r>
        <w:instrText xml:space="preserve"> PAGEREF _Toc88832933 \h </w:instrText>
      </w:r>
      <w:r>
        <w:fldChar w:fldCharType="separate"/>
      </w:r>
      <w:r>
        <w:t>2</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"_Toc88832934" </w:instrText>
      </w:r>
      <w:r>
        <w:fldChar w:fldCharType="separate"/>
      </w:r>
      <w:r>
        <w:rPr>
          <w:rStyle w:val="41"/>
          <w:color w:val="auto"/>
        </w:rPr>
        <w:t>5</w:t>
      </w:r>
      <w:r>
        <w:rPr>
          <w:rStyle w:val="41"/>
          <w:rFonts w:hint="eastAsia"/>
          <w:color w:val="auto"/>
        </w:rPr>
        <w:t>、规划期及基准年</w:t>
      </w:r>
      <w:r>
        <w:tab/>
      </w:r>
      <w:r>
        <w:fldChar w:fldCharType="begin"/>
      </w:r>
      <w:r>
        <w:instrText xml:space="preserve"> PAGEREF _Toc88832934 \h </w:instrText>
      </w:r>
      <w:r>
        <w:fldChar w:fldCharType="separate"/>
      </w:r>
      <w:r>
        <w:t>2</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"_Toc88832935" </w:instrText>
      </w:r>
      <w:r>
        <w:fldChar w:fldCharType="separate"/>
      </w:r>
      <w:r>
        <w:rPr>
          <w:rStyle w:val="41"/>
          <w:rFonts w:hint="eastAsia"/>
          <w:color w:val="auto"/>
        </w:rPr>
        <w:t>（一）地质灾害现状</w:t>
      </w:r>
      <w:r>
        <w:tab/>
      </w:r>
      <w:r>
        <w:fldChar w:fldCharType="begin"/>
      </w:r>
      <w:r>
        <w:instrText xml:space="preserve"> PAGEREF _Toc88832935 \h </w:instrText>
      </w:r>
      <w:r>
        <w:fldChar w:fldCharType="separate"/>
      </w:r>
      <w:r>
        <w:t>2</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"_Toc88832936" </w:instrText>
      </w:r>
      <w:r>
        <w:fldChar w:fldCharType="separate"/>
      </w:r>
      <w:r>
        <w:rPr>
          <w:rStyle w:val="41"/>
          <w:color w:val="auto"/>
        </w:rPr>
        <w:t>1</w:t>
      </w:r>
      <w:r>
        <w:rPr>
          <w:rStyle w:val="41"/>
          <w:rFonts w:hint="eastAsia"/>
          <w:color w:val="auto"/>
        </w:rPr>
        <w:t>、地质环境基本特点</w:t>
      </w:r>
      <w:r>
        <w:tab/>
      </w:r>
      <w:r>
        <w:fldChar w:fldCharType="begin"/>
      </w:r>
      <w:r>
        <w:instrText xml:space="preserve"> PAGEREF _Toc88832936 \h </w:instrText>
      </w:r>
      <w:r>
        <w:fldChar w:fldCharType="separate"/>
      </w:r>
      <w:r>
        <w:t>2</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"_Toc88832937" </w:instrText>
      </w:r>
      <w:r>
        <w:fldChar w:fldCharType="separate"/>
      </w:r>
      <w:r>
        <w:rPr>
          <w:rStyle w:val="41"/>
          <w:color w:val="auto"/>
        </w:rPr>
        <w:t>2</w:t>
      </w:r>
      <w:r>
        <w:rPr>
          <w:rStyle w:val="41"/>
          <w:rFonts w:hint="eastAsia"/>
          <w:color w:val="auto"/>
        </w:rPr>
        <w:t>、地质灾害主要类型</w:t>
      </w:r>
      <w:r>
        <w:tab/>
      </w:r>
      <w:r>
        <w:fldChar w:fldCharType="begin"/>
      </w:r>
      <w:r>
        <w:instrText xml:space="preserve"> PAGEREF _Toc88832937 \h </w:instrText>
      </w:r>
      <w:r>
        <w:fldChar w:fldCharType="separate"/>
      </w:r>
      <w:r>
        <w:t>3</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"_Toc88832938" </w:instrText>
      </w:r>
      <w:r>
        <w:fldChar w:fldCharType="separate"/>
      </w:r>
      <w:r>
        <w:rPr>
          <w:rStyle w:val="41"/>
          <w:color w:val="auto"/>
        </w:rPr>
        <w:t>3</w:t>
      </w:r>
      <w:r>
        <w:rPr>
          <w:rStyle w:val="41"/>
          <w:rFonts w:hint="eastAsia"/>
          <w:color w:val="auto"/>
        </w:rPr>
        <w:t>、地质灾害威胁情况</w:t>
      </w:r>
      <w:r>
        <w:tab/>
      </w:r>
      <w:r>
        <w:fldChar w:fldCharType="begin"/>
      </w:r>
      <w:r>
        <w:instrText xml:space="preserve"> PAGEREF _Toc88832938 \h </w:instrText>
      </w:r>
      <w:r>
        <w:fldChar w:fldCharType="separate"/>
      </w:r>
      <w:r>
        <w:t>3</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"_Toc88832939" </w:instrText>
      </w:r>
      <w:r>
        <w:fldChar w:fldCharType="separate"/>
      </w:r>
      <w:r>
        <w:rPr>
          <w:rStyle w:val="41"/>
          <w:color w:val="auto"/>
        </w:rPr>
        <w:t>4</w:t>
      </w:r>
      <w:r>
        <w:rPr>
          <w:rStyle w:val="41"/>
          <w:rFonts w:hint="eastAsia"/>
          <w:color w:val="auto"/>
        </w:rPr>
        <w:t>、地质灾害发展趋势</w:t>
      </w:r>
      <w:r>
        <w:tab/>
      </w:r>
      <w:r>
        <w:fldChar w:fldCharType="begin"/>
      </w:r>
      <w:r>
        <w:instrText xml:space="preserve"> PAGEREF _Toc88832939 \h </w:instrText>
      </w:r>
      <w:r>
        <w:fldChar w:fldCharType="separate"/>
      </w:r>
      <w:r>
        <w:t>4</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"_Toc88832940" </w:instrText>
      </w:r>
      <w:r>
        <w:fldChar w:fldCharType="separate"/>
      </w:r>
      <w:r>
        <w:rPr>
          <w:rStyle w:val="41"/>
          <w:rFonts w:hint="eastAsia"/>
          <w:color w:val="auto"/>
        </w:rPr>
        <w:t>（二）</w:t>
      </w:r>
      <w:r>
        <w:rPr>
          <w:rStyle w:val="41"/>
          <w:color w:val="auto"/>
        </w:rPr>
        <w:t xml:space="preserve"> “</w:t>
      </w:r>
      <w:r>
        <w:rPr>
          <w:rStyle w:val="41"/>
          <w:rFonts w:hint="eastAsia"/>
          <w:color w:val="auto"/>
        </w:rPr>
        <w:t>十三五</w:t>
      </w:r>
      <w:r>
        <w:rPr>
          <w:rStyle w:val="41"/>
          <w:color w:val="auto"/>
        </w:rPr>
        <w:t>”</w:t>
      </w:r>
      <w:r>
        <w:rPr>
          <w:rStyle w:val="41"/>
          <w:rFonts w:hint="eastAsia"/>
          <w:color w:val="auto"/>
        </w:rPr>
        <w:t>地质灾害防治规划执行情况</w:t>
      </w:r>
      <w:r>
        <w:tab/>
      </w:r>
      <w:r>
        <w:fldChar w:fldCharType="begin"/>
      </w:r>
      <w:r>
        <w:instrText xml:space="preserve"> PAGEREF _Toc88832940 \h </w:instrText>
      </w:r>
      <w:r>
        <w:fldChar w:fldCharType="separate"/>
      </w:r>
      <w:r>
        <w:t>5</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"_Toc88832941" </w:instrText>
      </w:r>
      <w:r>
        <w:fldChar w:fldCharType="separate"/>
      </w:r>
      <w:r>
        <w:rPr>
          <w:rStyle w:val="41"/>
          <w:color w:val="auto"/>
        </w:rPr>
        <w:t>1</w:t>
      </w:r>
      <w:r>
        <w:rPr>
          <w:rStyle w:val="41"/>
          <w:rFonts w:hint="eastAsia"/>
          <w:color w:val="auto"/>
        </w:rPr>
        <w:t>、“十三五</w:t>
      </w:r>
      <w:r>
        <w:rPr>
          <w:rStyle w:val="41"/>
          <w:color w:val="auto"/>
        </w:rPr>
        <w:t>”</w:t>
      </w:r>
      <w:r>
        <w:rPr>
          <w:rStyle w:val="41"/>
          <w:rFonts w:hint="eastAsia"/>
          <w:color w:val="auto"/>
        </w:rPr>
        <w:t>目标完成情况</w:t>
      </w:r>
      <w:r>
        <w:tab/>
      </w:r>
      <w:r>
        <w:fldChar w:fldCharType="begin"/>
      </w:r>
      <w:r>
        <w:instrText xml:space="preserve"> PAGEREF _Toc88832941 \h </w:instrText>
      </w:r>
      <w:r>
        <w:fldChar w:fldCharType="separate"/>
      </w:r>
      <w:r>
        <w:t>5</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"_Toc88832942" </w:instrText>
      </w:r>
      <w:r>
        <w:fldChar w:fldCharType="separate"/>
      </w:r>
      <w:r>
        <w:rPr>
          <w:rStyle w:val="41"/>
          <w:color w:val="auto"/>
        </w:rPr>
        <w:t>2</w:t>
      </w:r>
      <w:r>
        <w:rPr>
          <w:rStyle w:val="41"/>
          <w:rFonts w:hint="eastAsia"/>
          <w:color w:val="auto"/>
        </w:rPr>
        <w:t>、</w:t>
      </w:r>
      <w:r>
        <w:rPr>
          <w:rStyle w:val="41"/>
          <w:color w:val="auto"/>
        </w:rPr>
        <w:t>“</w:t>
      </w:r>
      <w:r>
        <w:rPr>
          <w:rStyle w:val="41"/>
          <w:rFonts w:hint="eastAsia"/>
          <w:color w:val="auto"/>
        </w:rPr>
        <w:t>十三五</w:t>
      </w:r>
      <w:r>
        <w:rPr>
          <w:rStyle w:val="41"/>
          <w:color w:val="auto"/>
        </w:rPr>
        <w:t>”</w:t>
      </w:r>
      <w:r>
        <w:rPr>
          <w:rStyle w:val="41"/>
          <w:rFonts w:hint="eastAsia"/>
          <w:color w:val="auto"/>
        </w:rPr>
        <w:t>防灾效果评述</w:t>
      </w:r>
      <w:r>
        <w:tab/>
      </w:r>
      <w:r>
        <w:fldChar w:fldCharType="begin"/>
      </w:r>
      <w:r>
        <w:instrText xml:space="preserve"> PAGEREF _Toc88832942 \h </w:instrText>
      </w:r>
      <w:r>
        <w:fldChar w:fldCharType="separate"/>
      </w:r>
      <w:r>
        <w:t>8</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"_Toc88832943" </w:instrText>
      </w:r>
      <w:r>
        <w:fldChar w:fldCharType="separate"/>
      </w:r>
      <w:r>
        <w:rPr>
          <w:rStyle w:val="41"/>
          <w:color w:val="auto"/>
        </w:rPr>
        <w:t>3</w:t>
      </w:r>
      <w:r>
        <w:rPr>
          <w:rStyle w:val="41"/>
          <w:rFonts w:hint="eastAsia"/>
          <w:color w:val="auto"/>
        </w:rPr>
        <w:t>、主要问题</w:t>
      </w:r>
      <w:r>
        <w:tab/>
      </w:r>
      <w:r>
        <w:fldChar w:fldCharType="begin"/>
      </w:r>
      <w:r>
        <w:instrText xml:space="preserve"> PAGEREF _Toc88832943 \h </w:instrText>
      </w:r>
      <w:r>
        <w:fldChar w:fldCharType="separate"/>
      </w:r>
      <w:r>
        <w:t>8</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"_Toc88832944" </w:instrText>
      </w:r>
      <w:r>
        <w:fldChar w:fldCharType="separate"/>
      </w:r>
      <w:r>
        <w:rPr>
          <w:rStyle w:val="41"/>
          <w:color w:val="auto"/>
        </w:rPr>
        <w:t>4</w:t>
      </w:r>
      <w:r>
        <w:rPr>
          <w:rStyle w:val="41"/>
          <w:rFonts w:hint="eastAsia"/>
          <w:color w:val="auto"/>
        </w:rPr>
        <w:t>、突破方向</w:t>
      </w:r>
      <w:r>
        <w:tab/>
      </w:r>
      <w:r>
        <w:fldChar w:fldCharType="begin"/>
      </w:r>
      <w:r>
        <w:instrText xml:space="preserve"> PAGEREF _Toc88832944 \h </w:instrText>
      </w:r>
      <w:r>
        <w:fldChar w:fldCharType="separate"/>
      </w:r>
      <w:r>
        <w:t>10</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"_Toc88832945" </w:instrText>
      </w:r>
      <w:r>
        <w:fldChar w:fldCharType="separate"/>
      </w:r>
      <w:r>
        <w:rPr>
          <w:rStyle w:val="41"/>
          <w:rFonts w:hint="eastAsia"/>
          <w:color w:val="auto"/>
        </w:rPr>
        <w:t>（三）“十四五”地质灾害防治面临的形势</w:t>
      </w:r>
      <w:r>
        <w:tab/>
      </w:r>
      <w:r>
        <w:fldChar w:fldCharType="begin"/>
      </w:r>
      <w:r>
        <w:instrText xml:space="preserve"> PAGEREF _Toc88832945 \h </w:instrText>
      </w:r>
      <w:r>
        <w:fldChar w:fldCharType="separate"/>
      </w:r>
      <w:r>
        <w:t>11</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"_Toc88832946" </w:instrText>
      </w:r>
      <w:r>
        <w:fldChar w:fldCharType="separate"/>
      </w:r>
      <w:r>
        <w:rPr>
          <w:rStyle w:val="41"/>
          <w:color w:val="auto"/>
        </w:rPr>
        <w:t>1</w:t>
      </w:r>
      <w:r>
        <w:rPr>
          <w:rStyle w:val="41"/>
          <w:rFonts w:hint="eastAsia"/>
          <w:color w:val="auto"/>
        </w:rPr>
        <w:t>、有利形势</w:t>
      </w:r>
      <w:r>
        <w:tab/>
      </w:r>
      <w:r>
        <w:fldChar w:fldCharType="begin"/>
      </w:r>
      <w:r>
        <w:instrText xml:space="preserve"> PAGEREF _Toc88832946 \h </w:instrText>
      </w:r>
      <w:r>
        <w:fldChar w:fldCharType="separate"/>
      </w:r>
      <w:r>
        <w:t>11</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"_Toc88832947" </w:instrText>
      </w:r>
      <w:r>
        <w:fldChar w:fldCharType="separate"/>
      </w:r>
      <w:r>
        <w:rPr>
          <w:rStyle w:val="41"/>
          <w:color w:val="auto"/>
        </w:rPr>
        <w:t>2</w:t>
      </w:r>
      <w:r>
        <w:rPr>
          <w:rStyle w:val="41"/>
          <w:rFonts w:hint="eastAsia"/>
          <w:color w:val="auto"/>
        </w:rPr>
        <w:t>、不利形势</w:t>
      </w:r>
      <w:r>
        <w:tab/>
      </w:r>
      <w:r>
        <w:fldChar w:fldCharType="begin"/>
      </w:r>
      <w:r>
        <w:instrText xml:space="preserve"> PAGEREF _Toc88832947 \h </w:instrText>
      </w:r>
      <w:r>
        <w:fldChar w:fldCharType="separate"/>
      </w:r>
      <w:r>
        <w:t>12</w:t>
      </w:r>
      <w:r>
        <w:fldChar w:fldCharType="end"/>
      </w:r>
      <w:r>
        <w:fldChar w:fldCharType="end"/>
      </w:r>
    </w:p>
    <w:p>
      <w:pPr>
        <w:pStyle w:val="26"/>
        <w:rPr>
          <w:rFonts w:asciiTheme="minorHAnsi" w:hAnsiTheme="minorHAnsi" w:eastAsiaTheme="minorEastAsia" w:cstheme="minorBidi"/>
          <w:b w:val="0"/>
          <w:kern w:val="2"/>
          <w:sz w:val="21"/>
          <w:szCs w:val="22"/>
          <w:lang w:bidi="ar-SA"/>
        </w:rPr>
      </w:pPr>
      <w:r>
        <w:fldChar w:fldCharType="begin"/>
      </w:r>
      <w:r>
        <w:instrText xml:space="preserve"> HYPERLINK \l "_Toc88832948" </w:instrText>
      </w:r>
      <w:r>
        <w:fldChar w:fldCharType="separate"/>
      </w:r>
      <w:r>
        <w:rPr>
          <w:rStyle w:val="41"/>
          <w:rFonts w:hint="eastAsia"/>
          <w:color w:val="auto"/>
        </w:rPr>
        <w:t>二、指导思想和规划目标</w:t>
      </w:r>
      <w:r>
        <w:tab/>
      </w:r>
      <w:r>
        <w:fldChar w:fldCharType="begin"/>
      </w:r>
      <w:r>
        <w:instrText xml:space="preserve"> PAGEREF _Toc88832948 \h </w:instrText>
      </w:r>
      <w:r>
        <w:fldChar w:fldCharType="separate"/>
      </w:r>
      <w:r>
        <w:t>13</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"_Toc88832949" </w:instrText>
      </w:r>
      <w:r>
        <w:fldChar w:fldCharType="separate"/>
      </w:r>
      <w:r>
        <w:rPr>
          <w:rStyle w:val="41"/>
          <w:rFonts w:hint="eastAsia"/>
          <w:color w:val="auto"/>
        </w:rPr>
        <w:t>（一）指导思想</w:t>
      </w:r>
      <w:r>
        <w:tab/>
      </w:r>
      <w:r>
        <w:fldChar w:fldCharType="begin"/>
      </w:r>
      <w:r>
        <w:instrText xml:space="preserve"> PAGEREF _Toc88832949 \h </w:instrText>
      </w:r>
      <w:r>
        <w:fldChar w:fldCharType="separate"/>
      </w:r>
      <w:r>
        <w:t>13</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"_Toc88832950" </w:instrText>
      </w:r>
      <w:r>
        <w:fldChar w:fldCharType="separate"/>
      </w:r>
      <w:r>
        <w:rPr>
          <w:rStyle w:val="41"/>
          <w:rFonts w:hint="eastAsia"/>
          <w:color w:val="auto"/>
        </w:rPr>
        <w:t>（二）规划原则</w:t>
      </w:r>
      <w:r>
        <w:tab/>
      </w:r>
      <w:r>
        <w:fldChar w:fldCharType="begin"/>
      </w:r>
      <w:r>
        <w:instrText xml:space="preserve"> PAGEREF _Toc88832950 \h </w:instrText>
      </w:r>
      <w:r>
        <w:fldChar w:fldCharType="separate"/>
      </w:r>
      <w:r>
        <w:t>13</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"_Toc88832951" </w:instrText>
      </w:r>
      <w:r>
        <w:fldChar w:fldCharType="separate"/>
      </w:r>
      <w:r>
        <w:rPr>
          <w:rStyle w:val="41"/>
          <w:color w:val="auto"/>
        </w:rPr>
        <w:t>1</w:t>
      </w:r>
      <w:r>
        <w:rPr>
          <w:rStyle w:val="41"/>
          <w:rFonts w:hint="eastAsia"/>
          <w:color w:val="auto"/>
        </w:rPr>
        <w:t>、坚持依法防治和分级分类负责</w:t>
      </w:r>
      <w:r>
        <w:tab/>
      </w:r>
      <w:r>
        <w:fldChar w:fldCharType="begin"/>
      </w:r>
      <w:r>
        <w:instrText xml:space="preserve"> PAGEREF _Toc88832951 \h </w:instrText>
      </w:r>
      <w:r>
        <w:fldChar w:fldCharType="separate"/>
      </w:r>
      <w:r>
        <w:t>13</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"_Toc88832952" </w:instrText>
      </w:r>
      <w:r>
        <w:fldChar w:fldCharType="separate"/>
      </w:r>
      <w:r>
        <w:rPr>
          <w:rStyle w:val="41"/>
          <w:color w:val="auto"/>
        </w:rPr>
        <w:t>2</w:t>
      </w:r>
      <w:r>
        <w:rPr>
          <w:rStyle w:val="41"/>
          <w:rFonts w:hint="eastAsia"/>
          <w:color w:val="auto"/>
        </w:rPr>
        <w:t>、坚持重心前移和统筹科学规划</w:t>
      </w:r>
      <w:r>
        <w:tab/>
      </w:r>
      <w:r>
        <w:fldChar w:fldCharType="begin"/>
      </w:r>
      <w:r>
        <w:instrText xml:space="preserve"> PAGEREF _Toc88832952 \h </w:instrText>
      </w:r>
      <w:r>
        <w:fldChar w:fldCharType="separate"/>
      </w:r>
      <w:r>
        <w:t>13</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"_Toc88832953" </w:instrText>
      </w:r>
      <w:r>
        <w:fldChar w:fldCharType="separate"/>
      </w:r>
      <w:r>
        <w:rPr>
          <w:rStyle w:val="41"/>
          <w:color w:val="auto"/>
        </w:rPr>
        <w:t>3</w:t>
      </w:r>
      <w:r>
        <w:rPr>
          <w:rStyle w:val="41"/>
          <w:rFonts w:hint="eastAsia"/>
          <w:color w:val="auto"/>
        </w:rPr>
        <w:t>、坚持</w:t>
      </w:r>
      <w:r>
        <w:rPr>
          <w:rStyle w:val="41"/>
          <w:color w:val="auto"/>
        </w:rPr>
        <w:t>“</w:t>
      </w:r>
      <w:r>
        <w:rPr>
          <w:rStyle w:val="41"/>
          <w:rFonts w:hint="eastAsia"/>
          <w:color w:val="auto"/>
        </w:rPr>
        <w:t>以人为本，预防为主，避让与治理相结合</w:t>
      </w:r>
      <w:r>
        <w:rPr>
          <w:rStyle w:val="41"/>
          <w:color w:val="auto"/>
        </w:rPr>
        <w:t>”</w:t>
      </w:r>
      <w:r>
        <w:tab/>
      </w:r>
      <w:r>
        <w:fldChar w:fldCharType="begin"/>
      </w:r>
      <w:r>
        <w:instrText xml:space="preserve"> PAGEREF _Toc88832953 \h </w:instrText>
      </w:r>
      <w:r>
        <w:fldChar w:fldCharType="separate"/>
      </w:r>
      <w:r>
        <w:t>14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"_Toc88832954" </w:instrText>
      </w:r>
      <w:r>
        <w:fldChar w:fldCharType="separate"/>
      </w:r>
      <w:r>
        <w:rPr>
          <w:rStyle w:val="41"/>
          <w:color w:val="auto"/>
        </w:rPr>
        <w:t>4</w:t>
      </w:r>
      <w:r>
        <w:rPr>
          <w:rStyle w:val="41"/>
          <w:rFonts w:hint="eastAsia"/>
          <w:color w:val="auto"/>
        </w:rPr>
        <w:t>、充分依靠科技进步和管理创新</w:t>
      </w:r>
      <w:r>
        <w:tab/>
      </w:r>
      <w:r>
        <w:fldChar w:fldCharType="begin"/>
      </w:r>
      <w:r>
        <w:instrText xml:space="preserve"> PAGEREF _Toc88832954 \h </w:instrText>
      </w:r>
      <w:r>
        <w:fldChar w:fldCharType="separate"/>
      </w:r>
      <w:r>
        <w:t>14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"_Toc88832955" </w:instrText>
      </w:r>
      <w:r>
        <w:fldChar w:fldCharType="separate"/>
      </w:r>
      <w:r>
        <w:rPr>
          <w:rStyle w:val="41"/>
          <w:color w:val="auto"/>
        </w:rPr>
        <w:t>5</w:t>
      </w:r>
      <w:r>
        <w:rPr>
          <w:rStyle w:val="41"/>
          <w:rFonts w:hint="eastAsia"/>
          <w:color w:val="auto"/>
        </w:rPr>
        <w:t>、坚持与各类规划的相互衔接和协调</w:t>
      </w:r>
      <w:r>
        <w:tab/>
      </w:r>
      <w:r>
        <w:fldChar w:fldCharType="begin"/>
      </w:r>
      <w:r>
        <w:instrText xml:space="preserve"> PAGEREF _Toc88832955 \h </w:instrText>
      </w:r>
      <w:r>
        <w:fldChar w:fldCharType="separate"/>
      </w:r>
      <w:r>
        <w:t>14</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"_Toc88832956" </w:instrText>
      </w:r>
      <w:r>
        <w:fldChar w:fldCharType="separate"/>
      </w:r>
      <w:r>
        <w:rPr>
          <w:rStyle w:val="41"/>
          <w:rFonts w:hint="eastAsia"/>
          <w:color w:val="auto"/>
        </w:rPr>
        <w:t>（三）规划目标</w:t>
      </w:r>
      <w:r>
        <w:tab/>
      </w:r>
      <w:r>
        <w:fldChar w:fldCharType="begin"/>
      </w:r>
      <w:r>
        <w:instrText xml:space="preserve"> PAGEREF _Toc88832956 \h </w:instrText>
      </w:r>
      <w:r>
        <w:fldChar w:fldCharType="separate"/>
      </w:r>
      <w:r>
        <w:t>14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"_Toc88832957" </w:instrText>
      </w:r>
      <w:r>
        <w:fldChar w:fldCharType="separate"/>
      </w:r>
      <w:r>
        <w:rPr>
          <w:rStyle w:val="41"/>
          <w:color w:val="auto"/>
        </w:rPr>
        <w:t>1</w:t>
      </w:r>
      <w:r>
        <w:rPr>
          <w:rStyle w:val="41"/>
          <w:rFonts w:hint="eastAsia"/>
          <w:color w:val="auto"/>
        </w:rPr>
        <w:t>、总体目标</w:t>
      </w:r>
      <w:r>
        <w:tab/>
      </w:r>
      <w:r>
        <w:fldChar w:fldCharType="begin"/>
      </w:r>
      <w:r>
        <w:instrText xml:space="preserve"> PAGEREF _Toc88832957 \h </w:instrText>
      </w:r>
      <w:r>
        <w:fldChar w:fldCharType="separate"/>
      </w:r>
      <w:r>
        <w:t>14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"_Toc88832958" </w:instrText>
      </w:r>
      <w:r>
        <w:fldChar w:fldCharType="separate"/>
      </w:r>
      <w:r>
        <w:rPr>
          <w:rStyle w:val="41"/>
          <w:color w:val="auto"/>
        </w:rPr>
        <w:t>2</w:t>
      </w:r>
      <w:r>
        <w:rPr>
          <w:rStyle w:val="41"/>
          <w:rFonts w:hint="eastAsia"/>
          <w:color w:val="auto"/>
        </w:rPr>
        <w:t>、规划期目标</w:t>
      </w:r>
      <w:r>
        <w:tab/>
      </w:r>
      <w:r>
        <w:fldChar w:fldCharType="begin"/>
      </w:r>
      <w:r>
        <w:instrText xml:space="preserve"> PAGEREF _Toc88832958 \h </w:instrText>
      </w:r>
      <w:r>
        <w:fldChar w:fldCharType="separate"/>
      </w:r>
      <w:r>
        <w:t>15</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"_Toc88832959" </w:instrText>
      </w:r>
      <w:r>
        <w:fldChar w:fldCharType="separate"/>
      </w:r>
      <w:r>
        <w:rPr>
          <w:rStyle w:val="41"/>
          <w:color w:val="auto"/>
        </w:rPr>
        <w:t>3</w:t>
      </w:r>
      <w:r>
        <w:rPr>
          <w:rStyle w:val="41"/>
          <w:rFonts w:hint="eastAsia"/>
          <w:color w:val="auto"/>
        </w:rPr>
        <w:t>、远景展望</w:t>
      </w:r>
      <w:r>
        <w:tab/>
      </w:r>
      <w:r>
        <w:fldChar w:fldCharType="begin"/>
      </w:r>
      <w:r>
        <w:instrText xml:space="preserve"> PAGEREF _Toc88832959 \h </w:instrText>
      </w:r>
      <w:r>
        <w:fldChar w:fldCharType="separate"/>
      </w:r>
      <w:r>
        <w:t>17</w:t>
      </w:r>
      <w:r>
        <w:fldChar w:fldCharType="end"/>
      </w:r>
      <w:r>
        <w:fldChar w:fldCharType="end"/>
      </w:r>
    </w:p>
    <w:p>
      <w:pPr>
        <w:pStyle w:val="26"/>
        <w:rPr>
          <w:rFonts w:asciiTheme="minorHAnsi" w:hAnsiTheme="minorHAnsi" w:eastAsiaTheme="minorEastAsia" w:cstheme="minorBidi"/>
          <w:b w:val="0"/>
          <w:kern w:val="2"/>
          <w:sz w:val="21"/>
          <w:szCs w:val="22"/>
          <w:lang w:bidi="ar-SA"/>
        </w:rPr>
      </w:pPr>
      <w:r>
        <w:fldChar w:fldCharType="begin"/>
      </w:r>
      <w:r>
        <w:instrText xml:space="preserve"> HYPERLINK \l "_Toc88832960" </w:instrText>
      </w:r>
      <w:r>
        <w:fldChar w:fldCharType="separate"/>
      </w:r>
      <w:r>
        <w:rPr>
          <w:rStyle w:val="41"/>
          <w:rFonts w:hint="eastAsia"/>
          <w:color w:val="auto"/>
        </w:rPr>
        <w:t>三、地质灾害易发区与重点防治区</w:t>
      </w:r>
      <w:r>
        <w:tab/>
      </w:r>
      <w:r>
        <w:fldChar w:fldCharType="begin"/>
      </w:r>
      <w:r>
        <w:instrText xml:space="preserve"> PAGEREF _Toc88832960 \h </w:instrText>
      </w:r>
      <w:r>
        <w:fldChar w:fldCharType="separate"/>
      </w:r>
      <w:r>
        <w:t>18</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"_Toc88832961" </w:instrText>
      </w:r>
      <w:r>
        <w:fldChar w:fldCharType="separate"/>
      </w:r>
      <w:r>
        <w:rPr>
          <w:rStyle w:val="41"/>
          <w:rFonts w:hint="eastAsia"/>
          <w:color w:val="auto"/>
        </w:rPr>
        <w:t>（一）地质灾害易发性分区</w:t>
      </w:r>
      <w:r>
        <w:tab/>
      </w:r>
      <w:r>
        <w:fldChar w:fldCharType="begin"/>
      </w:r>
      <w:r>
        <w:instrText xml:space="preserve"> PAGEREF _Toc88832961 \h </w:instrText>
      </w:r>
      <w:r>
        <w:fldChar w:fldCharType="separate"/>
      </w:r>
      <w:r>
        <w:t>18</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"_Toc88832962" </w:instrText>
      </w:r>
      <w:r>
        <w:fldChar w:fldCharType="separate"/>
      </w:r>
      <w:r>
        <w:rPr>
          <w:rStyle w:val="41"/>
          <w:rFonts w:hint="eastAsia"/>
          <w:color w:val="auto"/>
        </w:rPr>
        <w:t>（二）地质灾害防治分区</w:t>
      </w:r>
      <w:r>
        <w:tab/>
      </w:r>
      <w:r>
        <w:fldChar w:fldCharType="begin"/>
      </w:r>
      <w:r>
        <w:instrText xml:space="preserve"> PAGEREF _Toc88832962 \h </w:instrText>
      </w:r>
      <w:r>
        <w:fldChar w:fldCharType="separate"/>
      </w:r>
      <w:r>
        <w:t>20</w:t>
      </w:r>
      <w:r>
        <w:fldChar w:fldCharType="end"/>
      </w:r>
      <w:r>
        <w:fldChar w:fldCharType="end"/>
      </w:r>
    </w:p>
    <w:p>
      <w:pPr>
        <w:pStyle w:val="26"/>
        <w:rPr>
          <w:rFonts w:asciiTheme="minorHAnsi" w:hAnsiTheme="minorHAnsi" w:eastAsiaTheme="minorEastAsia" w:cstheme="minorBidi"/>
          <w:b w:val="0"/>
          <w:kern w:val="2"/>
          <w:sz w:val="21"/>
          <w:szCs w:val="22"/>
          <w:lang w:bidi="ar-SA"/>
        </w:rPr>
      </w:pPr>
      <w:r>
        <w:fldChar w:fldCharType="begin"/>
      </w:r>
      <w:r>
        <w:instrText xml:space="preserve"> HYPERLINK \l "_Toc88832963" </w:instrText>
      </w:r>
      <w:r>
        <w:fldChar w:fldCharType="separate"/>
      </w:r>
      <w:r>
        <w:rPr>
          <w:rStyle w:val="41"/>
          <w:rFonts w:hint="eastAsia"/>
          <w:color w:val="auto"/>
        </w:rPr>
        <w:t>四、地质灾害防治规划</w:t>
      </w:r>
      <w:r>
        <w:tab/>
      </w:r>
      <w:r>
        <w:fldChar w:fldCharType="begin"/>
      </w:r>
      <w:r>
        <w:instrText xml:space="preserve"> PAGEREF _Toc88832963 \h </w:instrText>
      </w:r>
      <w:r>
        <w:fldChar w:fldCharType="separate"/>
      </w:r>
      <w:r>
        <w:t>25</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"_Toc88832964" </w:instrText>
      </w:r>
      <w:r>
        <w:fldChar w:fldCharType="separate"/>
      </w:r>
      <w:r>
        <w:rPr>
          <w:rStyle w:val="41"/>
          <w:rFonts w:hint="eastAsia"/>
          <w:color w:val="auto"/>
        </w:rPr>
        <w:t>（一）调查评价</w:t>
      </w:r>
      <w:r>
        <w:tab/>
      </w:r>
      <w:r>
        <w:fldChar w:fldCharType="begin"/>
      </w:r>
      <w:r>
        <w:instrText xml:space="preserve"> PAGEREF _Toc88832964 \h </w:instrText>
      </w:r>
      <w:r>
        <w:fldChar w:fldCharType="separate"/>
      </w:r>
      <w:r>
        <w:t>25</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"_Toc88832965" </w:instrText>
      </w:r>
      <w:r>
        <w:fldChar w:fldCharType="separate"/>
      </w:r>
      <w:r>
        <w:rPr>
          <w:rStyle w:val="41"/>
          <w:color w:val="auto"/>
        </w:rPr>
        <w:t>1</w:t>
      </w:r>
      <w:r>
        <w:rPr>
          <w:rStyle w:val="41"/>
          <w:rFonts w:hint="eastAsia"/>
          <w:color w:val="auto"/>
        </w:rPr>
        <w:t>、巡查排查</w:t>
      </w:r>
      <w:r>
        <w:tab/>
      </w:r>
      <w:r>
        <w:fldChar w:fldCharType="begin"/>
      </w:r>
      <w:r>
        <w:instrText xml:space="preserve"> PAGEREF _Toc88832965 \h </w:instrText>
      </w:r>
      <w:r>
        <w:fldChar w:fldCharType="separate"/>
      </w:r>
      <w:r>
        <w:t>25</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"_Toc88832966" </w:instrText>
      </w:r>
      <w:r>
        <w:fldChar w:fldCharType="separate"/>
      </w:r>
      <w:r>
        <w:rPr>
          <w:rStyle w:val="41"/>
          <w:color w:val="auto"/>
        </w:rPr>
        <w:t>2</w:t>
      </w:r>
      <w:r>
        <w:rPr>
          <w:rStyle w:val="41"/>
          <w:rFonts w:hint="eastAsia"/>
          <w:color w:val="auto"/>
        </w:rPr>
        <w:t>、精细化调查和风险评价</w:t>
      </w:r>
      <w:r>
        <w:tab/>
      </w:r>
      <w:r>
        <w:fldChar w:fldCharType="begin"/>
      </w:r>
      <w:r>
        <w:instrText xml:space="preserve"> PAGEREF _Toc88832966 \h </w:instrText>
      </w:r>
      <w:r>
        <w:fldChar w:fldCharType="separate"/>
      </w:r>
      <w:r>
        <w:t>26</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"_Toc88832967" </w:instrText>
      </w:r>
      <w:r>
        <w:fldChar w:fldCharType="separate"/>
      </w:r>
      <w:r>
        <w:rPr>
          <w:rStyle w:val="41"/>
          <w:rFonts w:hint="eastAsia"/>
          <w:color w:val="auto"/>
        </w:rPr>
        <w:t>（二）监测预警</w:t>
      </w:r>
      <w:r>
        <w:tab/>
      </w:r>
      <w:r>
        <w:fldChar w:fldCharType="begin"/>
      </w:r>
      <w:r>
        <w:instrText xml:space="preserve"> PAGEREF _Toc88832967 \h </w:instrText>
      </w:r>
      <w:r>
        <w:fldChar w:fldCharType="separate"/>
      </w:r>
      <w:r>
        <w:t>27</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"_Toc88832968" </w:instrText>
      </w:r>
      <w:r>
        <w:fldChar w:fldCharType="separate"/>
      </w:r>
      <w:r>
        <w:rPr>
          <w:rStyle w:val="41"/>
          <w:color w:val="auto"/>
        </w:rPr>
        <w:t>1</w:t>
      </w:r>
      <w:r>
        <w:rPr>
          <w:rStyle w:val="41"/>
          <w:rFonts w:hint="eastAsia"/>
          <w:color w:val="auto"/>
        </w:rPr>
        <w:t>、群测群防</w:t>
      </w:r>
      <w:r>
        <w:tab/>
      </w:r>
      <w:r>
        <w:fldChar w:fldCharType="begin"/>
      </w:r>
      <w:r>
        <w:instrText xml:space="preserve"> PAGEREF _Toc88832968 \h </w:instrText>
      </w:r>
      <w:r>
        <w:fldChar w:fldCharType="separate"/>
      </w:r>
      <w:r>
        <w:t>27</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"_Toc88832969" </w:instrText>
      </w:r>
      <w:r>
        <w:fldChar w:fldCharType="separate"/>
      </w:r>
      <w:r>
        <w:rPr>
          <w:rStyle w:val="41"/>
          <w:color w:val="auto"/>
        </w:rPr>
        <w:t>2</w:t>
      </w:r>
      <w:r>
        <w:rPr>
          <w:rStyle w:val="41"/>
          <w:rFonts w:hint="eastAsia"/>
          <w:color w:val="auto"/>
        </w:rPr>
        <w:t>、普适型监测</w:t>
      </w:r>
      <w:r>
        <w:tab/>
      </w:r>
      <w:r>
        <w:fldChar w:fldCharType="begin"/>
      </w:r>
      <w:r>
        <w:instrText xml:space="preserve"> PAGEREF _Toc88832969 \h </w:instrText>
      </w:r>
      <w:r>
        <w:fldChar w:fldCharType="separate"/>
      </w:r>
      <w:r>
        <w:t>27</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"_Toc88832970" </w:instrText>
      </w:r>
      <w:r>
        <w:fldChar w:fldCharType="separate"/>
      </w:r>
      <w:r>
        <w:rPr>
          <w:rStyle w:val="41"/>
          <w:color w:val="auto"/>
        </w:rPr>
        <w:t>3</w:t>
      </w:r>
      <w:r>
        <w:rPr>
          <w:rStyle w:val="41"/>
          <w:rFonts w:hint="eastAsia"/>
          <w:color w:val="auto"/>
        </w:rPr>
        <w:t>、气象风险预警</w:t>
      </w:r>
      <w:r>
        <w:tab/>
      </w:r>
      <w:r>
        <w:fldChar w:fldCharType="begin"/>
      </w:r>
      <w:r>
        <w:instrText xml:space="preserve"> PAGEREF _Toc88832970 \h </w:instrText>
      </w:r>
      <w:r>
        <w:fldChar w:fldCharType="separate"/>
      </w:r>
      <w:r>
        <w:t>28</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"_Toc88832971" </w:instrText>
      </w:r>
      <w:r>
        <w:fldChar w:fldCharType="separate"/>
      </w:r>
      <w:r>
        <w:rPr>
          <w:rStyle w:val="41"/>
          <w:color w:val="auto"/>
        </w:rPr>
        <w:t>4</w:t>
      </w:r>
      <w:r>
        <w:rPr>
          <w:rStyle w:val="41"/>
          <w:rFonts w:hint="eastAsia"/>
          <w:color w:val="auto"/>
        </w:rPr>
        <w:t>、隐患点和风险区</w:t>
      </w:r>
      <w:r>
        <w:rPr>
          <w:rStyle w:val="41"/>
          <w:color w:val="auto"/>
        </w:rPr>
        <w:t>“</w:t>
      </w:r>
      <w:r>
        <w:rPr>
          <w:rStyle w:val="41"/>
          <w:rFonts w:hint="eastAsia"/>
          <w:color w:val="auto"/>
        </w:rPr>
        <w:t>双控</w:t>
      </w:r>
      <w:r>
        <w:rPr>
          <w:rStyle w:val="41"/>
          <w:color w:val="auto"/>
        </w:rPr>
        <w:t>”</w:t>
      </w:r>
      <w:r>
        <w:tab/>
      </w:r>
      <w:r>
        <w:fldChar w:fldCharType="begin"/>
      </w:r>
      <w:r>
        <w:instrText xml:space="preserve"> PAGEREF _Toc88832971 \h </w:instrText>
      </w:r>
      <w:r>
        <w:fldChar w:fldCharType="separate"/>
      </w:r>
      <w:r>
        <w:t>28</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"_Toc88832972" </w:instrText>
      </w:r>
      <w:r>
        <w:fldChar w:fldCharType="separate"/>
      </w:r>
      <w:r>
        <w:rPr>
          <w:rStyle w:val="41"/>
          <w:rFonts w:hint="eastAsia"/>
          <w:color w:val="auto"/>
        </w:rPr>
        <w:t>（三）工程治理</w:t>
      </w:r>
      <w:r>
        <w:tab/>
      </w:r>
      <w:r>
        <w:fldChar w:fldCharType="begin"/>
      </w:r>
      <w:r>
        <w:instrText xml:space="preserve"> PAGEREF _Toc88832972 \h </w:instrText>
      </w:r>
      <w:r>
        <w:fldChar w:fldCharType="separate"/>
      </w:r>
      <w:r>
        <w:t>29</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"_Toc88832973" </w:instrText>
      </w:r>
      <w:r>
        <w:fldChar w:fldCharType="separate"/>
      </w:r>
      <w:r>
        <w:rPr>
          <w:rStyle w:val="41"/>
          <w:color w:val="auto"/>
        </w:rPr>
        <w:t>1</w:t>
      </w:r>
      <w:r>
        <w:rPr>
          <w:rStyle w:val="41"/>
          <w:rFonts w:hint="eastAsia"/>
          <w:color w:val="auto"/>
        </w:rPr>
        <w:t>、工程治理项目</w:t>
      </w:r>
      <w:r>
        <w:tab/>
      </w:r>
      <w:r>
        <w:fldChar w:fldCharType="begin"/>
      </w:r>
      <w:r>
        <w:instrText xml:space="preserve"> PAGEREF _Toc88832973 \h </w:instrText>
      </w:r>
      <w:r>
        <w:fldChar w:fldCharType="separate"/>
      </w:r>
      <w:r>
        <w:t>29</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"_Toc88832974" </w:instrText>
      </w:r>
      <w:r>
        <w:fldChar w:fldCharType="separate"/>
      </w:r>
      <w:r>
        <w:rPr>
          <w:rStyle w:val="41"/>
          <w:color w:val="auto"/>
        </w:rPr>
        <w:t>2</w:t>
      </w:r>
      <w:r>
        <w:rPr>
          <w:rStyle w:val="41"/>
          <w:rFonts w:hint="eastAsia"/>
          <w:color w:val="auto"/>
        </w:rPr>
        <w:t>、延续配套治理项目</w:t>
      </w:r>
      <w:r>
        <w:tab/>
      </w:r>
      <w:r>
        <w:fldChar w:fldCharType="begin"/>
      </w:r>
      <w:r>
        <w:instrText xml:space="preserve"> PAGEREF _Toc88832974 \h </w:instrText>
      </w:r>
      <w:r>
        <w:fldChar w:fldCharType="separate"/>
      </w:r>
      <w:r>
        <w:t>30</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"_Toc88832975" </w:instrText>
      </w:r>
      <w:r>
        <w:fldChar w:fldCharType="separate"/>
      </w:r>
      <w:r>
        <w:rPr>
          <w:rStyle w:val="41"/>
          <w:color w:val="auto"/>
        </w:rPr>
        <w:t>3</w:t>
      </w:r>
      <w:r>
        <w:rPr>
          <w:rStyle w:val="41"/>
          <w:rFonts w:hint="eastAsia"/>
          <w:color w:val="auto"/>
        </w:rPr>
        <w:t>、已建治理工程运行管护</w:t>
      </w:r>
      <w:r>
        <w:tab/>
      </w:r>
      <w:r>
        <w:fldChar w:fldCharType="begin"/>
      </w:r>
      <w:r>
        <w:instrText xml:space="preserve"> PAGEREF _Toc88832975 \h </w:instrText>
      </w:r>
      <w:r>
        <w:fldChar w:fldCharType="separate"/>
      </w:r>
      <w:r>
        <w:t>30</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"_Toc88832976" </w:instrText>
      </w:r>
      <w:r>
        <w:fldChar w:fldCharType="separate"/>
      </w:r>
      <w:r>
        <w:rPr>
          <w:rStyle w:val="41"/>
          <w:rFonts w:hint="eastAsia"/>
          <w:color w:val="auto"/>
        </w:rPr>
        <w:t>（四）避险搬迁</w:t>
      </w:r>
      <w:r>
        <w:tab/>
      </w:r>
      <w:r>
        <w:fldChar w:fldCharType="begin"/>
      </w:r>
      <w:r>
        <w:instrText xml:space="preserve"> PAGEREF _Toc88832976 \h </w:instrText>
      </w:r>
      <w:r>
        <w:fldChar w:fldCharType="separate"/>
      </w:r>
      <w:r>
        <w:t>30</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"_Toc88832977" </w:instrText>
      </w:r>
      <w:r>
        <w:fldChar w:fldCharType="separate"/>
      </w:r>
      <w:r>
        <w:rPr>
          <w:rStyle w:val="41"/>
          <w:rFonts w:hint="eastAsia"/>
          <w:color w:val="auto"/>
        </w:rPr>
        <w:t>（五）综合整治</w:t>
      </w:r>
      <w:r>
        <w:tab/>
      </w:r>
      <w:r>
        <w:fldChar w:fldCharType="begin"/>
      </w:r>
      <w:r>
        <w:instrText xml:space="preserve"> PAGEREF _Toc88832977 \h </w:instrText>
      </w:r>
      <w:r>
        <w:fldChar w:fldCharType="separate"/>
      </w:r>
      <w:r>
        <w:t>31</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"_Toc88832978" </w:instrText>
      </w:r>
      <w:r>
        <w:fldChar w:fldCharType="separate"/>
      </w:r>
      <w:r>
        <w:rPr>
          <w:rStyle w:val="41"/>
          <w:rFonts w:hint="eastAsia"/>
          <w:color w:val="auto"/>
        </w:rPr>
        <w:t>（六）完善技术支撑网络体系</w:t>
      </w:r>
      <w:r>
        <w:tab/>
      </w:r>
      <w:r>
        <w:fldChar w:fldCharType="begin"/>
      </w:r>
      <w:r>
        <w:instrText xml:space="preserve"> PAGEREF _Toc88832978 \h </w:instrText>
      </w:r>
      <w:r>
        <w:fldChar w:fldCharType="separate"/>
      </w:r>
      <w:r>
        <w:t>31</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"_Toc88832979" </w:instrText>
      </w:r>
      <w:r>
        <w:fldChar w:fldCharType="separate"/>
      </w:r>
      <w:r>
        <w:rPr>
          <w:rStyle w:val="41"/>
          <w:rFonts w:hint="eastAsia"/>
          <w:color w:val="auto"/>
        </w:rPr>
        <w:t>（七）地质灾害防治宣教与演练</w:t>
      </w:r>
      <w:r>
        <w:tab/>
      </w:r>
      <w:r>
        <w:fldChar w:fldCharType="begin"/>
      </w:r>
      <w:r>
        <w:instrText xml:space="preserve"> PAGEREF _Toc88832979 \h </w:instrText>
      </w:r>
      <w:r>
        <w:fldChar w:fldCharType="separate"/>
      </w:r>
      <w:r>
        <w:t>31</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"_Toc88832980" </w:instrText>
      </w:r>
      <w:r>
        <w:fldChar w:fldCharType="separate"/>
      </w:r>
      <w:r>
        <w:rPr>
          <w:rStyle w:val="41"/>
          <w:rFonts w:hint="eastAsia"/>
          <w:color w:val="auto"/>
        </w:rPr>
        <w:t>（八）地质灾害防治法制化建设</w:t>
      </w:r>
      <w:r>
        <w:tab/>
      </w:r>
      <w:r>
        <w:fldChar w:fldCharType="begin"/>
      </w:r>
      <w:r>
        <w:instrText xml:space="preserve"> PAGEREF _Toc88832980 \h </w:instrText>
      </w:r>
      <w:r>
        <w:fldChar w:fldCharType="separate"/>
      </w:r>
      <w:r>
        <w:t>32</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"_Toc88832981" </w:instrText>
      </w:r>
      <w:r>
        <w:fldChar w:fldCharType="separate"/>
      </w:r>
      <w:r>
        <w:rPr>
          <w:rStyle w:val="41"/>
          <w:rFonts w:hint="eastAsia"/>
          <w:color w:val="auto"/>
        </w:rPr>
        <w:t>（九）依法依规履行职责</w:t>
      </w:r>
      <w:r>
        <w:tab/>
      </w:r>
      <w:r>
        <w:fldChar w:fldCharType="begin"/>
      </w:r>
      <w:r>
        <w:instrText xml:space="preserve"> PAGEREF _Toc88832981 \h </w:instrText>
      </w:r>
      <w:r>
        <w:fldChar w:fldCharType="separate"/>
      </w:r>
      <w:r>
        <w:t>32</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"_Toc88832982" </w:instrText>
      </w:r>
      <w:r>
        <w:fldChar w:fldCharType="separate"/>
      </w:r>
      <w:r>
        <w:rPr>
          <w:rStyle w:val="41"/>
          <w:rFonts w:hint="eastAsia"/>
          <w:color w:val="auto"/>
        </w:rPr>
        <w:t>（十）防灾减灾机制建设</w:t>
      </w:r>
      <w:r>
        <w:tab/>
      </w:r>
      <w:r>
        <w:fldChar w:fldCharType="begin"/>
      </w:r>
      <w:r>
        <w:instrText xml:space="preserve"> PAGEREF _Toc88832982 \h </w:instrText>
      </w:r>
      <w:r>
        <w:fldChar w:fldCharType="separate"/>
      </w:r>
      <w:r>
        <w:t>32</w:t>
      </w:r>
      <w:r>
        <w:fldChar w:fldCharType="end"/>
      </w:r>
      <w:r>
        <w:fldChar w:fldCharType="end"/>
      </w:r>
    </w:p>
    <w:p>
      <w:pPr>
        <w:pStyle w:val="26"/>
        <w:rPr>
          <w:rFonts w:asciiTheme="minorHAnsi" w:hAnsiTheme="minorHAnsi" w:eastAsiaTheme="minorEastAsia" w:cstheme="minorBidi"/>
          <w:b w:val="0"/>
          <w:kern w:val="2"/>
          <w:sz w:val="21"/>
          <w:szCs w:val="22"/>
          <w:lang w:bidi="ar-SA"/>
        </w:rPr>
      </w:pPr>
      <w:r>
        <w:fldChar w:fldCharType="begin"/>
      </w:r>
      <w:r>
        <w:instrText xml:space="preserve"> HYPERLINK \l "_Toc88832983" </w:instrText>
      </w:r>
      <w:r>
        <w:fldChar w:fldCharType="separate"/>
      </w:r>
      <w:r>
        <w:rPr>
          <w:rStyle w:val="41"/>
          <w:rFonts w:hint="eastAsia"/>
          <w:color w:val="auto"/>
        </w:rPr>
        <w:t>五、资金筹措</w:t>
      </w:r>
      <w:r>
        <w:tab/>
      </w:r>
      <w:r>
        <w:fldChar w:fldCharType="begin"/>
      </w:r>
      <w:r>
        <w:instrText xml:space="preserve"> PAGEREF _Toc88832983 \h </w:instrText>
      </w:r>
      <w:r>
        <w:fldChar w:fldCharType="separate"/>
      </w:r>
      <w:r>
        <w:t>34</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"_Toc88832984" </w:instrText>
      </w:r>
      <w:r>
        <w:fldChar w:fldCharType="separate"/>
      </w:r>
      <w:r>
        <w:rPr>
          <w:rStyle w:val="41"/>
          <w:rFonts w:hint="eastAsia"/>
          <w:color w:val="auto"/>
        </w:rPr>
        <w:t>（一）地质灾害防治规划资金匡算结果</w:t>
      </w:r>
      <w:r>
        <w:tab/>
      </w:r>
      <w:r>
        <w:fldChar w:fldCharType="begin"/>
      </w:r>
      <w:r>
        <w:instrText xml:space="preserve"> PAGEREF _Toc88832984 \h </w:instrText>
      </w:r>
      <w:r>
        <w:fldChar w:fldCharType="separate"/>
      </w:r>
      <w:r>
        <w:t>34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"_Toc88832985" </w:instrText>
      </w:r>
      <w:r>
        <w:fldChar w:fldCharType="separate"/>
      </w:r>
      <w:r>
        <w:rPr>
          <w:rStyle w:val="41"/>
          <w:color w:val="auto"/>
        </w:rPr>
        <w:t>1</w:t>
      </w:r>
      <w:r>
        <w:rPr>
          <w:rStyle w:val="41"/>
          <w:rFonts w:hint="eastAsia"/>
          <w:color w:val="auto"/>
        </w:rPr>
        <w:t>、调查评价</w:t>
      </w:r>
      <w:r>
        <w:tab/>
      </w:r>
      <w:r>
        <w:fldChar w:fldCharType="begin"/>
      </w:r>
      <w:r>
        <w:instrText xml:space="preserve"> PAGEREF _Toc88832985 \h </w:instrText>
      </w:r>
      <w:r>
        <w:fldChar w:fldCharType="separate"/>
      </w:r>
      <w:r>
        <w:t>34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"_Toc88832986" </w:instrText>
      </w:r>
      <w:r>
        <w:fldChar w:fldCharType="separate"/>
      </w:r>
      <w:r>
        <w:rPr>
          <w:rStyle w:val="41"/>
          <w:color w:val="auto"/>
        </w:rPr>
        <w:t>2</w:t>
      </w:r>
      <w:r>
        <w:rPr>
          <w:rStyle w:val="41"/>
          <w:rFonts w:hint="eastAsia"/>
          <w:color w:val="auto"/>
        </w:rPr>
        <w:t>、监测预警</w:t>
      </w:r>
      <w:r>
        <w:tab/>
      </w:r>
      <w:r>
        <w:fldChar w:fldCharType="begin"/>
      </w:r>
      <w:r>
        <w:instrText xml:space="preserve"> PAGEREF _Toc88832986 \h </w:instrText>
      </w:r>
      <w:r>
        <w:fldChar w:fldCharType="separate"/>
      </w:r>
      <w:r>
        <w:t>34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"_Toc88832987" </w:instrText>
      </w:r>
      <w:r>
        <w:fldChar w:fldCharType="separate"/>
      </w:r>
      <w:r>
        <w:rPr>
          <w:rStyle w:val="41"/>
          <w:color w:val="auto"/>
        </w:rPr>
        <w:t>3</w:t>
      </w:r>
      <w:r>
        <w:rPr>
          <w:rStyle w:val="41"/>
          <w:rFonts w:hint="eastAsia"/>
          <w:color w:val="auto"/>
        </w:rPr>
        <w:t>、工程治理</w:t>
      </w:r>
      <w:r>
        <w:tab/>
      </w:r>
      <w:r>
        <w:fldChar w:fldCharType="begin"/>
      </w:r>
      <w:r>
        <w:instrText xml:space="preserve"> PAGEREF _Toc88832987 \h </w:instrText>
      </w:r>
      <w:r>
        <w:fldChar w:fldCharType="separate"/>
      </w:r>
      <w:r>
        <w:t>34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"_Toc88832988" </w:instrText>
      </w:r>
      <w:r>
        <w:fldChar w:fldCharType="separate"/>
      </w:r>
      <w:r>
        <w:rPr>
          <w:rStyle w:val="41"/>
          <w:color w:val="auto"/>
        </w:rPr>
        <w:t>4</w:t>
      </w:r>
      <w:r>
        <w:rPr>
          <w:rStyle w:val="41"/>
          <w:rFonts w:hint="eastAsia"/>
          <w:color w:val="auto"/>
        </w:rPr>
        <w:t>、避险搬迁</w:t>
      </w:r>
      <w:r>
        <w:tab/>
      </w:r>
      <w:r>
        <w:fldChar w:fldCharType="begin"/>
      </w:r>
      <w:r>
        <w:instrText xml:space="preserve"> PAGEREF _Toc88832988 \h </w:instrText>
      </w:r>
      <w:r>
        <w:fldChar w:fldCharType="separate"/>
      </w:r>
      <w:r>
        <w:t>34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"_Toc88832989" </w:instrText>
      </w:r>
      <w:r>
        <w:fldChar w:fldCharType="separate"/>
      </w:r>
      <w:r>
        <w:rPr>
          <w:rStyle w:val="41"/>
          <w:color w:val="auto"/>
        </w:rPr>
        <w:t>5</w:t>
      </w:r>
      <w:r>
        <w:rPr>
          <w:rStyle w:val="41"/>
          <w:rFonts w:hint="eastAsia"/>
          <w:color w:val="auto"/>
        </w:rPr>
        <w:t>、完善技术支撑网络体系</w:t>
      </w:r>
      <w:r>
        <w:tab/>
      </w:r>
      <w:r>
        <w:fldChar w:fldCharType="begin"/>
      </w:r>
      <w:r>
        <w:instrText xml:space="preserve"> PAGEREF _Toc88832989 \h </w:instrText>
      </w:r>
      <w:r>
        <w:fldChar w:fldCharType="separate"/>
      </w:r>
      <w:r>
        <w:t>34</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"_Toc88832990" </w:instrText>
      </w:r>
      <w:r>
        <w:fldChar w:fldCharType="separate"/>
      </w:r>
      <w:r>
        <w:rPr>
          <w:rStyle w:val="41"/>
          <w:color w:val="auto"/>
        </w:rPr>
        <w:t>6</w:t>
      </w:r>
      <w:r>
        <w:rPr>
          <w:rStyle w:val="41"/>
          <w:rFonts w:hint="eastAsia"/>
          <w:color w:val="auto"/>
        </w:rPr>
        <w:t>、地质灾害防治宣教与演练</w:t>
      </w:r>
      <w:r>
        <w:tab/>
      </w:r>
      <w:r>
        <w:fldChar w:fldCharType="begin"/>
      </w:r>
      <w:r>
        <w:instrText xml:space="preserve"> PAGEREF _Toc88832990 \h </w:instrText>
      </w:r>
      <w:r>
        <w:fldChar w:fldCharType="separate"/>
      </w:r>
      <w:r>
        <w:t>35</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"_Toc88832991" </w:instrText>
      </w:r>
      <w:r>
        <w:fldChar w:fldCharType="separate"/>
      </w:r>
      <w:r>
        <w:rPr>
          <w:rStyle w:val="41"/>
          <w:rFonts w:hint="eastAsia"/>
          <w:color w:val="auto"/>
        </w:rPr>
        <w:t>（二）资金来源</w:t>
      </w:r>
      <w:r>
        <w:tab/>
      </w:r>
      <w:r>
        <w:fldChar w:fldCharType="begin"/>
      </w:r>
      <w:r>
        <w:instrText xml:space="preserve"> PAGEREF _Toc88832991 \h </w:instrText>
      </w:r>
      <w:r>
        <w:fldChar w:fldCharType="separate"/>
      </w:r>
      <w:r>
        <w:t>35</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"_Toc88832992" </w:instrText>
      </w:r>
      <w:r>
        <w:fldChar w:fldCharType="separate"/>
      </w:r>
      <w:r>
        <w:rPr>
          <w:rStyle w:val="41"/>
          <w:color w:val="auto"/>
        </w:rPr>
        <w:t>1</w:t>
      </w:r>
      <w:r>
        <w:rPr>
          <w:rStyle w:val="41"/>
          <w:rFonts w:hint="eastAsia"/>
          <w:color w:val="auto"/>
        </w:rPr>
        <w:t>、资金事权与支出责任</w:t>
      </w:r>
      <w:r>
        <w:tab/>
      </w:r>
      <w:r>
        <w:fldChar w:fldCharType="begin"/>
      </w:r>
      <w:r>
        <w:instrText xml:space="preserve"> PAGEREF _Toc88832992 \h </w:instrText>
      </w:r>
      <w:r>
        <w:fldChar w:fldCharType="separate"/>
      </w:r>
      <w:r>
        <w:t>35</w:t>
      </w:r>
      <w:r>
        <w:fldChar w:fldCharType="end"/>
      </w:r>
      <w:r>
        <w:fldChar w:fldCharType="end"/>
      </w:r>
    </w:p>
    <w:p>
      <w:pPr>
        <w:pStyle w:val="18"/>
        <w:tabs>
          <w:tab w:val="right" w:leader="dot" w:pos="9344"/>
        </w:tabs>
        <w:ind w:left="1120"/>
        <w:rPr>
          <w:rFonts w:asciiTheme="minorHAnsi" w:hAnsiTheme="minorHAnsi" w:eastAsiaTheme="minorEastAsia" w:cstheme="minorBidi"/>
          <w:kern w:val="2"/>
          <w:sz w:val="21"/>
          <w:szCs w:val="22"/>
          <w:lang w:eastAsia="zh-CN" w:bidi="ar-SA"/>
        </w:rPr>
      </w:pPr>
      <w:r>
        <w:fldChar w:fldCharType="begin"/>
      </w:r>
      <w:r>
        <w:instrText xml:space="preserve"> HYPERLINK \l "_Toc88832993" </w:instrText>
      </w:r>
      <w:r>
        <w:fldChar w:fldCharType="separate"/>
      </w:r>
      <w:r>
        <w:rPr>
          <w:rStyle w:val="41"/>
          <w:color w:val="auto"/>
        </w:rPr>
        <w:t>2</w:t>
      </w:r>
      <w:r>
        <w:rPr>
          <w:rStyle w:val="41"/>
          <w:rFonts w:hint="eastAsia"/>
          <w:color w:val="auto"/>
        </w:rPr>
        <w:t>、资金构成及使用</w:t>
      </w:r>
      <w:r>
        <w:tab/>
      </w:r>
      <w:r>
        <w:fldChar w:fldCharType="begin"/>
      </w:r>
      <w:r>
        <w:instrText xml:space="preserve"> PAGEREF _Toc88832993 \h </w:instrText>
      </w:r>
      <w:r>
        <w:fldChar w:fldCharType="separate"/>
      </w:r>
      <w:r>
        <w:t>38</w:t>
      </w:r>
      <w:r>
        <w:fldChar w:fldCharType="end"/>
      </w:r>
      <w:r>
        <w:fldChar w:fldCharType="end"/>
      </w:r>
    </w:p>
    <w:p>
      <w:pPr>
        <w:pStyle w:val="26"/>
        <w:rPr>
          <w:rFonts w:asciiTheme="minorHAnsi" w:hAnsiTheme="minorHAnsi" w:eastAsiaTheme="minorEastAsia" w:cstheme="minorBidi"/>
          <w:b w:val="0"/>
          <w:kern w:val="2"/>
          <w:sz w:val="21"/>
          <w:szCs w:val="22"/>
          <w:lang w:bidi="ar-SA"/>
        </w:rPr>
      </w:pPr>
      <w:r>
        <w:fldChar w:fldCharType="begin"/>
      </w:r>
      <w:r>
        <w:instrText xml:space="preserve"> HYPERLINK \l "_Toc88832994" </w:instrText>
      </w:r>
      <w:r>
        <w:fldChar w:fldCharType="separate"/>
      </w:r>
      <w:r>
        <w:rPr>
          <w:rStyle w:val="41"/>
          <w:rFonts w:hint="eastAsia"/>
          <w:color w:val="auto"/>
        </w:rPr>
        <w:t>六、防治效益</w:t>
      </w:r>
      <w:r>
        <w:tab/>
      </w:r>
      <w:r>
        <w:fldChar w:fldCharType="begin"/>
      </w:r>
      <w:r>
        <w:instrText xml:space="preserve"> PAGEREF _Toc88832994 \h </w:instrText>
      </w:r>
      <w:r>
        <w:fldChar w:fldCharType="separate"/>
      </w:r>
      <w:r>
        <w:t>40</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"_Toc88832995" </w:instrText>
      </w:r>
      <w:r>
        <w:fldChar w:fldCharType="separate"/>
      </w:r>
      <w:r>
        <w:rPr>
          <w:rStyle w:val="41"/>
          <w:rFonts w:hint="eastAsia"/>
          <w:color w:val="auto"/>
        </w:rPr>
        <w:t>（一）社会效益</w:t>
      </w:r>
      <w:r>
        <w:tab/>
      </w:r>
      <w:r>
        <w:fldChar w:fldCharType="begin"/>
      </w:r>
      <w:r>
        <w:instrText xml:space="preserve"> PAGEREF _Toc88832995 \h </w:instrText>
      </w:r>
      <w:r>
        <w:fldChar w:fldCharType="separate"/>
      </w:r>
      <w:r>
        <w:t>40</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"_Toc88832996" </w:instrText>
      </w:r>
      <w:r>
        <w:fldChar w:fldCharType="separate"/>
      </w:r>
      <w:r>
        <w:rPr>
          <w:rStyle w:val="41"/>
          <w:rFonts w:hint="eastAsia"/>
          <w:color w:val="auto"/>
        </w:rPr>
        <w:t>（二）经济效益</w:t>
      </w:r>
      <w:r>
        <w:tab/>
      </w:r>
      <w:r>
        <w:fldChar w:fldCharType="begin"/>
      </w:r>
      <w:r>
        <w:instrText xml:space="preserve"> PAGEREF _Toc88832996 \h </w:instrText>
      </w:r>
      <w:r>
        <w:fldChar w:fldCharType="separate"/>
      </w:r>
      <w:r>
        <w:t>40</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"_Toc88832997" </w:instrText>
      </w:r>
      <w:r>
        <w:fldChar w:fldCharType="separate"/>
      </w:r>
      <w:r>
        <w:rPr>
          <w:rStyle w:val="41"/>
          <w:rFonts w:hint="eastAsia"/>
          <w:color w:val="auto"/>
        </w:rPr>
        <w:t>（三）生态环境效益</w:t>
      </w:r>
      <w:r>
        <w:tab/>
      </w:r>
      <w:r>
        <w:fldChar w:fldCharType="begin"/>
      </w:r>
      <w:r>
        <w:instrText xml:space="preserve"> PAGEREF _Toc88832997 \h </w:instrText>
      </w:r>
      <w:r>
        <w:fldChar w:fldCharType="separate"/>
      </w:r>
      <w:r>
        <w:t>40</w:t>
      </w:r>
      <w:r>
        <w:fldChar w:fldCharType="end"/>
      </w:r>
      <w:r>
        <w:fldChar w:fldCharType="end"/>
      </w:r>
    </w:p>
    <w:p>
      <w:pPr>
        <w:pStyle w:val="26"/>
        <w:rPr>
          <w:rFonts w:asciiTheme="minorHAnsi" w:hAnsiTheme="minorHAnsi" w:eastAsiaTheme="minorEastAsia" w:cstheme="minorBidi"/>
          <w:b w:val="0"/>
          <w:kern w:val="2"/>
          <w:sz w:val="21"/>
          <w:szCs w:val="22"/>
          <w:lang w:bidi="ar-SA"/>
        </w:rPr>
      </w:pPr>
      <w:r>
        <w:fldChar w:fldCharType="begin"/>
      </w:r>
      <w:r>
        <w:instrText xml:space="preserve"> HYPERLINK \l "_Toc88832998" </w:instrText>
      </w:r>
      <w:r>
        <w:fldChar w:fldCharType="separate"/>
      </w:r>
      <w:r>
        <w:rPr>
          <w:rStyle w:val="41"/>
          <w:rFonts w:hint="eastAsia"/>
          <w:color w:val="auto"/>
        </w:rPr>
        <w:t>七、保障措施</w:t>
      </w:r>
      <w:r>
        <w:tab/>
      </w:r>
      <w:r>
        <w:fldChar w:fldCharType="begin"/>
      </w:r>
      <w:r>
        <w:instrText xml:space="preserve"> PAGEREF _Toc88832998 \h </w:instrText>
      </w:r>
      <w:r>
        <w:fldChar w:fldCharType="separate"/>
      </w:r>
      <w:r>
        <w:t>41</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"_Toc88832999" </w:instrText>
      </w:r>
      <w:r>
        <w:fldChar w:fldCharType="separate"/>
      </w:r>
      <w:r>
        <w:rPr>
          <w:rStyle w:val="41"/>
          <w:rFonts w:hint="eastAsia"/>
          <w:color w:val="auto"/>
        </w:rPr>
        <w:t>（一）完善法规体系</w:t>
      </w:r>
      <w:r>
        <w:tab/>
      </w:r>
      <w:r>
        <w:fldChar w:fldCharType="begin"/>
      </w:r>
      <w:r>
        <w:instrText xml:space="preserve"> PAGEREF _Toc88832999 \h </w:instrText>
      </w:r>
      <w:r>
        <w:fldChar w:fldCharType="separate"/>
      </w:r>
      <w:r>
        <w:t>41</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"_Toc88833000" </w:instrText>
      </w:r>
      <w:r>
        <w:fldChar w:fldCharType="separate"/>
      </w:r>
      <w:r>
        <w:rPr>
          <w:rStyle w:val="41"/>
          <w:rFonts w:hint="eastAsia"/>
          <w:color w:val="auto"/>
        </w:rPr>
        <w:t>（二）统一领导、加强协调</w:t>
      </w:r>
      <w:r>
        <w:tab/>
      </w:r>
      <w:r>
        <w:fldChar w:fldCharType="begin"/>
      </w:r>
      <w:r>
        <w:instrText xml:space="preserve"> PAGEREF _Toc88833000 \h </w:instrText>
      </w:r>
      <w:r>
        <w:fldChar w:fldCharType="separate"/>
      </w:r>
      <w:r>
        <w:t>41</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"_Toc88833001" </w:instrText>
      </w:r>
      <w:r>
        <w:fldChar w:fldCharType="separate"/>
      </w:r>
      <w:r>
        <w:rPr>
          <w:rStyle w:val="41"/>
          <w:rFonts w:hint="eastAsia"/>
          <w:color w:val="auto"/>
        </w:rPr>
        <w:t>（三）整合资源、部门联动</w:t>
      </w:r>
      <w:r>
        <w:tab/>
      </w:r>
      <w:r>
        <w:fldChar w:fldCharType="begin"/>
      </w:r>
      <w:r>
        <w:instrText xml:space="preserve"> PAGEREF _Toc88833001 \h </w:instrText>
      </w:r>
      <w:r>
        <w:fldChar w:fldCharType="separate"/>
      </w:r>
      <w:r>
        <w:t>42</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"_Toc88833002" </w:instrText>
      </w:r>
      <w:r>
        <w:fldChar w:fldCharType="separate"/>
      </w:r>
      <w:r>
        <w:rPr>
          <w:rStyle w:val="41"/>
          <w:rFonts w:hint="eastAsia"/>
          <w:color w:val="auto"/>
        </w:rPr>
        <w:t>（四）保证投入、追踪问效</w:t>
      </w:r>
      <w:r>
        <w:tab/>
      </w:r>
      <w:r>
        <w:fldChar w:fldCharType="begin"/>
      </w:r>
      <w:r>
        <w:instrText xml:space="preserve"> PAGEREF _Toc88833002 \h </w:instrText>
      </w:r>
      <w:r>
        <w:fldChar w:fldCharType="separate"/>
      </w:r>
      <w:r>
        <w:t>42</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"_Toc88833003" </w:instrText>
      </w:r>
      <w:r>
        <w:fldChar w:fldCharType="separate"/>
      </w:r>
      <w:r>
        <w:rPr>
          <w:rStyle w:val="41"/>
          <w:rFonts w:hint="eastAsia"/>
          <w:color w:val="auto"/>
        </w:rPr>
        <w:t>（五）加强技术保障</w:t>
      </w:r>
      <w:r>
        <w:tab/>
      </w:r>
      <w:r>
        <w:fldChar w:fldCharType="begin"/>
      </w:r>
      <w:r>
        <w:instrText xml:space="preserve"> PAGEREF _Toc88833003 \h </w:instrText>
      </w:r>
      <w:r>
        <w:fldChar w:fldCharType="separate"/>
      </w:r>
      <w:r>
        <w:t>43</w:t>
      </w:r>
      <w:r>
        <w:fldChar w:fldCharType="end"/>
      </w:r>
      <w:r>
        <w:fldChar w:fldCharType="end"/>
      </w:r>
    </w:p>
    <w:p>
      <w:pPr>
        <w:pStyle w:val="30"/>
        <w:tabs>
          <w:tab w:val="right" w:leader="dot" w:pos="9344"/>
        </w:tabs>
        <w:ind w:left="560"/>
        <w:rPr>
          <w:rFonts w:asciiTheme="minorHAnsi" w:hAnsiTheme="minorHAnsi" w:eastAsiaTheme="minorEastAsia" w:cstheme="minorBidi"/>
          <w:kern w:val="2"/>
          <w:sz w:val="21"/>
          <w:szCs w:val="22"/>
          <w:lang w:eastAsia="zh-CN" w:bidi="ar-SA"/>
        </w:rPr>
      </w:pPr>
      <w:r>
        <w:fldChar w:fldCharType="begin"/>
      </w:r>
      <w:r>
        <w:instrText xml:space="preserve"> HYPERLINK \l "_Toc88833004" </w:instrText>
      </w:r>
      <w:r>
        <w:fldChar w:fldCharType="separate"/>
      </w:r>
      <w:r>
        <w:rPr>
          <w:rStyle w:val="41"/>
          <w:rFonts w:hint="eastAsia"/>
          <w:color w:val="auto"/>
        </w:rPr>
        <w:t>（六）加强宣传教育</w:t>
      </w:r>
      <w:r>
        <w:tab/>
      </w:r>
      <w:r>
        <w:fldChar w:fldCharType="begin"/>
      </w:r>
      <w:r>
        <w:instrText xml:space="preserve"> PAGEREF _Toc88833004 \h </w:instrText>
      </w:r>
      <w:r>
        <w:fldChar w:fldCharType="separate"/>
      </w:r>
      <w:r>
        <w:t>43</w:t>
      </w:r>
      <w:r>
        <w:fldChar w:fldCharType="end"/>
      </w:r>
      <w:r>
        <w:fldChar w:fldCharType="end"/>
      </w:r>
    </w:p>
    <w:p>
      <w:pPr>
        <w:pStyle w:val="26"/>
        <w:ind w:firstLine="560"/>
        <w:rPr>
          <w:rFonts w:asciiTheme="minorHAnsi" w:hAnsiTheme="minorHAnsi" w:eastAsiaTheme="minorEastAsia" w:cstheme="minorBidi"/>
          <w:b w:val="0"/>
          <w:kern w:val="2"/>
          <w:sz w:val="21"/>
          <w:szCs w:val="22"/>
          <w:lang w:bidi="ar-SA"/>
        </w:rPr>
      </w:pPr>
      <w:r>
        <w:fldChar w:fldCharType="begin"/>
      </w:r>
      <w:r>
        <w:instrText xml:space="preserve"> HYPERLINK \l "_Toc88833005" </w:instrText>
      </w:r>
      <w:r>
        <w:fldChar w:fldCharType="separate"/>
      </w:r>
      <w:r>
        <w:rPr>
          <w:rStyle w:val="41"/>
          <w:rFonts w:hint="eastAsia"/>
          <w:color w:val="auto"/>
        </w:rPr>
        <w:t>附</w:t>
      </w:r>
      <w:r>
        <w:rPr>
          <w:rStyle w:val="41"/>
          <w:color w:val="auto"/>
        </w:rPr>
        <w:t xml:space="preserve">  </w:t>
      </w:r>
      <w:r>
        <w:rPr>
          <w:rStyle w:val="41"/>
          <w:rFonts w:hint="eastAsia"/>
          <w:color w:val="auto"/>
        </w:rPr>
        <w:t>则</w:t>
      </w:r>
      <w:r>
        <w:tab/>
      </w:r>
      <w:r>
        <w:fldChar w:fldCharType="begin"/>
      </w:r>
      <w:r>
        <w:instrText xml:space="preserve"> PAGEREF _Toc88833005 \h </w:instrText>
      </w:r>
      <w:r>
        <w:fldChar w:fldCharType="separate"/>
      </w:r>
      <w:r>
        <w:t>44</w:t>
      </w:r>
      <w:r>
        <w:fldChar w:fldCharType="end"/>
      </w:r>
      <w:r>
        <w:fldChar w:fldCharType="end"/>
      </w:r>
    </w:p>
    <w:p>
      <w:pPr>
        <w:spacing w:line="400" w:lineRule="exact"/>
        <w:ind w:firstLine="0" w:firstLineChars="0"/>
        <w:rPr>
          <w:rFonts w:asciiTheme="minorEastAsia" w:hAnsiTheme="minorEastAsia" w:eastAsiaTheme="minorEastAsia"/>
          <w:sz w:val="21"/>
        </w:rPr>
      </w:pPr>
      <w:r>
        <w:rPr>
          <w:rFonts w:asciiTheme="minorEastAsia" w:hAnsiTheme="minorEastAsia" w:eastAsiaTheme="minorEastAsia"/>
          <w:sz w:val="21"/>
        </w:rPr>
        <w:fldChar w:fldCharType="end"/>
      </w:r>
    </w:p>
    <w:p>
      <w:pPr>
        <w:spacing w:line="400" w:lineRule="exact"/>
        <w:ind w:firstLine="0" w:firstLineChars="0"/>
      </w:pPr>
      <w:r>
        <w:rPr>
          <w:rFonts w:hint="eastAsia"/>
        </w:rPr>
        <w:t>附表：</w:t>
      </w:r>
    </w:p>
    <w:p>
      <w:pPr>
        <w:spacing w:line="400" w:lineRule="exact"/>
        <w:ind w:firstLine="480"/>
        <w:rPr>
          <w:sz w:val="24"/>
          <w:szCs w:val="24"/>
        </w:rPr>
      </w:pPr>
      <w:r>
        <w:rPr>
          <w:rFonts w:hint="eastAsia"/>
          <w:sz w:val="24"/>
          <w:szCs w:val="24"/>
        </w:rPr>
        <w:t>附表1、德宏州地质灾害隐患基本情况汇总表；</w:t>
      </w:r>
    </w:p>
    <w:p>
      <w:pPr>
        <w:spacing w:line="400" w:lineRule="exact"/>
        <w:ind w:firstLine="480"/>
        <w:rPr>
          <w:sz w:val="24"/>
          <w:szCs w:val="24"/>
        </w:rPr>
      </w:pPr>
      <w:r>
        <w:rPr>
          <w:rFonts w:hint="eastAsia"/>
          <w:sz w:val="24"/>
          <w:szCs w:val="24"/>
        </w:rPr>
        <w:t>附表2、德宏州地质灾害工程治理项目规划表（2</w:t>
      </w:r>
      <w:r>
        <w:rPr>
          <w:sz w:val="24"/>
          <w:szCs w:val="24"/>
        </w:rPr>
        <w:t>021</w:t>
      </w:r>
      <w:r>
        <w:rPr>
          <w:rFonts w:hint="eastAsia"/>
          <w:sz w:val="24"/>
          <w:szCs w:val="24"/>
        </w:rPr>
        <w:t>-</w:t>
      </w:r>
      <w:r>
        <w:rPr>
          <w:sz w:val="24"/>
          <w:szCs w:val="24"/>
        </w:rPr>
        <w:t>2025</w:t>
      </w:r>
      <w:r>
        <w:rPr>
          <w:rFonts w:hint="eastAsia"/>
          <w:sz w:val="24"/>
          <w:szCs w:val="24"/>
        </w:rPr>
        <w:t>年）；</w:t>
      </w:r>
    </w:p>
    <w:p>
      <w:pPr>
        <w:spacing w:line="400" w:lineRule="exact"/>
        <w:ind w:firstLine="480"/>
        <w:rPr>
          <w:sz w:val="24"/>
          <w:szCs w:val="24"/>
        </w:rPr>
      </w:pPr>
      <w:r>
        <w:rPr>
          <w:rFonts w:hint="eastAsia"/>
          <w:sz w:val="24"/>
          <w:szCs w:val="24"/>
        </w:rPr>
        <w:t>附表3、德宏州需要延续配套治理的治理工程项目规划表（2</w:t>
      </w:r>
      <w:r>
        <w:rPr>
          <w:sz w:val="24"/>
          <w:szCs w:val="24"/>
        </w:rPr>
        <w:t>021</w:t>
      </w:r>
      <w:r>
        <w:rPr>
          <w:rFonts w:hint="eastAsia"/>
          <w:sz w:val="24"/>
          <w:szCs w:val="24"/>
        </w:rPr>
        <w:t>-</w:t>
      </w:r>
      <w:r>
        <w:rPr>
          <w:sz w:val="24"/>
          <w:szCs w:val="24"/>
        </w:rPr>
        <w:t>2025</w:t>
      </w:r>
      <w:r>
        <w:rPr>
          <w:rFonts w:hint="eastAsia"/>
          <w:sz w:val="24"/>
          <w:szCs w:val="24"/>
        </w:rPr>
        <w:t>年）；</w:t>
      </w:r>
    </w:p>
    <w:p>
      <w:pPr>
        <w:spacing w:line="400" w:lineRule="exact"/>
        <w:ind w:firstLine="480"/>
        <w:rPr>
          <w:sz w:val="24"/>
          <w:szCs w:val="24"/>
        </w:rPr>
      </w:pPr>
      <w:r>
        <w:rPr>
          <w:rFonts w:hint="eastAsia"/>
          <w:sz w:val="24"/>
          <w:szCs w:val="24"/>
        </w:rPr>
        <w:t>附表4、德宏州因地质灾害搬迁避让项目规划表（2</w:t>
      </w:r>
      <w:r>
        <w:rPr>
          <w:sz w:val="24"/>
          <w:szCs w:val="24"/>
        </w:rPr>
        <w:t>021</w:t>
      </w:r>
      <w:r>
        <w:rPr>
          <w:rFonts w:hint="eastAsia"/>
          <w:sz w:val="24"/>
          <w:szCs w:val="24"/>
        </w:rPr>
        <w:t>-</w:t>
      </w:r>
      <w:r>
        <w:rPr>
          <w:sz w:val="24"/>
          <w:szCs w:val="24"/>
        </w:rPr>
        <w:t>2025</w:t>
      </w:r>
      <w:r>
        <w:rPr>
          <w:rFonts w:hint="eastAsia"/>
          <w:sz w:val="24"/>
          <w:szCs w:val="24"/>
        </w:rPr>
        <w:t>年）；</w:t>
      </w:r>
    </w:p>
    <w:p>
      <w:pPr>
        <w:spacing w:line="400" w:lineRule="exact"/>
        <w:ind w:firstLine="480"/>
        <w:rPr>
          <w:sz w:val="24"/>
          <w:szCs w:val="24"/>
        </w:rPr>
      </w:pPr>
      <w:r>
        <w:rPr>
          <w:rFonts w:hint="eastAsia"/>
          <w:sz w:val="24"/>
          <w:szCs w:val="24"/>
        </w:rPr>
        <w:t>附表5、德宏州地质灾害综合整治项目规划表（2</w:t>
      </w:r>
      <w:r>
        <w:rPr>
          <w:sz w:val="24"/>
          <w:szCs w:val="24"/>
        </w:rPr>
        <w:t>021</w:t>
      </w:r>
      <w:r>
        <w:rPr>
          <w:rFonts w:hint="eastAsia"/>
          <w:sz w:val="24"/>
          <w:szCs w:val="24"/>
        </w:rPr>
        <w:t>-</w:t>
      </w:r>
      <w:r>
        <w:rPr>
          <w:sz w:val="24"/>
          <w:szCs w:val="24"/>
        </w:rPr>
        <w:t>2025</w:t>
      </w:r>
      <w:r>
        <w:rPr>
          <w:rFonts w:hint="eastAsia"/>
          <w:sz w:val="24"/>
          <w:szCs w:val="24"/>
        </w:rPr>
        <w:t>年）；</w:t>
      </w:r>
    </w:p>
    <w:p>
      <w:pPr>
        <w:spacing w:line="400" w:lineRule="exact"/>
        <w:ind w:firstLine="480"/>
        <w:rPr>
          <w:sz w:val="24"/>
          <w:szCs w:val="24"/>
        </w:rPr>
      </w:pPr>
      <w:r>
        <w:rPr>
          <w:rFonts w:hint="eastAsia"/>
          <w:sz w:val="24"/>
          <w:szCs w:val="24"/>
        </w:rPr>
        <w:t>附表</w:t>
      </w:r>
      <w:r>
        <w:rPr>
          <w:sz w:val="24"/>
          <w:szCs w:val="24"/>
        </w:rPr>
        <w:t>6</w:t>
      </w:r>
      <w:r>
        <w:rPr>
          <w:rFonts w:hint="eastAsia"/>
          <w:sz w:val="24"/>
          <w:szCs w:val="24"/>
        </w:rPr>
        <w:t>、德宏州地质灾害监测预警项目规划表（2</w:t>
      </w:r>
      <w:r>
        <w:rPr>
          <w:sz w:val="24"/>
          <w:szCs w:val="24"/>
        </w:rPr>
        <w:t>021</w:t>
      </w:r>
      <w:r>
        <w:rPr>
          <w:rFonts w:hint="eastAsia"/>
          <w:sz w:val="24"/>
          <w:szCs w:val="24"/>
        </w:rPr>
        <w:t>-</w:t>
      </w:r>
      <w:r>
        <w:rPr>
          <w:sz w:val="24"/>
          <w:szCs w:val="24"/>
        </w:rPr>
        <w:t>2025</w:t>
      </w:r>
      <w:r>
        <w:rPr>
          <w:rFonts w:hint="eastAsia"/>
          <w:sz w:val="24"/>
          <w:szCs w:val="24"/>
        </w:rPr>
        <w:t>年）。</w:t>
      </w:r>
    </w:p>
    <w:p>
      <w:pPr>
        <w:ind w:firstLine="480"/>
        <w:rPr>
          <w:sz w:val="24"/>
          <w:szCs w:val="24"/>
        </w:rPr>
      </w:pPr>
    </w:p>
    <w:p>
      <w:pPr>
        <w:ind w:firstLine="420"/>
        <w:rPr>
          <w:sz w:val="21"/>
        </w:rPr>
      </w:pPr>
    </w:p>
    <w:p>
      <w:pPr>
        <w:ind w:firstLine="0" w:firstLineChars="0"/>
      </w:pPr>
      <w:r>
        <w:rPr>
          <w:rFonts w:hint="eastAsia"/>
        </w:rPr>
        <w:t>附图：</w:t>
      </w:r>
    </w:p>
    <w:p>
      <w:pPr>
        <w:ind w:firstLine="480"/>
        <w:rPr>
          <w:sz w:val="24"/>
          <w:szCs w:val="24"/>
        </w:rPr>
      </w:pPr>
      <w:r>
        <w:rPr>
          <w:rFonts w:hint="eastAsia"/>
          <w:sz w:val="24"/>
          <w:szCs w:val="24"/>
        </w:rPr>
        <w:t>附图01、德宏州2</w:t>
      </w:r>
      <w:r>
        <w:rPr>
          <w:sz w:val="24"/>
          <w:szCs w:val="24"/>
        </w:rPr>
        <w:t>021</w:t>
      </w:r>
      <w:r>
        <w:rPr>
          <w:rFonts w:hint="eastAsia"/>
          <w:sz w:val="24"/>
          <w:szCs w:val="24"/>
        </w:rPr>
        <w:t>～2</w:t>
      </w:r>
      <w:r>
        <w:rPr>
          <w:sz w:val="24"/>
          <w:szCs w:val="24"/>
        </w:rPr>
        <w:t>025</w:t>
      </w:r>
      <w:r>
        <w:rPr>
          <w:rFonts w:hint="eastAsia"/>
          <w:sz w:val="24"/>
          <w:szCs w:val="24"/>
        </w:rPr>
        <w:t>年地质灾害防治规划图</w:t>
      </w:r>
    </w:p>
    <w:p>
      <w:pPr>
        <w:ind w:firstLine="480"/>
        <w:rPr>
          <w:sz w:val="24"/>
          <w:szCs w:val="24"/>
        </w:rPr>
      </w:pPr>
    </w:p>
    <w:p>
      <w:pPr>
        <w:ind w:firstLine="560"/>
        <w:sectPr>
          <w:pgSz w:w="11906" w:h="16838"/>
          <w:pgMar w:top="1134" w:right="1134" w:bottom="1134" w:left="1418" w:header="851" w:footer="992" w:gutter="0"/>
          <w:cols w:space="425" w:num="1"/>
          <w:docGrid w:type="lines" w:linePitch="312" w:charSpace="0"/>
        </w:sectPr>
      </w:pPr>
    </w:p>
    <w:p>
      <w:pPr>
        <w:pStyle w:val="3"/>
        <w:spacing w:line="360" w:lineRule="auto"/>
      </w:pPr>
      <w:bookmarkStart w:id="2" w:name="_Toc88832929"/>
      <w:r>
        <w:rPr>
          <w:rFonts w:hint="eastAsia"/>
        </w:rPr>
        <w:t>一、前言</w:t>
      </w:r>
      <w:bookmarkEnd w:id="2"/>
    </w:p>
    <w:p>
      <w:pPr>
        <w:ind w:firstLine="560"/>
      </w:pPr>
      <w:r>
        <w:rPr>
          <w:rFonts w:hint="eastAsia"/>
        </w:rPr>
        <w:t>为认真贯彻落实好党中央、国务院、省委省政府的决策部署，践行“人民至上、生命至上”的理念，全面扎实做好地质灾害防治工作，按照《地质灾害防治条例》（国务院令第3</w:t>
      </w:r>
      <w:r>
        <w:t>94</w:t>
      </w:r>
      <w:r>
        <w:rPr>
          <w:rFonts w:hint="eastAsia"/>
        </w:rPr>
        <w:t>号）的规定，根据</w:t>
      </w:r>
      <w:r>
        <w:t>《云南省自然资源厅关于印发云南省各州（市）县（市、区）地质灾害防治“十四五”规划（2021</w:t>
      </w:r>
      <w:r>
        <w:rPr>
          <w:rFonts w:hint="eastAsia"/>
        </w:rPr>
        <w:t>～</w:t>
      </w:r>
      <w:r>
        <w:t>2025年）编制指南的通知》（云自然资地勘〔2021〕150号）</w:t>
      </w:r>
      <w:r>
        <w:rPr>
          <w:rFonts w:hint="eastAsia"/>
        </w:rPr>
        <w:t>的要求</w:t>
      </w:r>
      <w:r>
        <w:t>，</w:t>
      </w:r>
      <w:r>
        <w:rPr>
          <w:rFonts w:hint="eastAsia"/>
        </w:rPr>
        <w:t>编制《云南省德宏州地质灾害防治“十四五”规划</w:t>
      </w:r>
      <w:r>
        <w:t>（2021</w:t>
      </w:r>
      <w:r>
        <w:rPr>
          <w:rFonts w:hint="eastAsia"/>
        </w:rPr>
        <w:t>～</w:t>
      </w:r>
      <w:r>
        <w:t>2025年）</w:t>
      </w:r>
      <w:r>
        <w:rPr>
          <w:rFonts w:hint="eastAsia"/>
        </w:rPr>
        <w:t>》（以下简称《规划》）。</w:t>
      </w:r>
    </w:p>
    <w:p>
      <w:pPr>
        <w:pStyle w:val="5"/>
      </w:pPr>
      <w:bookmarkStart w:id="3" w:name="_Toc88832930"/>
      <w:r>
        <w:rPr>
          <w:rStyle w:val="45"/>
          <w:bCs w:val="0"/>
        </w:rPr>
        <w:t>1</w:t>
      </w:r>
      <w:r>
        <w:rPr>
          <w:rStyle w:val="45"/>
          <w:rFonts w:hint="eastAsia"/>
          <w:bCs w:val="0"/>
        </w:rPr>
        <w:t>、</w:t>
      </w:r>
      <w:r>
        <w:rPr>
          <w:rFonts w:hint="eastAsia"/>
        </w:rPr>
        <w:t>社会经济概况</w:t>
      </w:r>
      <w:bookmarkEnd w:id="3"/>
    </w:p>
    <w:p>
      <w:pPr>
        <w:ind w:firstLine="560"/>
        <w:rPr>
          <w:rFonts w:asciiTheme="minorEastAsia" w:hAnsiTheme="minorEastAsia" w:eastAsiaTheme="minorEastAsia"/>
        </w:rPr>
      </w:pPr>
      <w:r>
        <w:rPr>
          <w:rFonts w:hint="eastAsia" w:asciiTheme="minorEastAsia" w:hAnsiTheme="minorEastAsia" w:eastAsiaTheme="minorEastAsia"/>
        </w:rPr>
        <w:t>德宏州位于云南省西南边陲，全称为“德宏傣族景颇族自治州”，全州辖芒市、梁河县、盈江县、陇川县、瑞丽市共五个县市，州人民政府驻芒市，国土面积</w:t>
      </w:r>
      <w:r>
        <w:rPr>
          <w:rFonts w:asciiTheme="minorEastAsia" w:hAnsiTheme="minorEastAsia" w:eastAsiaTheme="minorEastAsia"/>
        </w:rPr>
        <w:t>11526km</w:t>
      </w:r>
      <w:r>
        <w:rPr>
          <w:rFonts w:asciiTheme="minorEastAsia" w:hAnsiTheme="minorEastAsia" w:eastAsiaTheme="minorEastAsia"/>
          <w:vertAlign w:val="superscript"/>
        </w:rPr>
        <w:t>2</w:t>
      </w:r>
      <w:r>
        <w:rPr>
          <w:rFonts w:hint="eastAsia" w:asciiTheme="minorEastAsia" w:hAnsiTheme="minorEastAsia" w:eastAsiaTheme="minorEastAsia"/>
        </w:rPr>
        <w:t>。德宏州地理坐标为</w:t>
      </w:r>
      <w:r>
        <w:rPr>
          <w:rFonts w:asciiTheme="minorEastAsia" w:hAnsiTheme="minorEastAsia" w:eastAsiaTheme="minorEastAsia"/>
        </w:rPr>
        <w:t>东经97°32′～98°43′</w:t>
      </w:r>
      <w:r>
        <w:rPr>
          <w:rFonts w:hint="eastAsia" w:asciiTheme="minorEastAsia" w:hAnsiTheme="minorEastAsia" w:eastAsiaTheme="minorEastAsia"/>
        </w:rPr>
        <w:t>、</w:t>
      </w:r>
      <w:r>
        <w:rPr>
          <w:rFonts w:asciiTheme="minorEastAsia" w:hAnsiTheme="minorEastAsia" w:eastAsiaTheme="minorEastAsia"/>
        </w:rPr>
        <w:t>北纬23°50′～25°20′之间</w:t>
      </w:r>
      <w:r>
        <w:rPr>
          <w:rFonts w:hint="eastAsia" w:asciiTheme="minorEastAsia" w:hAnsiTheme="minorEastAsia" w:eastAsiaTheme="minorEastAsia"/>
        </w:rPr>
        <w:t>，东、北东与保山市相连，西、南部与缅甸毗邻，</w:t>
      </w:r>
      <w:r>
        <w:rPr>
          <w:rFonts w:asciiTheme="minorEastAsia" w:hAnsiTheme="minorEastAsia" w:eastAsiaTheme="minorEastAsia"/>
        </w:rPr>
        <w:t>国境线长503.8km</w:t>
      </w:r>
      <w:r>
        <w:rPr>
          <w:rFonts w:hint="eastAsia" w:asciiTheme="minorEastAsia" w:hAnsiTheme="minorEastAsia" w:eastAsiaTheme="minorEastAsia"/>
        </w:rPr>
        <w:t>，</w:t>
      </w:r>
      <w:r>
        <w:rPr>
          <w:rFonts w:asciiTheme="minorEastAsia" w:hAnsiTheme="minorEastAsia" w:eastAsiaTheme="minorEastAsia"/>
        </w:rPr>
        <w:t>除梁河县外均有出入境口岸与缅甸相连，有瑞丽、畹町两个国家级一类口岸和章凤、盈江两个二类口岸</w:t>
      </w:r>
      <w:r>
        <w:rPr>
          <w:rFonts w:hint="eastAsia" w:asciiTheme="minorEastAsia" w:hAnsiTheme="minorEastAsia" w:eastAsiaTheme="minorEastAsia"/>
        </w:rPr>
        <w:t>。</w:t>
      </w:r>
      <w:r>
        <w:rPr>
          <w:rFonts w:asciiTheme="minorEastAsia" w:hAnsiTheme="minorEastAsia" w:eastAsiaTheme="minorEastAsia"/>
        </w:rPr>
        <w:t>居住有</w:t>
      </w:r>
      <w:r>
        <w:rPr>
          <w:rFonts w:hint="eastAsia" w:asciiTheme="minorEastAsia" w:hAnsiTheme="minorEastAsia" w:eastAsiaTheme="minorEastAsia"/>
        </w:rPr>
        <w:t>傣</w:t>
      </w:r>
      <w:r>
        <w:rPr>
          <w:rFonts w:asciiTheme="minorEastAsia" w:hAnsiTheme="minorEastAsia" w:eastAsiaTheme="minorEastAsia"/>
        </w:rPr>
        <w:t>、</w:t>
      </w:r>
      <w:r>
        <w:rPr>
          <w:rFonts w:hint="eastAsia" w:asciiTheme="minorEastAsia" w:hAnsiTheme="minorEastAsia" w:eastAsiaTheme="minorEastAsia"/>
        </w:rPr>
        <w:t>景颇、德昂、阿昌、傈僳、</w:t>
      </w:r>
      <w:r>
        <w:rPr>
          <w:rFonts w:asciiTheme="minorEastAsia" w:hAnsiTheme="minorEastAsia" w:eastAsiaTheme="minorEastAsia"/>
        </w:rPr>
        <w:t>傈僳</w:t>
      </w:r>
      <w:r>
        <w:rPr>
          <w:rFonts w:hint="eastAsia" w:asciiTheme="minorEastAsia" w:hAnsiTheme="minorEastAsia" w:eastAsiaTheme="minorEastAsia"/>
        </w:rPr>
        <w:t>族</w:t>
      </w:r>
      <w:r>
        <w:rPr>
          <w:rFonts w:asciiTheme="minorEastAsia" w:hAnsiTheme="minorEastAsia" w:eastAsiaTheme="minorEastAsia"/>
        </w:rPr>
        <w:t>等</w:t>
      </w:r>
      <w:r>
        <w:rPr>
          <w:rFonts w:hint="eastAsia" w:asciiTheme="minorEastAsia" w:hAnsiTheme="minorEastAsia" w:eastAsiaTheme="minorEastAsia"/>
        </w:rPr>
        <w:t>34</w:t>
      </w:r>
      <w:r>
        <w:rPr>
          <w:rFonts w:asciiTheme="minorEastAsia" w:hAnsiTheme="minorEastAsia" w:eastAsiaTheme="minorEastAsia"/>
        </w:rPr>
        <w:t>个少数民族，</w:t>
      </w:r>
      <w:r>
        <w:rPr>
          <w:rFonts w:hint="eastAsia" w:asciiTheme="minorEastAsia" w:hAnsiTheme="minorEastAsia" w:eastAsiaTheme="minorEastAsia"/>
        </w:rPr>
        <w:t>常住人口1</w:t>
      </w:r>
      <w:r>
        <w:rPr>
          <w:rFonts w:asciiTheme="minorEastAsia" w:hAnsiTheme="minorEastAsia" w:eastAsiaTheme="minorEastAsia"/>
        </w:rPr>
        <w:t>31.5</w:t>
      </w:r>
      <w:r>
        <w:rPr>
          <w:rFonts w:hint="eastAsia" w:asciiTheme="minorEastAsia" w:hAnsiTheme="minorEastAsia" w:eastAsiaTheme="minorEastAsia"/>
        </w:rPr>
        <w:t>万人。</w:t>
      </w:r>
    </w:p>
    <w:p>
      <w:pPr>
        <w:ind w:firstLine="560"/>
      </w:pPr>
      <w:r>
        <w:rPr>
          <w:rFonts w:hint="eastAsia"/>
        </w:rPr>
        <w:t>德宏是古代南方陆上丝绸之路、中缅“金银大道”的主要出入境节点，是我国与印度洋周边国家交往的前沿窗口，是国家构建对外开放新格局、加快沿边重点地区开发开放、共商共建共享“一带一路”、构建中缅命运共同体等战略中，不可或缺的关键一环。2</w:t>
      </w:r>
      <w:r>
        <w:t>020</w:t>
      </w:r>
      <w:r>
        <w:rPr>
          <w:rFonts w:hint="eastAsia"/>
        </w:rPr>
        <w:t>年，全州实现生产总值5</w:t>
      </w:r>
      <w:r>
        <w:t>75.54</w:t>
      </w:r>
      <w:r>
        <w:rPr>
          <w:rFonts w:hint="eastAsia"/>
        </w:rPr>
        <w:t>亿元，人均GDP为4</w:t>
      </w:r>
      <w:r>
        <w:t>.35</w:t>
      </w:r>
      <w:r>
        <w:rPr>
          <w:rFonts w:hint="eastAsia"/>
        </w:rPr>
        <w:t>万元。全州财政收入完成6</w:t>
      </w:r>
      <w:r>
        <w:t>4.47</w:t>
      </w:r>
      <w:r>
        <w:rPr>
          <w:rFonts w:hint="eastAsia"/>
        </w:rPr>
        <w:t>亿元；农业总产值1</w:t>
      </w:r>
      <w:r>
        <w:t>25.83</w:t>
      </w:r>
      <w:r>
        <w:rPr>
          <w:rFonts w:hint="eastAsia"/>
        </w:rPr>
        <w:t>亿元；林业总产值1</w:t>
      </w:r>
      <w:r>
        <w:t>8.54</w:t>
      </w:r>
      <w:r>
        <w:rPr>
          <w:rFonts w:hint="eastAsia"/>
        </w:rPr>
        <w:t>亿元；牧业总产值3</w:t>
      </w:r>
      <w:r>
        <w:t>8.6</w:t>
      </w:r>
      <w:r>
        <w:rPr>
          <w:rFonts w:hint="eastAsia"/>
        </w:rPr>
        <w:t>亿元；渔业总产值4</w:t>
      </w:r>
      <w:r>
        <w:t>.42</w:t>
      </w:r>
      <w:r>
        <w:rPr>
          <w:rFonts w:hint="eastAsia"/>
        </w:rPr>
        <w:t>亿元。全州农作物总播种面积3</w:t>
      </w:r>
      <w:r>
        <w:t>87.43</w:t>
      </w:r>
      <w:r>
        <w:rPr>
          <w:rFonts w:hint="eastAsia"/>
        </w:rPr>
        <w:t>亩，主要农作物为粮食、油料、甘蔗、蔬菜、烟叶；粮食总产量6</w:t>
      </w:r>
      <w:r>
        <w:t>8.69</w:t>
      </w:r>
      <w:r>
        <w:rPr>
          <w:rFonts w:hint="eastAsia"/>
        </w:rPr>
        <w:t>万吨，主要粮食品种为稻谷、小麦、玉米、豆类。2</w:t>
      </w:r>
      <w:r>
        <w:t>020</w:t>
      </w:r>
      <w:r>
        <w:rPr>
          <w:rFonts w:hint="eastAsia"/>
        </w:rPr>
        <w:t>年，全州森林面积8</w:t>
      </w:r>
      <w:r>
        <w:t>0.26</w:t>
      </w:r>
      <w:r>
        <w:rPr>
          <w:rFonts w:hint="eastAsia"/>
        </w:rPr>
        <w:t>万公顷，森林覆盖率达7</w:t>
      </w:r>
      <w:r>
        <w:t>1.84</w:t>
      </w:r>
      <w:r>
        <w:rPr>
          <w:rFonts w:hint="eastAsia"/>
        </w:rPr>
        <w:t>%。</w:t>
      </w:r>
    </w:p>
    <w:p>
      <w:pPr>
        <w:pStyle w:val="5"/>
      </w:pPr>
      <w:bookmarkStart w:id="4" w:name="_Toc88832931"/>
      <w:r>
        <w:rPr>
          <w:rFonts w:hint="eastAsia"/>
        </w:rPr>
        <w:t>2、规划目的</w:t>
      </w:r>
      <w:bookmarkEnd w:id="4"/>
    </w:p>
    <w:p>
      <w:pPr>
        <w:ind w:firstLine="560"/>
      </w:pPr>
      <w:r>
        <w:rPr>
          <w:rFonts w:hint="eastAsia"/>
        </w:rPr>
        <w:t>为切实、有效地做好地质灾害防治工作，在保证能够</w:t>
      </w:r>
      <w:r>
        <w:t>主动地、有预见性地部署和开展地质灾害防治工作，更好地保护人民群众生命安全，有效避免或最大限度地减轻地质灾害造成的财产损失及环境破坏</w:t>
      </w:r>
      <w:r>
        <w:rPr>
          <w:rFonts w:hint="eastAsia"/>
        </w:rPr>
        <w:t>的同时，进一步完善地质灾害综合防治体系，全面提高地质灾害综合防治能力，维护全州经济社会全面协调可持续发展，促进社会的繁荣安定</w:t>
      </w:r>
      <w:r>
        <w:t>。</w:t>
      </w:r>
    </w:p>
    <w:p>
      <w:pPr>
        <w:pStyle w:val="5"/>
      </w:pPr>
      <w:bookmarkStart w:id="5" w:name="_Toc88832932"/>
      <w:r>
        <w:rPr>
          <w:rFonts w:hint="eastAsia"/>
        </w:rPr>
        <w:t>3、规划依据</w:t>
      </w:r>
      <w:bookmarkEnd w:id="5"/>
    </w:p>
    <w:p>
      <w:pPr>
        <w:ind w:firstLine="560"/>
      </w:pPr>
      <w:r>
        <w:rPr>
          <w:rFonts w:hint="eastAsia"/>
        </w:rPr>
        <w:t>本规划执行和参照的依据，主要有中央和省关于地质灾害防治的法律法规和对地质灾害防治提出的各项指示和要求，省、州、区的规划及区划文件，前期技术成果依据，以及专业相关的技术标准规范。</w:t>
      </w:r>
    </w:p>
    <w:p>
      <w:pPr>
        <w:pStyle w:val="5"/>
      </w:pPr>
      <w:bookmarkStart w:id="6" w:name="_Toc88832933"/>
      <w:r>
        <w:rPr>
          <w:rFonts w:hint="eastAsia"/>
        </w:rPr>
        <w:t>4、规划区范围及对象</w:t>
      </w:r>
      <w:bookmarkEnd w:id="6"/>
    </w:p>
    <w:p>
      <w:pPr>
        <w:ind w:firstLine="560"/>
      </w:pPr>
      <w:r>
        <w:rPr>
          <w:rFonts w:hint="eastAsia"/>
        </w:rPr>
        <w:t>规划区包括德宏州两市三县共</w:t>
      </w:r>
      <w:r>
        <w:rPr>
          <w:rFonts w:asciiTheme="minorEastAsia" w:hAnsiTheme="minorEastAsia" w:eastAsiaTheme="minorEastAsia"/>
        </w:rPr>
        <w:t>11526km</w:t>
      </w:r>
      <w:r>
        <w:rPr>
          <w:rFonts w:asciiTheme="minorEastAsia" w:hAnsiTheme="minorEastAsia" w:eastAsiaTheme="minorEastAsia"/>
          <w:vertAlign w:val="superscript"/>
        </w:rPr>
        <w:t>2</w:t>
      </w:r>
      <w:r>
        <w:rPr>
          <w:rFonts w:hint="eastAsia" w:asciiTheme="minorEastAsia" w:hAnsiTheme="minorEastAsia" w:eastAsiaTheme="minorEastAsia"/>
        </w:rPr>
        <w:t>的行政区范围。</w:t>
      </w:r>
      <w:r>
        <w:rPr>
          <w:rFonts w:hint="eastAsia"/>
        </w:rPr>
        <w:t>《规划》所称的地质灾害，是指主要由不可预见或者不可抗拒的自然因素引发的或受目前技术水平难以查明和预见的地质灾害隐患（风险），且危害、威胁对象主要为城乡居民。</w:t>
      </w:r>
    </w:p>
    <w:p>
      <w:pPr>
        <w:pStyle w:val="5"/>
      </w:pPr>
      <w:bookmarkStart w:id="7" w:name="_Toc88832934"/>
      <w:r>
        <w:rPr>
          <w:rFonts w:hint="eastAsia"/>
        </w:rPr>
        <w:t>5、规划期及基准年</w:t>
      </w:r>
      <w:bookmarkEnd w:id="7"/>
    </w:p>
    <w:p>
      <w:pPr>
        <w:ind w:firstLine="560"/>
        <w:rPr>
          <w:kern w:val="0"/>
        </w:rPr>
      </w:pPr>
      <w:r>
        <w:rPr>
          <w:rFonts w:hint="eastAsia"/>
          <w:kern w:val="0"/>
        </w:rPr>
        <w:t>规划期为2</w:t>
      </w:r>
      <w:r>
        <w:rPr>
          <w:kern w:val="0"/>
        </w:rPr>
        <w:t>02</w:t>
      </w:r>
      <w:r>
        <w:rPr>
          <w:rFonts w:hint="eastAsia"/>
          <w:kern w:val="0"/>
        </w:rPr>
        <w:t>1年至2</w:t>
      </w:r>
      <w:r>
        <w:rPr>
          <w:kern w:val="0"/>
        </w:rPr>
        <w:t>025</w:t>
      </w:r>
      <w:r>
        <w:rPr>
          <w:rFonts w:hint="eastAsia"/>
          <w:kern w:val="0"/>
        </w:rPr>
        <w:t>年，</w:t>
      </w:r>
      <w:r>
        <w:rPr>
          <w:kern w:val="0"/>
        </w:rPr>
        <w:t>规划基准年为</w:t>
      </w:r>
      <w:r>
        <w:rPr>
          <w:rFonts w:hint="eastAsia"/>
          <w:kern w:val="0"/>
        </w:rPr>
        <w:t>2020</w:t>
      </w:r>
      <w:r>
        <w:rPr>
          <w:kern w:val="0"/>
        </w:rPr>
        <w:t>年，规划期为</w:t>
      </w:r>
      <w:r>
        <w:rPr>
          <w:rFonts w:hint="eastAsia"/>
          <w:kern w:val="0"/>
        </w:rPr>
        <w:t>5年</w:t>
      </w:r>
      <w:r>
        <w:rPr>
          <w:kern w:val="0"/>
        </w:rPr>
        <w:t>。</w:t>
      </w:r>
    </w:p>
    <w:p>
      <w:pPr>
        <w:ind w:firstLine="560"/>
        <w:rPr>
          <w:kern w:val="0"/>
        </w:rPr>
      </w:pPr>
      <w:r>
        <w:rPr>
          <w:kern w:val="0"/>
        </w:rPr>
        <w:t>目标年</w:t>
      </w:r>
      <w:r>
        <w:rPr>
          <w:rFonts w:hint="eastAsia"/>
          <w:kern w:val="0"/>
        </w:rPr>
        <w:t>为2025年，展望到2035年。</w:t>
      </w:r>
    </w:p>
    <w:p>
      <w:pPr>
        <w:pStyle w:val="4"/>
        <w:spacing w:before="240" w:after="120"/>
      </w:pPr>
      <w:bookmarkStart w:id="8" w:name="_Toc88832935"/>
      <w:r>
        <w:rPr>
          <w:rFonts w:hint="eastAsia"/>
        </w:rPr>
        <w:t>（一）地质灾害现状</w:t>
      </w:r>
      <w:bookmarkEnd w:id="8"/>
    </w:p>
    <w:p>
      <w:pPr>
        <w:pStyle w:val="5"/>
      </w:pPr>
      <w:bookmarkStart w:id="9" w:name="_Toc88832936"/>
      <w:r>
        <w:rPr>
          <w:rFonts w:hint="eastAsia"/>
        </w:rPr>
        <w:t>1、地质环境基本特点</w:t>
      </w:r>
      <w:bookmarkEnd w:id="9"/>
    </w:p>
    <w:p>
      <w:pPr>
        <w:ind w:firstLine="560"/>
      </w:pPr>
      <w:r>
        <w:rPr>
          <w:rFonts w:hint="eastAsia"/>
        </w:rPr>
        <w:t>德宏州水系发育，分布</w:t>
      </w:r>
      <w:r>
        <w:t>有“三江四河”</w:t>
      </w:r>
      <w:r>
        <w:rPr>
          <w:rFonts w:hint="eastAsia"/>
        </w:rPr>
        <w:t>；</w:t>
      </w:r>
      <w:r>
        <w:rPr>
          <w:rFonts w:hint="eastAsia" w:ascii="Verdana" w:hAnsi="Verdana"/>
        </w:rPr>
        <w:t>地处低纬高原，属南亚热带气候；</w:t>
      </w:r>
      <w:r>
        <w:rPr>
          <w:rFonts w:hint="eastAsia" w:hAnsi="宋体"/>
        </w:rPr>
        <w:t>植物种类繁多，</w:t>
      </w:r>
      <w:r>
        <w:rPr>
          <w:rFonts w:hAnsi="宋体"/>
        </w:rPr>
        <w:t>森林覆盖率</w:t>
      </w:r>
      <w:r>
        <w:rPr>
          <w:rFonts w:hint="eastAsia" w:hAnsi="宋体"/>
        </w:rPr>
        <w:t>达</w:t>
      </w:r>
      <w:r>
        <w:rPr>
          <w:rFonts w:hAnsi="宋体"/>
        </w:rPr>
        <w:t>71.84%</w:t>
      </w:r>
      <w:r>
        <w:rPr>
          <w:rFonts w:hint="eastAsia" w:hAnsi="宋体"/>
        </w:rPr>
        <w:t>；地貌上处于云南高原西部边缘地带，横断山脉的南延部分，</w:t>
      </w:r>
      <w:r>
        <w:rPr>
          <w:rFonts w:ascii="Times New Roman"/>
          <w:szCs w:val="24"/>
        </w:rPr>
        <w:t>地形复杂，</w:t>
      </w:r>
      <w:r>
        <w:rPr>
          <w:rFonts w:hint="eastAsia" w:ascii="Times New Roman"/>
          <w:szCs w:val="24"/>
        </w:rPr>
        <w:t>地貌种类齐全；地层</w:t>
      </w:r>
      <w:r>
        <w:rPr>
          <w:rFonts w:hint="eastAsia"/>
        </w:rPr>
        <w:t>从元古界至第四系均有发育，火成岩、沉积岩、变质岩及松散堆积物均有分布；地下水类型齐全，富水性多样，水文地质条件复杂；在区域上处于冈底斯-念青唐古拉褶皱系之二级构造单元伯舒拉岭-高黎贡山褶皱带及福贡-镇康褶皱带，区内断裂、褶皱构造发育；受活动断裂控制，地震多发。总体地质环境条件复杂。</w:t>
      </w:r>
    </w:p>
    <w:p>
      <w:pPr>
        <w:pStyle w:val="5"/>
      </w:pPr>
      <w:bookmarkStart w:id="10" w:name="_Toc88832937"/>
      <w:r>
        <w:rPr>
          <w:rFonts w:hint="eastAsia"/>
        </w:rPr>
        <w:t>2、地质灾害主要类型</w:t>
      </w:r>
      <w:bookmarkEnd w:id="10"/>
    </w:p>
    <w:p>
      <w:pPr>
        <w:ind w:firstLine="560"/>
      </w:pPr>
      <w:r>
        <w:rPr>
          <w:rFonts w:hint="eastAsia"/>
        </w:rPr>
        <w:t>德宏州发育的地质灾害主要为崩塌、滑坡、泥石流，局部有地面塌陷。</w:t>
      </w:r>
    </w:p>
    <w:p>
      <w:pPr>
        <w:ind w:firstLine="560"/>
      </w:pPr>
      <w:r>
        <w:rPr>
          <w:rFonts w:hint="eastAsia"/>
        </w:rPr>
        <w:t>“十三五”初期，德宏州共有地质灾害隐患918处，威胁人口133347人，威胁资产315156万元，“十三五”期间共核销隐患243处。截止2</w:t>
      </w:r>
      <w:r>
        <w:t>02</w:t>
      </w:r>
      <w:r>
        <w:rPr>
          <w:rFonts w:hint="eastAsia"/>
        </w:rPr>
        <w:t>0年底，全州共有地质灾害隐患896处(其中：崩塌8处，滑坡664处，泥石流223处、地面塌陷1处，各类地质灾害隐患按其规模分级列于下表1-</w:t>
      </w:r>
      <w:r>
        <w:t>1</w:t>
      </w:r>
      <w:r>
        <w:rPr>
          <w:rFonts w:hint="eastAsia"/>
        </w:rPr>
        <w:t>，地质灾害隐患总数较“十三五”时期减少22处。各县地质灾害分布情况见下表1-</w:t>
      </w:r>
      <w:r>
        <w:t>2</w:t>
      </w:r>
      <w:r>
        <w:rPr>
          <w:rFonts w:hint="eastAsia"/>
        </w:rPr>
        <w:t>。</w:t>
      </w:r>
    </w:p>
    <w:p>
      <w:pPr>
        <w:spacing w:line="240" w:lineRule="auto"/>
        <w:ind w:firstLine="0" w:firstLineChars="0"/>
        <w:jc w:val="center"/>
        <w:rPr>
          <w:b/>
          <w:bCs/>
          <w:sz w:val="24"/>
          <w:szCs w:val="24"/>
        </w:rPr>
      </w:pPr>
      <w:r>
        <w:rPr>
          <w:rFonts w:hint="eastAsia"/>
          <w:b/>
          <w:bCs/>
          <w:sz w:val="24"/>
          <w:szCs w:val="24"/>
        </w:rPr>
        <w:t>表1-</w:t>
      </w:r>
      <w:r>
        <w:rPr>
          <w:b/>
          <w:bCs/>
          <w:sz w:val="24"/>
          <w:szCs w:val="24"/>
        </w:rPr>
        <w:t xml:space="preserve">1 </w:t>
      </w:r>
      <w:r>
        <w:rPr>
          <w:rFonts w:hint="eastAsia"/>
          <w:b/>
          <w:bCs/>
          <w:sz w:val="24"/>
          <w:szCs w:val="24"/>
        </w:rPr>
        <w:t>德宏州地质灾害隐患统计表</w:t>
      </w:r>
    </w:p>
    <w:tbl>
      <w:tblPr>
        <w:tblStyle w:val="36"/>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367"/>
        <w:gridCol w:w="1367"/>
        <w:gridCol w:w="1367"/>
        <w:gridCol w:w="1367"/>
        <w:gridCol w:w="1367"/>
        <w:gridCol w:w="1368"/>
        <w:gridCol w:w="977"/>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tcBorders>
              <w:right w:val="single" w:color="auto" w:sz="4" w:space="0"/>
              <w:tl2br w:val="single" w:color="auto" w:sz="4" w:space="0"/>
            </w:tcBorders>
            <w:vAlign w:val="center"/>
          </w:tcPr>
          <w:p>
            <w:pPr>
              <w:spacing w:line="240" w:lineRule="auto"/>
              <w:ind w:firstLine="630" w:firstLineChars="300"/>
              <w:jc w:val="center"/>
              <w:rPr>
                <w:rFonts w:asciiTheme="minorEastAsia" w:hAnsiTheme="minorEastAsia" w:eastAsiaTheme="minorEastAsia"/>
                <w:sz w:val="21"/>
              </w:rPr>
            </w:pPr>
            <w:r>
              <w:rPr>
                <w:rFonts w:hint="eastAsia" w:asciiTheme="minorEastAsia" w:hAnsiTheme="minorEastAsia" w:eastAsiaTheme="minorEastAsia"/>
                <w:sz w:val="21"/>
              </w:rPr>
              <w:t>规模</w:t>
            </w:r>
          </w:p>
          <w:p>
            <w:pPr>
              <w:spacing w:line="240" w:lineRule="auto"/>
              <w:ind w:firstLine="0" w:firstLineChars="0"/>
              <w:rPr>
                <w:rFonts w:asciiTheme="minorEastAsia" w:hAnsiTheme="minorEastAsia" w:eastAsiaTheme="minorEastAsia"/>
                <w:sz w:val="21"/>
              </w:rPr>
            </w:pPr>
            <w:r>
              <w:rPr>
                <w:rFonts w:hint="eastAsia" w:asciiTheme="minorEastAsia" w:hAnsiTheme="minorEastAsia" w:eastAsiaTheme="minorEastAsia"/>
                <w:sz w:val="21"/>
              </w:rPr>
              <w:t>类型</w:t>
            </w:r>
          </w:p>
        </w:tc>
        <w:tc>
          <w:tcPr>
            <w:tcW w:w="1367" w:type="dxa"/>
            <w:tcBorders>
              <w:left w:val="single" w:color="auto" w:sz="4" w:space="0"/>
            </w:tcBorders>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特大型</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大型</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中型</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小型</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合计</w:t>
            </w:r>
          </w:p>
        </w:tc>
        <w:tc>
          <w:tcPr>
            <w:tcW w:w="97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滑坡</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185</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468</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664</w:t>
            </w:r>
          </w:p>
        </w:tc>
        <w:tc>
          <w:tcPr>
            <w:tcW w:w="97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74.11%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崩塌</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w:t>
            </w:r>
          </w:p>
        </w:tc>
        <w:tc>
          <w:tcPr>
            <w:tcW w:w="97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0.89%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泥石流</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36</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103</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223</w:t>
            </w:r>
          </w:p>
        </w:tc>
        <w:tc>
          <w:tcPr>
            <w:tcW w:w="97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24.89%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地面塌陷</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w:t>
            </w:r>
          </w:p>
        </w:tc>
        <w:tc>
          <w:tcPr>
            <w:tcW w:w="97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0.11%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合计</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46</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269</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578</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896</w:t>
            </w:r>
          </w:p>
        </w:tc>
        <w:tc>
          <w:tcPr>
            <w:tcW w:w="97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0.56%</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5.13%</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30.02%</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64.29%</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100%</w:t>
            </w:r>
          </w:p>
        </w:tc>
        <w:tc>
          <w:tcPr>
            <w:tcW w:w="977" w:type="dxa"/>
            <w:vAlign w:val="center"/>
          </w:tcPr>
          <w:p>
            <w:pPr>
              <w:spacing w:line="240" w:lineRule="auto"/>
              <w:ind w:firstLine="0" w:firstLineChars="0"/>
              <w:jc w:val="center"/>
              <w:rPr>
                <w:rFonts w:asciiTheme="minorEastAsia" w:hAnsiTheme="minorEastAsia" w:eastAsiaTheme="minorEastAsia"/>
                <w:sz w:val="21"/>
              </w:rPr>
            </w:pPr>
          </w:p>
        </w:tc>
      </w:tr>
    </w:tbl>
    <w:p>
      <w:pPr>
        <w:ind w:firstLine="0" w:firstLineChars="0"/>
        <w:jc w:val="center"/>
        <w:rPr>
          <w:b/>
          <w:bCs/>
          <w:sz w:val="24"/>
          <w:szCs w:val="24"/>
        </w:rPr>
      </w:pPr>
    </w:p>
    <w:p>
      <w:pPr>
        <w:ind w:firstLine="0" w:firstLineChars="0"/>
        <w:jc w:val="center"/>
        <w:rPr>
          <w:b/>
          <w:bCs/>
          <w:sz w:val="24"/>
          <w:szCs w:val="24"/>
        </w:rPr>
      </w:pPr>
      <w:r>
        <w:rPr>
          <w:rFonts w:hint="eastAsia"/>
          <w:b/>
          <w:bCs/>
          <w:sz w:val="24"/>
          <w:szCs w:val="24"/>
        </w:rPr>
        <w:t>表1-</w:t>
      </w:r>
      <w:r>
        <w:rPr>
          <w:b/>
          <w:bCs/>
          <w:sz w:val="24"/>
          <w:szCs w:val="24"/>
        </w:rPr>
        <w:t>2</w:t>
      </w:r>
      <w:r>
        <w:rPr>
          <w:rFonts w:hint="eastAsia"/>
          <w:b/>
          <w:bCs/>
          <w:sz w:val="24"/>
          <w:szCs w:val="24"/>
        </w:rPr>
        <w:t>德宏州各县（市）地质灾害隐患分布统计表</w:t>
      </w:r>
    </w:p>
    <w:tbl>
      <w:tblPr>
        <w:tblStyle w:val="36"/>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367"/>
        <w:gridCol w:w="1367"/>
        <w:gridCol w:w="1367"/>
        <w:gridCol w:w="1367"/>
        <w:gridCol w:w="1367"/>
        <w:gridCol w:w="1368"/>
        <w:gridCol w:w="106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tcBorders>
              <w:right w:val="single" w:color="auto" w:sz="4" w:space="0"/>
              <w:tl2br w:val="single" w:color="auto" w:sz="4" w:space="0"/>
            </w:tcBorders>
            <w:vAlign w:val="center"/>
          </w:tcPr>
          <w:p>
            <w:pPr>
              <w:spacing w:line="240" w:lineRule="auto"/>
              <w:ind w:firstLine="630" w:firstLineChars="300"/>
              <w:jc w:val="center"/>
              <w:rPr>
                <w:rFonts w:asciiTheme="minorEastAsia" w:hAnsiTheme="minorEastAsia" w:eastAsiaTheme="minorEastAsia"/>
                <w:sz w:val="21"/>
              </w:rPr>
            </w:pPr>
            <w:r>
              <w:rPr>
                <w:rFonts w:hint="eastAsia" w:asciiTheme="minorEastAsia" w:hAnsiTheme="minorEastAsia" w:eastAsiaTheme="minorEastAsia"/>
                <w:sz w:val="21"/>
              </w:rPr>
              <w:t>规模</w:t>
            </w:r>
          </w:p>
          <w:p>
            <w:pPr>
              <w:spacing w:line="240" w:lineRule="auto"/>
              <w:ind w:firstLine="0" w:firstLineChars="0"/>
              <w:rPr>
                <w:rFonts w:asciiTheme="minorEastAsia" w:hAnsiTheme="minorEastAsia" w:eastAsiaTheme="minorEastAsia"/>
                <w:sz w:val="21"/>
              </w:rPr>
            </w:pPr>
            <w:r>
              <w:rPr>
                <w:rFonts w:hint="eastAsia" w:asciiTheme="minorEastAsia" w:hAnsiTheme="minorEastAsia" w:eastAsiaTheme="minorEastAsia"/>
                <w:sz w:val="21"/>
              </w:rPr>
              <w:t>分布</w:t>
            </w:r>
          </w:p>
        </w:tc>
        <w:tc>
          <w:tcPr>
            <w:tcW w:w="1367" w:type="dxa"/>
            <w:tcBorders>
              <w:left w:val="single" w:color="auto" w:sz="4" w:space="0"/>
            </w:tcBorders>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特大型</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大型</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中型</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小型</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合计</w:t>
            </w:r>
          </w:p>
        </w:tc>
        <w:tc>
          <w:tcPr>
            <w:tcW w:w="106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芒市</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77</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87</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169</w:t>
            </w:r>
          </w:p>
        </w:tc>
        <w:tc>
          <w:tcPr>
            <w:tcW w:w="106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18.86%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梁河</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205</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281</w:t>
            </w:r>
          </w:p>
        </w:tc>
        <w:tc>
          <w:tcPr>
            <w:tcW w:w="106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31.36%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盈江</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25</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73</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139</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24</w:t>
            </w:r>
            <w:r>
              <w:rPr>
                <w:rFonts w:asciiTheme="minorEastAsia" w:hAnsiTheme="minorEastAsia" w:eastAsiaTheme="minorEastAsia"/>
                <w:sz w:val="21"/>
              </w:rPr>
              <w:t>0</w:t>
            </w:r>
          </w:p>
        </w:tc>
        <w:tc>
          <w:tcPr>
            <w:tcW w:w="106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26.79%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陇川</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28</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103</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131</w:t>
            </w:r>
          </w:p>
        </w:tc>
        <w:tc>
          <w:tcPr>
            <w:tcW w:w="106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14.62%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瑞丽</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12</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21</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42</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75</w:t>
            </w:r>
          </w:p>
        </w:tc>
        <w:tc>
          <w:tcPr>
            <w:tcW w:w="106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8.37%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合计</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46</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269</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578</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896</w:t>
            </w:r>
          </w:p>
        </w:tc>
        <w:tc>
          <w:tcPr>
            <w:tcW w:w="106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0.56%</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5.13%</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30.02%</w:t>
            </w:r>
          </w:p>
        </w:tc>
        <w:tc>
          <w:tcPr>
            <w:tcW w:w="1367"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64.29%</w:t>
            </w:r>
          </w:p>
        </w:tc>
        <w:tc>
          <w:tcPr>
            <w:tcW w:w="136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100%</w:t>
            </w:r>
          </w:p>
        </w:tc>
        <w:tc>
          <w:tcPr>
            <w:tcW w:w="1066" w:type="dxa"/>
            <w:vAlign w:val="center"/>
          </w:tcPr>
          <w:p>
            <w:pPr>
              <w:spacing w:line="240" w:lineRule="auto"/>
              <w:ind w:firstLine="0" w:firstLineChars="0"/>
              <w:jc w:val="center"/>
              <w:rPr>
                <w:rFonts w:asciiTheme="minorEastAsia" w:hAnsiTheme="minorEastAsia" w:eastAsiaTheme="minorEastAsia"/>
                <w:sz w:val="21"/>
              </w:rPr>
            </w:pPr>
          </w:p>
        </w:tc>
      </w:tr>
    </w:tbl>
    <w:p>
      <w:pPr>
        <w:pStyle w:val="5"/>
      </w:pPr>
      <w:bookmarkStart w:id="11" w:name="_Toc88832938"/>
      <w:r>
        <w:rPr>
          <w:rFonts w:hint="eastAsia"/>
        </w:rPr>
        <w:t>3、地质灾害威胁情况</w:t>
      </w:r>
      <w:bookmarkEnd w:id="11"/>
    </w:p>
    <w:p>
      <w:pPr>
        <w:ind w:firstLine="560"/>
      </w:pPr>
      <w:r>
        <w:rPr>
          <w:rFonts w:hint="eastAsia"/>
        </w:rPr>
        <w:t>全州现状自然地质灾害主要威胁村庄、集镇、农田耕地、公路及学校等设施，目前共威胁122728人，威胁资产369675万元。根据各地质灾害隐患威胁的人口及资产划分地质灾害险情等级列表统计如下（表1-</w:t>
      </w:r>
      <w:r>
        <w:t>3</w:t>
      </w:r>
      <w:r>
        <w:rPr>
          <w:rFonts w:hint="eastAsia"/>
        </w:rPr>
        <w:t>、1-</w:t>
      </w:r>
      <w:r>
        <w:t>4</w:t>
      </w:r>
      <w:r>
        <w:rPr>
          <w:rFonts w:hint="eastAsia"/>
        </w:rPr>
        <w:t>、1-</w:t>
      </w:r>
      <w:r>
        <w:t>5</w:t>
      </w:r>
      <w:r>
        <w:rPr>
          <w:rFonts w:hint="eastAsia"/>
        </w:rPr>
        <w:t>）。</w:t>
      </w:r>
    </w:p>
    <w:p>
      <w:pPr>
        <w:ind w:firstLine="0" w:firstLineChars="0"/>
        <w:jc w:val="center"/>
        <w:rPr>
          <w:b/>
          <w:bCs/>
          <w:sz w:val="24"/>
          <w:szCs w:val="24"/>
        </w:rPr>
      </w:pPr>
    </w:p>
    <w:p>
      <w:pPr>
        <w:ind w:firstLine="0" w:firstLineChars="0"/>
        <w:jc w:val="center"/>
        <w:rPr>
          <w:b/>
          <w:bCs/>
          <w:sz w:val="24"/>
          <w:szCs w:val="24"/>
        </w:rPr>
      </w:pPr>
      <w:r>
        <w:rPr>
          <w:rFonts w:hint="eastAsia"/>
          <w:b/>
          <w:bCs/>
          <w:sz w:val="24"/>
          <w:szCs w:val="24"/>
        </w:rPr>
        <w:t>表1-</w:t>
      </w:r>
      <w:r>
        <w:rPr>
          <w:b/>
          <w:bCs/>
          <w:sz w:val="24"/>
          <w:szCs w:val="24"/>
        </w:rPr>
        <w:t>3</w:t>
      </w:r>
      <w:r>
        <w:rPr>
          <w:rFonts w:hint="eastAsia"/>
          <w:b/>
          <w:bCs/>
          <w:sz w:val="24"/>
          <w:szCs w:val="24"/>
        </w:rPr>
        <w:t>德宏州不同规模地质灾害威胁情况统计表</w:t>
      </w:r>
    </w:p>
    <w:tbl>
      <w:tblPr>
        <w:tblStyle w:val="36"/>
        <w:tblW w:w="9549"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665"/>
        <w:gridCol w:w="769"/>
        <w:gridCol w:w="846"/>
        <w:gridCol w:w="850"/>
        <w:gridCol w:w="981"/>
        <w:gridCol w:w="851"/>
        <w:gridCol w:w="850"/>
        <w:gridCol w:w="846"/>
        <w:gridCol w:w="846"/>
        <w:gridCol w:w="104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450" w:hRule="atLeast"/>
          <w:jc w:val="center"/>
        </w:trPr>
        <w:tc>
          <w:tcPr>
            <w:tcW w:w="1685" w:type="dxa"/>
            <w:vMerge w:val="restart"/>
            <w:tcBorders>
              <w:right w:val="single" w:color="auto" w:sz="4" w:space="0"/>
              <w:tl2br w:val="single" w:color="auto" w:sz="4" w:space="0"/>
            </w:tcBorders>
            <w:vAlign w:val="center"/>
          </w:tcPr>
          <w:p>
            <w:pPr>
              <w:spacing w:line="240" w:lineRule="auto"/>
              <w:ind w:firstLine="630" w:firstLineChars="300"/>
              <w:jc w:val="center"/>
              <w:rPr>
                <w:rFonts w:asciiTheme="minorEastAsia" w:hAnsiTheme="minorEastAsia" w:eastAsiaTheme="minorEastAsia"/>
                <w:sz w:val="21"/>
              </w:rPr>
            </w:pPr>
            <w:r>
              <w:rPr>
                <w:rFonts w:hint="eastAsia" w:asciiTheme="minorEastAsia" w:hAnsiTheme="minorEastAsia" w:eastAsiaTheme="minorEastAsia"/>
                <w:sz w:val="21"/>
              </w:rPr>
              <w:t>规模</w:t>
            </w:r>
          </w:p>
          <w:p>
            <w:pPr>
              <w:spacing w:line="240" w:lineRule="auto"/>
              <w:ind w:firstLine="0" w:firstLineChars="0"/>
              <w:rPr>
                <w:rFonts w:asciiTheme="minorEastAsia" w:hAnsiTheme="minorEastAsia" w:eastAsiaTheme="minorEastAsia"/>
                <w:sz w:val="21"/>
              </w:rPr>
            </w:pPr>
            <w:r>
              <w:rPr>
                <w:rFonts w:hint="eastAsia" w:asciiTheme="minorEastAsia" w:hAnsiTheme="minorEastAsia" w:eastAsiaTheme="minorEastAsia"/>
                <w:sz w:val="21"/>
              </w:rPr>
              <w:t>威胁</w:t>
            </w:r>
          </w:p>
        </w:tc>
        <w:tc>
          <w:tcPr>
            <w:tcW w:w="1621"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特大型</w:t>
            </w:r>
          </w:p>
        </w:tc>
        <w:tc>
          <w:tcPr>
            <w:tcW w:w="1842"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大型</w:t>
            </w:r>
          </w:p>
        </w:tc>
        <w:tc>
          <w:tcPr>
            <w:tcW w:w="1701"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中型</w:t>
            </w:r>
          </w:p>
        </w:tc>
        <w:tc>
          <w:tcPr>
            <w:tcW w:w="1646"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小型</w:t>
            </w:r>
          </w:p>
        </w:tc>
        <w:tc>
          <w:tcPr>
            <w:tcW w:w="1054" w:type="dxa"/>
            <w:vMerge w:val="restart"/>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合计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4" w:hRule="atLeast"/>
          <w:jc w:val="center"/>
        </w:trPr>
        <w:tc>
          <w:tcPr>
            <w:tcW w:w="1685" w:type="dxa"/>
            <w:vMerge w:val="continue"/>
            <w:tcBorders>
              <w:right w:val="single" w:color="auto" w:sz="4" w:space="0"/>
              <w:tl2br w:val="single" w:color="auto" w:sz="4" w:space="0"/>
            </w:tcBorders>
            <w:vAlign w:val="center"/>
          </w:tcPr>
          <w:p>
            <w:pPr>
              <w:spacing w:line="240" w:lineRule="auto"/>
              <w:ind w:firstLine="630" w:firstLineChars="300"/>
              <w:jc w:val="center"/>
              <w:rPr>
                <w:rFonts w:asciiTheme="minorEastAsia" w:hAnsiTheme="minorEastAsia" w:eastAsiaTheme="minorEastAsia"/>
                <w:sz w:val="21"/>
              </w:rPr>
            </w:pPr>
          </w:p>
        </w:tc>
        <w:tc>
          <w:tcPr>
            <w:tcW w:w="770" w:type="dxa"/>
            <w:tcBorders>
              <w:right w:val="single" w:color="auto" w:sz="4" w:space="0"/>
            </w:tcBorders>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851" w:type="dxa"/>
            <w:tcBorders>
              <w:left w:val="single" w:color="auto" w:sz="4" w:space="0"/>
            </w:tcBorders>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99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79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1054" w:type="dxa"/>
            <w:vMerge w:val="continue"/>
            <w:vAlign w:val="center"/>
          </w:tcPr>
          <w:p>
            <w:pPr>
              <w:spacing w:line="240" w:lineRule="auto"/>
              <w:ind w:firstLine="0" w:firstLineChars="0"/>
              <w:jc w:val="center"/>
              <w:rPr>
                <w:rFonts w:asciiTheme="minorEastAsia" w:hAnsiTheme="minorEastAsia" w:eastAsiaTheme="minorEastAsia"/>
                <w:sz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8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隐患数量（处）</w:t>
            </w:r>
          </w:p>
        </w:tc>
        <w:tc>
          <w:tcPr>
            <w:tcW w:w="77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0.56%</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46</w:t>
            </w:r>
          </w:p>
        </w:tc>
        <w:tc>
          <w:tcPr>
            <w:tcW w:w="99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5.13%</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269</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30.02%</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578</w:t>
            </w:r>
          </w:p>
        </w:tc>
        <w:tc>
          <w:tcPr>
            <w:tcW w:w="79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64.29%</w:t>
            </w:r>
          </w:p>
        </w:tc>
        <w:tc>
          <w:tcPr>
            <w:tcW w:w="1054"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896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8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人口（人）</w:t>
            </w:r>
          </w:p>
        </w:tc>
        <w:tc>
          <w:tcPr>
            <w:tcW w:w="77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11137</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8.5%</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32366</w:t>
            </w:r>
          </w:p>
        </w:tc>
        <w:tc>
          <w:tcPr>
            <w:tcW w:w="99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24.7%</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62760</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47.9%</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24618</w:t>
            </w:r>
          </w:p>
        </w:tc>
        <w:tc>
          <w:tcPr>
            <w:tcW w:w="79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18.9%</w:t>
            </w:r>
          </w:p>
        </w:tc>
        <w:tc>
          <w:tcPr>
            <w:tcW w:w="1054"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122728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8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资产（万元）</w:t>
            </w:r>
          </w:p>
        </w:tc>
        <w:tc>
          <w:tcPr>
            <w:tcW w:w="77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22500</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5.7%</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114862</w:t>
            </w:r>
          </w:p>
        </w:tc>
        <w:tc>
          <w:tcPr>
            <w:tcW w:w="99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28.9%</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175369</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44.1%</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84612</w:t>
            </w:r>
          </w:p>
        </w:tc>
        <w:tc>
          <w:tcPr>
            <w:tcW w:w="79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21.3%</w:t>
            </w:r>
          </w:p>
        </w:tc>
        <w:tc>
          <w:tcPr>
            <w:tcW w:w="1054"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369675</w:t>
            </w:r>
          </w:p>
        </w:tc>
      </w:tr>
    </w:tbl>
    <w:p>
      <w:pPr>
        <w:ind w:firstLine="0" w:firstLineChars="0"/>
        <w:jc w:val="center"/>
        <w:rPr>
          <w:b/>
          <w:bCs/>
          <w:sz w:val="24"/>
          <w:szCs w:val="24"/>
        </w:rPr>
      </w:pPr>
      <w:r>
        <w:rPr>
          <w:rFonts w:hint="eastAsia"/>
          <w:b/>
          <w:bCs/>
          <w:sz w:val="24"/>
          <w:szCs w:val="24"/>
        </w:rPr>
        <w:t>表1-</w:t>
      </w:r>
      <w:r>
        <w:rPr>
          <w:b/>
          <w:bCs/>
          <w:sz w:val="24"/>
          <w:szCs w:val="24"/>
        </w:rPr>
        <w:t>4</w:t>
      </w:r>
      <w:r>
        <w:rPr>
          <w:rFonts w:hint="eastAsia"/>
          <w:b/>
          <w:bCs/>
          <w:sz w:val="24"/>
          <w:szCs w:val="24"/>
        </w:rPr>
        <w:t>德宏州不同类型地质灾害威胁情况统计表</w:t>
      </w:r>
    </w:p>
    <w:tbl>
      <w:tblPr>
        <w:tblStyle w:val="36"/>
        <w:tblW w:w="9549"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653"/>
        <w:gridCol w:w="846"/>
        <w:gridCol w:w="851"/>
        <w:gridCol w:w="842"/>
        <w:gridCol w:w="982"/>
        <w:gridCol w:w="851"/>
        <w:gridCol w:w="850"/>
        <w:gridCol w:w="835"/>
        <w:gridCol w:w="793"/>
        <w:gridCol w:w="104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3" w:hRule="atLeast"/>
          <w:jc w:val="center"/>
        </w:trPr>
        <w:tc>
          <w:tcPr>
            <w:tcW w:w="1653" w:type="dxa"/>
            <w:vMerge w:val="restart"/>
            <w:tcBorders>
              <w:right w:val="single" w:color="auto" w:sz="4" w:space="0"/>
              <w:tl2br w:val="single" w:color="auto" w:sz="4" w:space="0"/>
            </w:tcBorders>
            <w:vAlign w:val="center"/>
          </w:tcPr>
          <w:p>
            <w:pPr>
              <w:spacing w:line="240" w:lineRule="auto"/>
              <w:ind w:firstLine="630" w:firstLineChars="300"/>
              <w:jc w:val="center"/>
              <w:rPr>
                <w:rFonts w:asciiTheme="minorEastAsia" w:hAnsiTheme="minorEastAsia" w:eastAsiaTheme="minorEastAsia"/>
                <w:sz w:val="21"/>
              </w:rPr>
            </w:pPr>
            <w:r>
              <w:rPr>
                <w:rFonts w:hint="eastAsia" w:asciiTheme="minorEastAsia" w:hAnsiTheme="minorEastAsia" w:eastAsiaTheme="minorEastAsia"/>
                <w:sz w:val="21"/>
              </w:rPr>
              <w:t>规模</w:t>
            </w:r>
          </w:p>
          <w:p>
            <w:pPr>
              <w:spacing w:line="240" w:lineRule="auto"/>
              <w:ind w:firstLine="0" w:firstLineChars="0"/>
              <w:rPr>
                <w:rFonts w:asciiTheme="minorEastAsia" w:hAnsiTheme="minorEastAsia" w:eastAsiaTheme="minorEastAsia"/>
                <w:sz w:val="21"/>
              </w:rPr>
            </w:pPr>
            <w:r>
              <w:rPr>
                <w:rFonts w:hint="eastAsia" w:asciiTheme="minorEastAsia" w:hAnsiTheme="minorEastAsia" w:eastAsiaTheme="minorEastAsia"/>
                <w:sz w:val="21"/>
              </w:rPr>
              <w:t>威胁</w:t>
            </w:r>
          </w:p>
        </w:tc>
        <w:tc>
          <w:tcPr>
            <w:tcW w:w="1697"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滑坡</w:t>
            </w:r>
          </w:p>
        </w:tc>
        <w:tc>
          <w:tcPr>
            <w:tcW w:w="1824"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崩塌</w:t>
            </w:r>
          </w:p>
        </w:tc>
        <w:tc>
          <w:tcPr>
            <w:tcW w:w="1701"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泥石流</w:t>
            </w:r>
          </w:p>
        </w:tc>
        <w:tc>
          <w:tcPr>
            <w:tcW w:w="1628"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地面塌陷</w:t>
            </w:r>
          </w:p>
        </w:tc>
        <w:tc>
          <w:tcPr>
            <w:tcW w:w="1046" w:type="dxa"/>
            <w:vMerge w:val="restart"/>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合计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09" w:hRule="atLeast"/>
          <w:jc w:val="center"/>
        </w:trPr>
        <w:tc>
          <w:tcPr>
            <w:tcW w:w="1653" w:type="dxa"/>
            <w:vMerge w:val="continue"/>
            <w:tcBorders>
              <w:right w:val="single" w:color="auto" w:sz="4" w:space="0"/>
              <w:tl2br w:val="single" w:color="auto" w:sz="4" w:space="0"/>
            </w:tcBorders>
            <w:vAlign w:val="center"/>
          </w:tcPr>
          <w:p>
            <w:pPr>
              <w:spacing w:line="240" w:lineRule="auto"/>
              <w:ind w:firstLine="630" w:firstLineChars="300"/>
              <w:jc w:val="center"/>
              <w:rPr>
                <w:rFonts w:asciiTheme="minorEastAsia" w:hAnsiTheme="minorEastAsia" w:eastAsiaTheme="minorEastAsia"/>
                <w:sz w:val="21"/>
              </w:rPr>
            </w:pPr>
          </w:p>
        </w:tc>
        <w:tc>
          <w:tcPr>
            <w:tcW w:w="846" w:type="dxa"/>
            <w:tcBorders>
              <w:right w:val="single" w:color="auto" w:sz="4" w:space="0"/>
            </w:tcBorders>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851" w:type="dxa"/>
            <w:tcBorders>
              <w:left w:val="single" w:color="auto" w:sz="4" w:space="0"/>
            </w:tcBorders>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84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98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83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79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1046" w:type="dxa"/>
            <w:vMerge w:val="continue"/>
            <w:vAlign w:val="center"/>
          </w:tcPr>
          <w:p>
            <w:pPr>
              <w:spacing w:line="240" w:lineRule="auto"/>
              <w:ind w:firstLine="0" w:firstLineChars="0"/>
              <w:jc w:val="center"/>
              <w:rPr>
                <w:rFonts w:asciiTheme="minorEastAsia" w:hAnsiTheme="minorEastAsia" w:eastAsiaTheme="minorEastAsia"/>
                <w:sz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5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隐患数量（处）</w:t>
            </w:r>
          </w:p>
        </w:tc>
        <w:tc>
          <w:tcPr>
            <w:tcW w:w="84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664</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74.11%</w:t>
            </w:r>
          </w:p>
        </w:tc>
        <w:tc>
          <w:tcPr>
            <w:tcW w:w="84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w:t>
            </w:r>
          </w:p>
        </w:tc>
        <w:tc>
          <w:tcPr>
            <w:tcW w:w="98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0.89%</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223</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24.89%</w:t>
            </w:r>
          </w:p>
        </w:tc>
        <w:tc>
          <w:tcPr>
            <w:tcW w:w="83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w:t>
            </w:r>
          </w:p>
        </w:tc>
        <w:tc>
          <w:tcPr>
            <w:tcW w:w="79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0.11%</w:t>
            </w:r>
          </w:p>
        </w:tc>
        <w:tc>
          <w:tcPr>
            <w:tcW w:w="104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896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5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人口（人）</w:t>
            </w:r>
          </w:p>
        </w:tc>
        <w:tc>
          <w:tcPr>
            <w:tcW w:w="84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75841</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57.9%</w:t>
            </w:r>
          </w:p>
        </w:tc>
        <w:tc>
          <w:tcPr>
            <w:tcW w:w="84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788</w:t>
            </w:r>
          </w:p>
        </w:tc>
        <w:tc>
          <w:tcPr>
            <w:tcW w:w="98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0.6%</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54172</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41.4%</w:t>
            </w:r>
          </w:p>
        </w:tc>
        <w:tc>
          <w:tcPr>
            <w:tcW w:w="83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80</w:t>
            </w:r>
          </w:p>
        </w:tc>
        <w:tc>
          <w:tcPr>
            <w:tcW w:w="79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0.1%</w:t>
            </w:r>
          </w:p>
        </w:tc>
        <w:tc>
          <w:tcPr>
            <w:tcW w:w="104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122728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5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资产（万元）</w:t>
            </w:r>
          </w:p>
        </w:tc>
        <w:tc>
          <w:tcPr>
            <w:tcW w:w="84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213141</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53.6%</w:t>
            </w:r>
          </w:p>
        </w:tc>
        <w:tc>
          <w:tcPr>
            <w:tcW w:w="84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2200</w:t>
            </w:r>
          </w:p>
        </w:tc>
        <w:tc>
          <w:tcPr>
            <w:tcW w:w="98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0.6%</w:t>
            </w:r>
          </w:p>
        </w:tc>
        <w:tc>
          <w:tcPr>
            <w:tcW w:w="85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181912</w:t>
            </w:r>
          </w:p>
        </w:tc>
        <w:tc>
          <w:tcPr>
            <w:tcW w:w="85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45.78%</w:t>
            </w:r>
          </w:p>
        </w:tc>
        <w:tc>
          <w:tcPr>
            <w:tcW w:w="83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90</w:t>
            </w:r>
          </w:p>
        </w:tc>
        <w:tc>
          <w:tcPr>
            <w:tcW w:w="79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0.02%</w:t>
            </w:r>
          </w:p>
        </w:tc>
        <w:tc>
          <w:tcPr>
            <w:tcW w:w="1046"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369675</w:t>
            </w:r>
          </w:p>
        </w:tc>
      </w:tr>
    </w:tbl>
    <w:p>
      <w:pPr>
        <w:ind w:firstLine="0" w:firstLineChars="0"/>
        <w:jc w:val="center"/>
        <w:rPr>
          <w:b/>
          <w:bCs/>
          <w:sz w:val="24"/>
          <w:szCs w:val="24"/>
        </w:rPr>
      </w:pPr>
      <w:r>
        <w:rPr>
          <w:rFonts w:hint="eastAsia"/>
          <w:b/>
          <w:bCs/>
          <w:sz w:val="24"/>
          <w:szCs w:val="24"/>
        </w:rPr>
        <w:t>表1-</w:t>
      </w:r>
      <w:r>
        <w:rPr>
          <w:b/>
          <w:bCs/>
          <w:sz w:val="24"/>
          <w:szCs w:val="24"/>
        </w:rPr>
        <w:t>5</w:t>
      </w:r>
      <w:r>
        <w:rPr>
          <w:rFonts w:hint="eastAsia"/>
          <w:b/>
          <w:bCs/>
          <w:sz w:val="24"/>
          <w:szCs w:val="24"/>
        </w:rPr>
        <w:t>德宏州各县（市）地质灾害威胁情况统计表</w:t>
      </w:r>
    </w:p>
    <w:tbl>
      <w:tblPr>
        <w:tblStyle w:val="36"/>
        <w:tblW w:w="9462"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395"/>
        <w:gridCol w:w="762"/>
        <w:gridCol w:w="846"/>
        <w:gridCol w:w="741"/>
        <w:gridCol w:w="846"/>
        <w:gridCol w:w="846"/>
        <w:gridCol w:w="846"/>
        <w:gridCol w:w="741"/>
        <w:gridCol w:w="846"/>
        <w:gridCol w:w="801"/>
        <w:gridCol w:w="79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69" w:hRule="atLeast"/>
          <w:jc w:val="center"/>
        </w:trPr>
        <w:tc>
          <w:tcPr>
            <w:tcW w:w="1632" w:type="dxa"/>
            <w:vMerge w:val="restart"/>
            <w:tcBorders>
              <w:right w:val="single" w:color="auto" w:sz="4" w:space="0"/>
              <w:tl2br w:val="single" w:color="auto" w:sz="4" w:space="0"/>
            </w:tcBorders>
            <w:vAlign w:val="center"/>
          </w:tcPr>
          <w:p>
            <w:pPr>
              <w:spacing w:line="240" w:lineRule="auto"/>
              <w:ind w:firstLine="630" w:firstLineChars="300"/>
              <w:jc w:val="center"/>
              <w:rPr>
                <w:rFonts w:asciiTheme="minorEastAsia" w:hAnsiTheme="minorEastAsia" w:eastAsiaTheme="minorEastAsia"/>
                <w:sz w:val="21"/>
              </w:rPr>
            </w:pPr>
            <w:r>
              <w:rPr>
                <w:rFonts w:hint="eastAsia" w:asciiTheme="minorEastAsia" w:hAnsiTheme="minorEastAsia" w:eastAsiaTheme="minorEastAsia"/>
                <w:sz w:val="21"/>
              </w:rPr>
              <w:t>规模</w:t>
            </w:r>
          </w:p>
          <w:p>
            <w:pPr>
              <w:spacing w:line="240" w:lineRule="auto"/>
              <w:ind w:firstLine="0" w:firstLineChars="0"/>
              <w:rPr>
                <w:rFonts w:asciiTheme="minorEastAsia" w:hAnsiTheme="minorEastAsia" w:eastAsiaTheme="minorEastAsia"/>
                <w:sz w:val="21"/>
              </w:rPr>
            </w:pPr>
            <w:r>
              <w:rPr>
                <w:rFonts w:hint="eastAsia" w:asciiTheme="minorEastAsia" w:hAnsiTheme="minorEastAsia" w:eastAsiaTheme="minorEastAsia"/>
                <w:sz w:val="21"/>
              </w:rPr>
              <w:t xml:space="preserve">威胁 </w:t>
            </w:r>
          </w:p>
        </w:tc>
        <w:tc>
          <w:tcPr>
            <w:tcW w:w="1539"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芒市</w:t>
            </w:r>
          </w:p>
        </w:tc>
        <w:tc>
          <w:tcPr>
            <w:tcW w:w="1581"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梁河</w:t>
            </w:r>
          </w:p>
        </w:tc>
        <w:tc>
          <w:tcPr>
            <w:tcW w:w="1477"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盈江</w:t>
            </w:r>
          </w:p>
        </w:tc>
        <w:tc>
          <w:tcPr>
            <w:tcW w:w="1437"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陇川</w:t>
            </w:r>
          </w:p>
        </w:tc>
        <w:tc>
          <w:tcPr>
            <w:tcW w:w="1796" w:type="dxa"/>
            <w:gridSpan w:val="2"/>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瑞丽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9" w:hRule="atLeast"/>
          <w:jc w:val="center"/>
        </w:trPr>
        <w:tc>
          <w:tcPr>
            <w:tcW w:w="1632" w:type="dxa"/>
            <w:vMerge w:val="continue"/>
            <w:tcBorders>
              <w:right w:val="single" w:color="auto" w:sz="4" w:space="0"/>
              <w:tl2br w:val="single" w:color="auto" w:sz="4" w:space="0"/>
            </w:tcBorders>
            <w:vAlign w:val="center"/>
          </w:tcPr>
          <w:p>
            <w:pPr>
              <w:spacing w:line="240" w:lineRule="auto"/>
              <w:ind w:firstLine="630" w:firstLineChars="300"/>
              <w:jc w:val="center"/>
              <w:rPr>
                <w:rFonts w:asciiTheme="minorEastAsia" w:hAnsiTheme="minorEastAsia" w:eastAsiaTheme="minorEastAsia"/>
                <w:sz w:val="21"/>
              </w:rPr>
            </w:pPr>
          </w:p>
        </w:tc>
        <w:tc>
          <w:tcPr>
            <w:tcW w:w="799" w:type="dxa"/>
            <w:tcBorders>
              <w:right w:val="single" w:color="auto" w:sz="4" w:space="0"/>
            </w:tcBorders>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740" w:type="dxa"/>
            <w:tcBorders>
              <w:left w:val="single" w:color="auto" w:sz="4" w:space="0"/>
            </w:tcBorders>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73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84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73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73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73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69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c>
          <w:tcPr>
            <w:tcW w:w="91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数量</w:t>
            </w:r>
          </w:p>
        </w:tc>
        <w:tc>
          <w:tcPr>
            <w:tcW w:w="88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占比</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3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隐患数量（处）</w:t>
            </w:r>
          </w:p>
        </w:tc>
        <w:tc>
          <w:tcPr>
            <w:tcW w:w="79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169</w:t>
            </w:r>
          </w:p>
        </w:tc>
        <w:tc>
          <w:tcPr>
            <w:tcW w:w="74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18.86%</w:t>
            </w:r>
          </w:p>
        </w:tc>
        <w:tc>
          <w:tcPr>
            <w:tcW w:w="73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281</w:t>
            </w:r>
          </w:p>
        </w:tc>
        <w:tc>
          <w:tcPr>
            <w:tcW w:w="84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31.36%</w:t>
            </w:r>
          </w:p>
        </w:tc>
        <w:tc>
          <w:tcPr>
            <w:tcW w:w="73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240</w:t>
            </w:r>
          </w:p>
        </w:tc>
        <w:tc>
          <w:tcPr>
            <w:tcW w:w="73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26.79%</w:t>
            </w:r>
          </w:p>
        </w:tc>
        <w:tc>
          <w:tcPr>
            <w:tcW w:w="73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131</w:t>
            </w:r>
          </w:p>
        </w:tc>
        <w:tc>
          <w:tcPr>
            <w:tcW w:w="69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14.62%</w:t>
            </w:r>
          </w:p>
        </w:tc>
        <w:tc>
          <w:tcPr>
            <w:tcW w:w="91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75</w:t>
            </w:r>
          </w:p>
        </w:tc>
        <w:tc>
          <w:tcPr>
            <w:tcW w:w="88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8.37%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3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人口（人）</w:t>
            </w:r>
          </w:p>
        </w:tc>
        <w:tc>
          <w:tcPr>
            <w:tcW w:w="79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24868</w:t>
            </w:r>
          </w:p>
        </w:tc>
        <w:tc>
          <w:tcPr>
            <w:tcW w:w="74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19.0%</w:t>
            </w:r>
          </w:p>
        </w:tc>
        <w:tc>
          <w:tcPr>
            <w:tcW w:w="73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36972</w:t>
            </w:r>
          </w:p>
        </w:tc>
        <w:tc>
          <w:tcPr>
            <w:tcW w:w="84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28.2%</w:t>
            </w:r>
          </w:p>
        </w:tc>
        <w:tc>
          <w:tcPr>
            <w:tcW w:w="73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44173</w:t>
            </w:r>
          </w:p>
        </w:tc>
        <w:tc>
          <w:tcPr>
            <w:tcW w:w="73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33.8%</w:t>
            </w:r>
          </w:p>
        </w:tc>
        <w:tc>
          <w:tcPr>
            <w:tcW w:w="73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10947</w:t>
            </w:r>
          </w:p>
        </w:tc>
        <w:tc>
          <w:tcPr>
            <w:tcW w:w="69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8.4%</w:t>
            </w:r>
          </w:p>
        </w:tc>
        <w:tc>
          <w:tcPr>
            <w:tcW w:w="91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13921</w:t>
            </w:r>
          </w:p>
        </w:tc>
        <w:tc>
          <w:tcPr>
            <w:tcW w:w="88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32"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资产（万元）</w:t>
            </w:r>
          </w:p>
        </w:tc>
        <w:tc>
          <w:tcPr>
            <w:tcW w:w="79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41918</w:t>
            </w:r>
          </w:p>
        </w:tc>
        <w:tc>
          <w:tcPr>
            <w:tcW w:w="740"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10.5%</w:t>
            </w:r>
          </w:p>
        </w:tc>
        <w:tc>
          <w:tcPr>
            <w:tcW w:w="73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97734</w:t>
            </w:r>
          </w:p>
        </w:tc>
        <w:tc>
          <w:tcPr>
            <w:tcW w:w="843"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24.6%</w:t>
            </w:r>
          </w:p>
        </w:tc>
        <w:tc>
          <w:tcPr>
            <w:tcW w:w="73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152394</w:t>
            </w:r>
          </w:p>
        </w:tc>
        <w:tc>
          <w:tcPr>
            <w:tcW w:w="73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38.4%</w:t>
            </w:r>
          </w:p>
        </w:tc>
        <w:tc>
          <w:tcPr>
            <w:tcW w:w="739"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34892</w:t>
            </w:r>
          </w:p>
        </w:tc>
        <w:tc>
          <w:tcPr>
            <w:tcW w:w="698"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8.8%</w:t>
            </w:r>
          </w:p>
        </w:tc>
        <w:tc>
          <w:tcPr>
            <w:tcW w:w="911"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70405</w:t>
            </w:r>
          </w:p>
        </w:tc>
        <w:tc>
          <w:tcPr>
            <w:tcW w:w="885" w:type="dxa"/>
            <w:vAlign w:val="center"/>
          </w:tcPr>
          <w:p>
            <w:pPr>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17.7%</w:t>
            </w:r>
          </w:p>
        </w:tc>
      </w:tr>
    </w:tbl>
    <w:p>
      <w:pPr>
        <w:ind w:firstLine="560"/>
      </w:pPr>
    </w:p>
    <w:p>
      <w:pPr>
        <w:pStyle w:val="5"/>
      </w:pPr>
      <w:bookmarkStart w:id="12" w:name="_Toc88832939"/>
      <w:r>
        <w:rPr>
          <w:rFonts w:hint="eastAsia"/>
        </w:rPr>
        <w:t>4、地质灾害发展趋势</w:t>
      </w:r>
      <w:bookmarkEnd w:id="12"/>
    </w:p>
    <w:p>
      <w:pPr>
        <w:ind w:firstLine="560"/>
      </w:pPr>
      <w:r>
        <w:rPr>
          <w:rFonts w:hint="eastAsia"/>
        </w:rPr>
        <w:t>根据区内多年的调查评价、工程治理及群测群防工作取得的经验，结合德宏地区特殊的地理位置及地质环境条件，对地质灾害发展趋势进行简要评价：</w:t>
      </w:r>
    </w:p>
    <w:p>
      <w:pPr>
        <w:ind w:firstLine="560"/>
      </w:pPr>
      <w:r>
        <w:rPr>
          <w:rFonts w:hint="eastAsia"/>
        </w:rPr>
        <w:t>德宏州地质环境条件复杂，区内山多平地少，地震多发，雨量充沛且降雨集中，地质灾害发生的自然条件没有改变，加之随着人类工程活动的不断加剧，极端天气频率增高，地质灾害的诱发因素也在不断加重，地质灾害隐患的数量仍将长期居高不下。但是，随着近年地质灾害防治工作的不断推进，避险搬迁等项目的大力实施，对农村切坡建房管控力度的不断增强，地质灾害的多发易发区逐渐从偏远山区向盆地边缘山麓地带转移，城镇及山区的地质灾害防治任务依然严峻。</w:t>
      </w:r>
    </w:p>
    <w:p>
      <w:pPr>
        <w:pStyle w:val="4"/>
        <w:spacing w:before="240" w:after="120"/>
      </w:pPr>
      <w:bookmarkStart w:id="13" w:name="_Toc88832940"/>
      <w:r>
        <w:rPr>
          <w:rFonts w:hint="eastAsia"/>
        </w:rPr>
        <w:t>（二） “十三五”地质灾害防治规划执行情况</w:t>
      </w:r>
      <w:bookmarkEnd w:id="13"/>
    </w:p>
    <w:p>
      <w:pPr>
        <w:ind w:firstLine="560"/>
      </w:pPr>
      <w:r>
        <w:rPr>
          <w:rFonts w:hint="eastAsia"/>
        </w:rPr>
        <w:t xml:space="preserve"> “十三五”是地质灾害防治由被动转为主动、有预见性地安排部署工作的重要时期，在规划完成期间，德宏州地质灾害防治工作取得了显著的成绩，地质灾害综合防治体系基本建立。基础调查研究工作不断深入；全民的识灾、防灾、避灾、救灾意识及能力得到显著提高；管理机构专业人才配置更趋合理、运转更为高效、联动更加自如；人为地质灾害显著下降；原有的险、重地质灾害（隐患）险情大多得到合理处治，新增突发地质灾害得到及时防治。</w:t>
      </w:r>
    </w:p>
    <w:p>
      <w:pPr>
        <w:pStyle w:val="5"/>
      </w:pPr>
      <w:bookmarkStart w:id="14" w:name="_Toc88832941"/>
      <w:r>
        <w:rPr>
          <w:rFonts w:hint="eastAsia"/>
        </w:rPr>
        <w:t>1、“十三五”目标完成情况</w:t>
      </w:r>
      <w:bookmarkEnd w:id="14"/>
    </w:p>
    <w:p>
      <w:pPr>
        <w:ind w:firstLine="560"/>
      </w:pPr>
      <w:r>
        <w:rPr>
          <w:rFonts w:hint="eastAsia"/>
        </w:rPr>
        <w:t>（1）地质灾害调查评价</w:t>
      </w:r>
    </w:p>
    <w:p>
      <w:pPr>
        <w:ind w:firstLine="560"/>
      </w:pPr>
      <w:r>
        <w:rPr>
          <w:rFonts w:hint="eastAsia"/>
        </w:rPr>
        <w:t>“十三五”期间，德宏州地质灾害防治工作已由防范为主向防治兼顾，并全面展开发展，地质灾害的调查评价工作也因专业技术队伍的支持而得到不断深入。“十三五”初期，主要由各县（市）组织部门人员进行巡查，聘请专业技术队伍，采取群专结合的方式全面开展地质灾害“三查”工作，累计完成地质灾害排查巡查核查共10945次，完成专项地质灾害调查6</w:t>
      </w:r>
      <w:r>
        <w:t>8</w:t>
      </w:r>
      <w:r>
        <w:rPr>
          <w:rFonts w:hint="eastAsia"/>
        </w:rPr>
        <w:t>个。2</w:t>
      </w:r>
      <w:r>
        <w:t>015</w:t>
      </w:r>
      <w:r>
        <w:rPr>
          <w:rFonts w:hint="eastAsia"/>
        </w:rPr>
        <w:t>年，各县（市）完成了1:</w:t>
      </w:r>
      <w:r>
        <w:t>5</w:t>
      </w:r>
      <w:r>
        <w:rPr>
          <w:rFonts w:hint="eastAsia"/>
        </w:rPr>
        <w:t>万地质灾害详细调查工作。</w:t>
      </w:r>
    </w:p>
    <w:p>
      <w:pPr>
        <w:ind w:firstLine="560"/>
      </w:pPr>
      <w:r>
        <w:rPr>
          <w:rFonts w:hint="eastAsia"/>
        </w:rPr>
        <w:t>“十三五”期间，严格执行地质灾害危险性评估制度，对地质灾害易发区内建设项目进行地质灾害危险性评估。</w:t>
      </w:r>
    </w:p>
    <w:p>
      <w:pPr>
        <w:ind w:firstLine="560"/>
      </w:pPr>
      <w:r>
        <w:rPr>
          <w:rFonts w:hint="eastAsia"/>
        </w:rPr>
        <w:t>（2）监测预警</w:t>
      </w:r>
    </w:p>
    <w:p>
      <w:pPr>
        <w:ind w:firstLine="560"/>
      </w:pPr>
      <w:r>
        <w:rPr>
          <w:rFonts w:hint="eastAsia"/>
        </w:rPr>
        <w:t>①群测群防体系建设</w:t>
      </w:r>
    </w:p>
    <w:p>
      <w:pPr>
        <w:ind w:firstLine="560"/>
      </w:pPr>
      <w:r>
        <w:rPr>
          <w:rFonts w:hint="eastAsia"/>
        </w:rPr>
        <w:t>经过多年的努力，在排查基础上进一步建立健全了全州、县（市）、乡（镇）、村、组五级地质灾害群测群防体系，对已发现的所有地质灾害隐患点都成立了以村干部和骨干群众为主体的群测群防队伍，按照群测群防网络体系建设标准确定了898名监测负责人及1588名监测员。</w:t>
      </w:r>
    </w:p>
    <w:p>
      <w:pPr>
        <w:ind w:firstLine="560"/>
      </w:pPr>
      <w:r>
        <w:rPr>
          <w:rFonts w:hint="eastAsia"/>
        </w:rPr>
        <w:t>②气象预警</w:t>
      </w:r>
    </w:p>
    <w:p>
      <w:pPr>
        <w:ind w:firstLine="560"/>
      </w:pPr>
      <w:r>
        <w:rPr>
          <w:rFonts w:hint="eastAsia"/>
        </w:rPr>
        <w:t>“十三五”后期，德宏州成立了州地质灾害应急指挥部，州人民政府分管副州长任指挥长，下设办公室在州自然资源和规划局；同时建立了气象地质灾害预警预报信息共享平台，每天的气象信息及时传递到监测员及相关地质灾害防治工作人员手中。至2</w:t>
      </w:r>
      <w:r>
        <w:t>020</w:t>
      </w:r>
      <w:r>
        <w:rPr>
          <w:rFonts w:hint="eastAsia"/>
        </w:rPr>
        <w:t>年，全州气象风险预警共投入2</w:t>
      </w:r>
      <w:r>
        <w:t>76.35</w:t>
      </w:r>
      <w:r>
        <w:rPr>
          <w:rFonts w:hint="eastAsia"/>
        </w:rPr>
        <w:t>万元。</w:t>
      </w:r>
    </w:p>
    <w:p>
      <w:pPr>
        <w:ind w:firstLine="560"/>
      </w:pPr>
      <w:r>
        <w:rPr>
          <w:rFonts w:hint="eastAsia"/>
        </w:rPr>
        <w:t>③普适型及专业监测预警工程建设</w:t>
      </w:r>
    </w:p>
    <w:p>
      <w:pPr>
        <w:ind w:firstLine="560"/>
      </w:pPr>
      <w:r>
        <w:rPr>
          <w:rFonts w:hint="eastAsia"/>
        </w:rPr>
        <w:t>“十三五”期间，全州分别建成普适型监测预警工程3</w:t>
      </w:r>
      <w:r>
        <w:t>2</w:t>
      </w:r>
      <w:r>
        <w:rPr>
          <w:rFonts w:hint="eastAsia"/>
        </w:rPr>
        <w:t>处，专业监测预警工程1</w:t>
      </w:r>
      <w:r>
        <w:t>8</w:t>
      </w:r>
      <w:r>
        <w:rPr>
          <w:rFonts w:hint="eastAsia"/>
        </w:rPr>
        <w:t>处，完成下达任务，并为 “十四五”全面开展监测预警工程建设做好准备工作。</w:t>
      </w:r>
    </w:p>
    <w:p>
      <w:pPr>
        <w:ind w:firstLine="560"/>
      </w:pPr>
      <w:r>
        <w:rPr>
          <w:rFonts w:hint="eastAsia"/>
        </w:rPr>
        <w:t>基本完成“十三五”目标任务。</w:t>
      </w:r>
    </w:p>
    <w:p>
      <w:pPr>
        <w:ind w:firstLine="560"/>
      </w:pPr>
      <w:r>
        <w:rPr>
          <w:rFonts w:hint="eastAsia"/>
        </w:rPr>
        <w:t>（3）工程治理与避险搬迁</w:t>
      </w:r>
    </w:p>
    <w:p>
      <w:pPr>
        <w:ind w:firstLine="560"/>
      </w:pPr>
      <w:r>
        <w:rPr>
          <w:rFonts w:hint="eastAsia"/>
        </w:rPr>
        <w:t>自2015年以来，结合易地扶贫搬迁工程全州实施搬迁避让项目118个，涉及搬迁群众6476户28431人；实施工程治理项目811个（其中特大型27个、大型39个、中小型745个），项目完成后可以解除共175537人和685549万元财产免受地质灾害威胁。</w:t>
      </w:r>
    </w:p>
    <w:p>
      <w:pPr>
        <w:ind w:firstLine="560"/>
      </w:pPr>
      <w:r>
        <w:rPr>
          <w:rFonts w:hint="eastAsia"/>
        </w:rPr>
        <w:t>超额完成“十三五”规划目标任务。</w:t>
      </w:r>
    </w:p>
    <w:p>
      <w:pPr>
        <w:ind w:firstLine="560"/>
      </w:pPr>
      <w:r>
        <w:rPr>
          <w:rFonts w:hint="eastAsia"/>
        </w:rPr>
        <w:t>（4）应急能力建设</w:t>
      </w:r>
    </w:p>
    <w:p>
      <w:pPr>
        <w:ind w:firstLine="560"/>
      </w:pPr>
      <w:r>
        <w:rPr>
          <w:rFonts w:hint="eastAsia"/>
        </w:rPr>
        <w:t>“十三五”初期，地质灾害应急处置工作主要由专业技术单位配合主管部门完成，群众参与度还不够高。随着云南省地质灾害防治技术支撑体系的不断推进和实施，使德宏州地质灾害应急工作得到进一步巩固和提升，2016-2020年共开展应急调查181次，应急处置244次。目前，德宏州的地质灾害应急体系主要由以下几部分组成：一是州、县（市）均成立了地质灾害应急指挥部，并且完成了全州地质灾害应急远程会商系统建设，并投入使用，全面实现了与省级、县级的互联互通，基本满足了基础信息获取、决策指挥、远程会商和上下互通及左右互联的要求；二是为地质灾害防治工作人员发放了GPS信息采集仪，为监测人员发放了雨衣、雨伞、雨鞋、手电筒、报警器具等装备，基本满足了有关工作人员现场应急调查、监测、快速评估和生活及安全保障的需要；三是成立了州、县（市）、乡、村地质灾害防治工作领导小组，在签订自然资源管理工作政府目标考核责任书，把地质灾害防治工作作为考核的一项重要内容，对各级责任人明确责任,形成了政府统一领导、自然资源部门牵头负责、各有关部门各司其职、密切合作的领导体制和防灾责任制，做到了级级有人管、层层有人抓的防灾体系，确保了地质灾害防治工作顺利开展；四是州级每年结合自身实际情况编制地质灾害防治方案和修定《德宏州突发性地质灾害应急预案》，方案确定了地质灾害的重点防治区和重点防范时段，提出了具体防灾措施，明确了各部门职责，形成责任明确、响应联动、实用管用的预案体系；五是为切实提高应急处置能力，最大限度减轻突发性地质灾害损失，通过积极开展宣传培训和应急演练，不断完善地质灾害应急工作机制，逐步增强人民群众的防灾避险意识，2016-2020年来全州共开展了地质灾害应急演练1040余次，参加演练人员约92158人，六是应急专家队伍，主要由云南省自然资源厅驻州地质灾害防治技术指导中心及各县（市）技术指导站专家组成。</w:t>
      </w:r>
    </w:p>
    <w:p>
      <w:pPr>
        <w:ind w:firstLine="560"/>
      </w:pPr>
      <w:r>
        <w:rPr>
          <w:rFonts w:hint="eastAsia"/>
        </w:rPr>
        <w:t>完成“十三五”目标任务。</w:t>
      </w:r>
    </w:p>
    <w:p>
      <w:pPr>
        <w:ind w:firstLine="560"/>
      </w:pPr>
      <w:r>
        <w:rPr>
          <w:rFonts w:hint="eastAsia"/>
        </w:rPr>
        <w:t>（5）科技能力建设</w:t>
      </w:r>
    </w:p>
    <w:p>
      <w:pPr>
        <w:ind w:firstLine="560"/>
      </w:pPr>
      <w:r>
        <w:rPr>
          <w:rFonts w:hint="eastAsia"/>
        </w:rPr>
        <w:t>“十三五”期间，科技能力建设是一个相对薄弱的环节，地质灾害调查评价、应急排查、监测等工作还是一直在采用传统的地质工作方法手段。直到后期，在无人机拍摄等综合遥感技术以及普适型、专业监测设备的应用和地质灾害信息采集管理系统的建设使用，才逐步将地质灾害工作逐渐向科技进步方向推动。</w:t>
      </w:r>
    </w:p>
    <w:p>
      <w:pPr>
        <w:ind w:firstLine="560"/>
      </w:pPr>
      <w:r>
        <w:rPr>
          <w:rFonts w:hint="eastAsia"/>
        </w:rPr>
        <w:t>（6）制度建设</w:t>
      </w:r>
    </w:p>
    <w:p>
      <w:pPr>
        <w:ind w:firstLine="560"/>
      </w:pPr>
      <w:r>
        <w:rPr>
          <w:rFonts w:hint="eastAsia"/>
        </w:rPr>
        <w:t>为切实做好地质灾害防治管理工作，德宏州在多年的实践中严格按照国家和省级部署要求，不断完善地方管理制度，目前主要实行的制度有：“分级负责制度”、“应急预案制度”、“监测员管理制度”、“两卡发放制度”、“汛期三查制度”、“汛期值班制度”、“灾（险）情速报制度”、 “宣传培训制度”、“应急演练制度”、“监测员经费补助制度”。</w:t>
      </w:r>
    </w:p>
    <w:p>
      <w:pPr>
        <w:ind w:firstLine="560"/>
      </w:pPr>
      <w:r>
        <w:rPr>
          <w:rFonts w:hint="eastAsia"/>
        </w:rPr>
        <w:t>（7）宣传培训</w:t>
      </w:r>
    </w:p>
    <w:p>
      <w:pPr>
        <w:ind w:firstLine="560"/>
      </w:pPr>
      <w:r>
        <w:rPr>
          <w:rFonts w:hint="eastAsia"/>
        </w:rPr>
        <w:t>“十三五”期间共开展了地质灾害防治工作培训及各种宣传561余次，共有约58391人参加，为全州地质灾害应急体系建设奠定了坚实的基础。</w:t>
      </w:r>
    </w:p>
    <w:p>
      <w:pPr>
        <w:pStyle w:val="5"/>
      </w:pPr>
      <w:bookmarkStart w:id="15" w:name="_Toc88832942"/>
      <w:r>
        <w:rPr>
          <w:rFonts w:hint="eastAsia"/>
        </w:rPr>
        <w:t>2、“十三五”防灾效果评述</w:t>
      </w:r>
      <w:bookmarkEnd w:id="15"/>
    </w:p>
    <w:p>
      <w:pPr>
        <w:ind w:firstLine="560"/>
      </w:pPr>
      <w:r>
        <w:rPr>
          <w:rFonts w:hint="eastAsia"/>
        </w:rPr>
        <w:t>（1）地质灾害隐患数量</w:t>
      </w:r>
    </w:p>
    <w:p>
      <w:pPr>
        <w:ind w:firstLine="560"/>
      </w:pPr>
      <w:r>
        <w:rPr>
          <w:rFonts w:hint="eastAsia"/>
        </w:rPr>
        <w:t>“十三五”期间，德宏州的地质灾害隐患数量由“十二五”初期的7</w:t>
      </w:r>
      <w:r>
        <w:t>85</w:t>
      </w:r>
      <w:r>
        <w:rPr>
          <w:rFonts w:hint="eastAsia"/>
        </w:rPr>
        <w:t>处逐年增加至9</w:t>
      </w:r>
      <w:r>
        <w:t>87</w:t>
      </w:r>
      <w:r>
        <w:rPr>
          <w:rFonts w:hint="eastAsia"/>
        </w:rPr>
        <w:t>处达到峰值，之后逐年下降，截止2</w:t>
      </w:r>
      <w:r>
        <w:t>02</w:t>
      </w:r>
      <w:r>
        <w:rPr>
          <w:rFonts w:hint="eastAsia"/>
        </w:rPr>
        <w:t>0年底，在册地质灾害隐患896处，“十三五”期间共核销隐患243处。</w:t>
      </w:r>
    </w:p>
    <w:p>
      <w:pPr>
        <w:ind w:firstLine="560"/>
      </w:pPr>
      <w:r>
        <w:rPr>
          <w:rFonts w:hint="eastAsia"/>
        </w:rPr>
        <w:t>（</w:t>
      </w:r>
      <w:r>
        <w:t>2</w:t>
      </w:r>
      <w:r>
        <w:rPr>
          <w:rFonts w:hint="eastAsia"/>
        </w:rPr>
        <w:t>）威胁对象</w:t>
      </w:r>
    </w:p>
    <w:p>
      <w:pPr>
        <w:ind w:firstLine="560"/>
      </w:pPr>
      <w:r>
        <w:rPr>
          <w:rFonts w:hint="eastAsia"/>
        </w:rPr>
        <w:t>通过有效的治理、搬迁工作，德宏州受地质灾害威胁人口共减少2</w:t>
      </w:r>
      <w:r>
        <w:t>03968</w:t>
      </w:r>
      <w:r>
        <w:rPr>
          <w:rFonts w:hint="eastAsia"/>
        </w:rPr>
        <w:t>人，威胁资产减少6</w:t>
      </w:r>
      <w:r>
        <w:t>85549</w:t>
      </w:r>
      <w:r>
        <w:rPr>
          <w:rFonts w:hint="eastAsia"/>
        </w:rPr>
        <w:t>万元，解除威胁的人数和资产均超过上一轮规划基数（威胁人口1</w:t>
      </w:r>
      <w:r>
        <w:t>62242</w:t>
      </w:r>
      <w:r>
        <w:rPr>
          <w:rFonts w:hint="eastAsia"/>
        </w:rPr>
        <w:t>人、资产6</w:t>
      </w:r>
      <w:r>
        <w:t>74930.6</w:t>
      </w:r>
      <w:r>
        <w:rPr>
          <w:rFonts w:hint="eastAsia"/>
        </w:rPr>
        <w:t>万元）。</w:t>
      </w:r>
    </w:p>
    <w:p>
      <w:pPr>
        <w:ind w:firstLine="560"/>
      </w:pPr>
      <w:r>
        <w:rPr>
          <w:rFonts w:hint="eastAsia"/>
        </w:rPr>
        <w:t>（</w:t>
      </w:r>
      <w:r>
        <w:t>3</w:t>
      </w:r>
      <w:r>
        <w:rPr>
          <w:rFonts w:hint="eastAsia"/>
        </w:rPr>
        <w:t>）地质灾害灾情</w:t>
      </w:r>
    </w:p>
    <w:p>
      <w:pPr>
        <w:ind w:firstLine="560"/>
      </w:pPr>
      <w:r>
        <w:t>2004年～2010年</w:t>
      </w:r>
      <w:r>
        <w:rPr>
          <w:rFonts w:hint="eastAsia"/>
        </w:rPr>
        <w:t>间</w:t>
      </w:r>
      <w:r>
        <w:t>，全州共发生地质灾害1018起，造成的人员伤亡123人，其中：死亡105人、受伤18人；造成经济损失18322.94万元</w:t>
      </w:r>
      <w:r>
        <w:rPr>
          <w:rFonts w:hint="eastAsia"/>
        </w:rPr>
        <w:t>。</w:t>
      </w:r>
    </w:p>
    <w:p>
      <w:pPr>
        <w:ind w:firstLine="560"/>
      </w:pPr>
      <w:r>
        <w:rPr>
          <w:rFonts w:hint="eastAsia"/>
        </w:rPr>
        <w:t>自“十三五”实施以来，全州积极实施地质灾害防治工作，逐年发生地质灾害的数量总体呈下降趋势，五年来共发生地质灾害276起，造成6人死亡、6人受伤，直接经济损失8136.6万元，因灾伤亡人数减少74%。由于地质灾害综合防治体系的建设和实施，使德宏州地质灾害防治工作到位，预警及时，上述造成人员伤亡的地质灾害均未在自然资源部门职责范围内发生。</w:t>
      </w:r>
    </w:p>
    <w:p>
      <w:pPr>
        <w:ind w:firstLine="560"/>
      </w:pPr>
      <w:r>
        <w:rPr>
          <w:rFonts w:hint="eastAsia"/>
        </w:rPr>
        <w:t>（</w:t>
      </w:r>
      <w:r>
        <w:t>4</w:t>
      </w:r>
      <w:r>
        <w:rPr>
          <w:rFonts w:hint="eastAsia"/>
        </w:rPr>
        <w:t>）成功预报避险</w:t>
      </w:r>
    </w:p>
    <w:p>
      <w:pPr>
        <w:ind w:firstLine="560"/>
      </w:pPr>
      <w:r>
        <w:rPr>
          <w:rFonts w:hint="eastAsia"/>
        </w:rPr>
        <w:t>由于地质灾害监管制度不断完善，群众防灾减灾意识不断增强，地质灾害监测预警手段不断提升，2</w:t>
      </w:r>
      <w:r>
        <w:t>01</w:t>
      </w:r>
      <w:r>
        <w:rPr>
          <w:rFonts w:hint="eastAsia"/>
        </w:rPr>
        <w:t>6年以来，德宏州成功预报地质灾害5起，使272人成功避灾，避免直接经济损失数千万元。</w:t>
      </w:r>
    </w:p>
    <w:p>
      <w:pPr>
        <w:pStyle w:val="5"/>
      </w:pPr>
      <w:bookmarkStart w:id="16" w:name="_Toc88832943"/>
      <w:r>
        <w:rPr>
          <w:rFonts w:hint="eastAsia"/>
        </w:rPr>
        <w:t>3、主要问题</w:t>
      </w:r>
      <w:bookmarkEnd w:id="16"/>
    </w:p>
    <w:p>
      <w:pPr>
        <w:ind w:firstLine="560"/>
      </w:pPr>
      <w:r>
        <w:rPr>
          <w:rFonts w:hint="eastAsia"/>
        </w:rPr>
        <w:t>（1）对地质灾害隐患风险早期识别和动态变化规律认识还存在不足</w:t>
      </w:r>
    </w:p>
    <w:p>
      <w:pPr>
        <w:ind w:firstLine="560"/>
      </w:pPr>
      <w:r>
        <w:rPr>
          <w:rFonts w:hint="eastAsia"/>
        </w:rPr>
        <w:t>由于地质灾害不仅受地质条件控制，还与降雨、地震、人类工程活动等关系密切，具有很强的隐蔽性和复杂性。目前，德宏州对地质灾害易发区域的调查深度和精度不足、地质灾害风险评价不够深入，导致防范范围局限等问题，在地质灾害核销的同时也有大量新增地质灾害隐患。</w:t>
      </w:r>
    </w:p>
    <w:p>
      <w:pPr>
        <w:ind w:firstLine="560"/>
      </w:pPr>
      <w:r>
        <w:rPr>
          <w:rFonts w:hint="eastAsia"/>
        </w:rPr>
        <w:t>（2）地质灾害风险防控能力有待加强</w:t>
      </w:r>
    </w:p>
    <w:p>
      <w:pPr>
        <w:ind w:firstLine="560"/>
      </w:pPr>
      <w:r>
        <w:rPr>
          <w:rFonts w:hint="eastAsia"/>
        </w:rPr>
        <w:t>虽然经过近2</w:t>
      </w:r>
      <w:r>
        <w:t>0</w:t>
      </w:r>
      <w:r>
        <w:rPr>
          <w:rFonts w:hint="eastAsia"/>
        </w:rPr>
        <w:t>年的努力，德宏州地质灾害综合防治能力明显提升，因灾伤亡人数持续下降，但是地质灾害仍每年均有发生，灾害及伤亡情况总是出现在责任监测范围之外（已有隐患点范围外），这就充分体现出德宏州在地质灾害风险防控上的不足和更完善的制度的欠缺。</w:t>
      </w:r>
    </w:p>
    <w:p>
      <w:pPr>
        <w:ind w:firstLine="560"/>
      </w:pPr>
      <w:r>
        <w:rPr>
          <w:rFonts w:hint="eastAsia"/>
        </w:rPr>
        <w:t>（3）监测预警科技水平亟待提高</w:t>
      </w:r>
    </w:p>
    <w:p>
      <w:pPr>
        <w:ind w:firstLine="560"/>
      </w:pPr>
      <w:r>
        <w:rPr>
          <w:rFonts w:hint="eastAsia"/>
        </w:rPr>
        <w:t>长期以来，德宏州的地质灾害监测主要依靠群测群防体系，后来建立了气象风险预警体系，近年才逐步实施监测预警工程建设。总体监测自动化程度低、科技水平低、专业监测、信息化建设比较落后，监测预警覆盖面和进准度还需进一步提高。同时针对监测员的培训也许加强，以解决目前普遍存在的监测员对地质灾害及隐患认识不足、监测重点把握不到位、监测范围不全面的问题。</w:t>
      </w:r>
    </w:p>
    <w:p>
      <w:pPr>
        <w:ind w:firstLine="560"/>
      </w:pPr>
      <w:r>
        <w:rPr>
          <w:rFonts w:hint="eastAsia"/>
        </w:rPr>
        <w:t>（4）地质灾害工程治理任务依然艰巨</w:t>
      </w:r>
    </w:p>
    <w:p>
      <w:pPr>
        <w:ind w:firstLine="560"/>
      </w:pPr>
      <w:r>
        <w:rPr>
          <w:rFonts w:hint="eastAsia"/>
        </w:rPr>
        <w:t>近十年，德宏州地质灾害隐患数量经历了一个先增后减的变化过程，前期隐患数量增加时由于每年均有新增隐患，但地质灾害工程治理才刚起步，防治效果还不突出，后期的逐年减少就突出了“十三五”期间的地质灾害工程治理成效。即使2</w:t>
      </w:r>
      <w:r>
        <w:t>013</w:t>
      </w:r>
      <w:r>
        <w:rPr>
          <w:rFonts w:hint="eastAsia"/>
        </w:rPr>
        <w:t>～2</w:t>
      </w:r>
      <w:r>
        <w:t>019</w:t>
      </w:r>
      <w:r>
        <w:rPr>
          <w:rFonts w:hint="eastAsia"/>
        </w:rPr>
        <w:t>年间，核销了部分隐患，但地质灾害隐患总数仍居高不下，说明新增隐患较多，所以地质灾害工程治理的任务依然间距。再者，德宏州地质灾害隐患存在显著的点多面广、单点规模小、突发性强的特点，山区交通及建筑材料等条件相对较差，工程治理投资成本较大，工程实施及监管难度大。</w:t>
      </w:r>
    </w:p>
    <w:p>
      <w:pPr>
        <w:ind w:firstLine="560"/>
      </w:pPr>
    </w:p>
    <w:p>
      <w:pPr>
        <w:ind w:firstLine="560"/>
      </w:pPr>
      <w:r>
        <w:rPr>
          <w:rFonts w:hint="eastAsia"/>
        </w:rPr>
        <w:t>（5）科技创新、推进新技术和方法在地质灾害防治工作的应用还不够深入。</w:t>
      </w:r>
    </w:p>
    <w:p>
      <w:pPr>
        <w:ind w:firstLine="560"/>
      </w:pPr>
      <w:r>
        <w:rPr>
          <w:rFonts w:hint="eastAsia"/>
        </w:rPr>
        <w:t>（6）管理问题</w:t>
      </w:r>
    </w:p>
    <w:p>
      <w:pPr>
        <w:ind w:firstLine="560"/>
      </w:pPr>
      <w:r>
        <w:rPr>
          <w:rFonts w:hint="eastAsia"/>
        </w:rPr>
        <w:t>地质灾害防治工程同国土空间规划、生态修复、城镇建设、交通、水利等统筹谋划的程度低。主要表现在：</w:t>
      </w:r>
    </w:p>
    <w:p>
      <w:pPr>
        <w:ind w:firstLine="560"/>
      </w:pPr>
      <w:r>
        <w:rPr>
          <w:rFonts w:hint="eastAsia"/>
        </w:rPr>
        <w:t>①城市规划对地质灾害问题考虑不到位，往往城镇建设在前，地质灾害治理滞后，导致某些地质灾害在工程治理实施方面受到严重限制而使地质灾害无法彻底消除。</w:t>
      </w:r>
    </w:p>
    <w:p>
      <w:pPr>
        <w:ind w:firstLine="560"/>
      </w:pPr>
      <w:r>
        <w:rPr>
          <w:rFonts w:hint="eastAsia"/>
        </w:rPr>
        <w:t>②一些泥石流排泄通道被居民建筑、公共设施、道路等挤占，无法满足过流，且无法实施排导工程。</w:t>
      </w:r>
    </w:p>
    <w:p>
      <w:pPr>
        <w:ind w:firstLine="560"/>
      </w:pPr>
      <w:r>
        <w:rPr>
          <w:rFonts w:hint="eastAsia"/>
        </w:rPr>
        <w:t>③其他部门在遇到地质灾害时，防治工程考虑不全面，治理不彻底，导致后期再进行治理时实施难度大等</w:t>
      </w:r>
    </w:p>
    <w:p>
      <w:pPr>
        <w:pStyle w:val="5"/>
      </w:pPr>
      <w:bookmarkStart w:id="17" w:name="_Toc88832944"/>
      <w:r>
        <w:rPr>
          <w:rFonts w:hint="eastAsia"/>
        </w:rPr>
        <w:t>4、突破方向</w:t>
      </w:r>
      <w:bookmarkEnd w:id="17"/>
    </w:p>
    <w:p>
      <w:pPr>
        <w:ind w:firstLine="560"/>
      </w:pPr>
      <w:r>
        <w:rPr>
          <w:rFonts w:hint="eastAsia"/>
        </w:rPr>
        <w:t>针对前述问题，特提出如下方向措施：</w:t>
      </w:r>
    </w:p>
    <w:p>
      <w:pPr>
        <w:ind w:firstLine="560"/>
      </w:pPr>
      <w:r>
        <w:rPr>
          <w:rFonts w:hint="eastAsia"/>
        </w:rPr>
        <w:t>（1）进一步加强调查评价工作，充分利用先进科学技术，提高调查评价深度及精度，准确掌握辖区内地质灾害隐患底数。坚持关口前移、源头预防思想，开展地质灾害隐患点和风险区双控研究。</w:t>
      </w:r>
    </w:p>
    <w:p>
      <w:pPr>
        <w:ind w:firstLine="560"/>
      </w:pPr>
      <w:r>
        <w:rPr>
          <w:rFonts w:hint="eastAsia"/>
        </w:rPr>
        <w:t>（2）全面开展地质灾害普适型及专业监测预警工程建设，提高监测预警覆盖面及信息化实时管理。</w:t>
      </w:r>
    </w:p>
    <w:p>
      <w:pPr>
        <w:ind w:firstLine="560"/>
      </w:pPr>
      <w:r>
        <w:rPr>
          <w:rFonts w:hint="eastAsia"/>
        </w:rPr>
        <w:t>（3）进一步加强工程治理及避险搬迁工作的管控，并积极探索和采用新技术、新方法，推进地质灾害治理向更彻底、更高效、更经济、更环保方向发展。</w:t>
      </w:r>
    </w:p>
    <w:p>
      <w:pPr>
        <w:ind w:firstLine="560"/>
      </w:pPr>
      <w:r>
        <w:rPr>
          <w:rFonts w:hint="eastAsia"/>
        </w:rPr>
        <w:t>（4）加强队伍建设</w:t>
      </w:r>
    </w:p>
    <w:p>
      <w:pPr>
        <w:ind w:firstLine="560"/>
      </w:pPr>
      <w:r>
        <w:rPr>
          <w:rFonts w:hint="eastAsia"/>
        </w:rPr>
        <w:t>①增加人员编制，使基层管理队伍逐渐壮大，人员配置更合理、更充分。</w:t>
      </w:r>
    </w:p>
    <w:p>
      <w:pPr>
        <w:ind w:firstLine="560"/>
      </w:pPr>
      <w:r>
        <w:rPr>
          <w:rFonts w:hint="eastAsia"/>
        </w:rPr>
        <w:t>②进一步加强宣传培训，使管理人员、监测人员、广大群众对地质灾害的认识不断加深，防灾减灾意识不断增强。</w:t>
      </w:r>
    </w:p>
    <w:p>
      <w:pPr>
        <w:ind w:firstLine="560"/>
      </w:pPr>
      <w:r>
        <w:rPr>
          <w:rFonts w:hint="eastAsia"/>
        </w:rPr>
        <w:t>③充分利用好《云南省地质灾害防治技术支撑体系建设实施方案》，使技术支撑工作发挥良好的带动作用，为州及各县（市）培养自己的地质灾害管理人员做出最大贡献。</w:t>
      </w:r>
    </w:p>
    <w:p>
      <w:pPr>
        <w:ind w:firstLine="560"/>
      </w:pPr>
      <w:r>
        <w:rPr>
          <w:rFonts w:hint="eastAsia"/>
        </w:rPr>
        <w:t>④加强与专业技术队伍的合作，与熟悉德宏州地质灾害情况的单位形成长效合作机制，创造共赢。</w:t>
      </w:r>
    </w:p>
    <w:p>
      <w:pPr>
        <w:ind w:firstLine="560"/>
      </w:pPr>
      <w:r>
        <w:rPr>
          <w:rFonts w:hint="eastAsia"/>
        </w:rPr>
        <w:t>（5）加强管理及制度建设</w:t>
      </w:r>
    </w:p>
    <w:p>
      <w:pPr>
        <w:ind w:firstLine="560"/>
        <w:rPr>
          <w:rFonts w:hAnsi="宋体"/>
          <w:szCs w:val="28"/>
        </w:rPr>
      </w:pPr>
      <w:r>
        <w:rPr>
          <w:rFonts w:hint="eastAsia" w:hAnsi="宋体"/>
          <w:szCs w:val="28"/>
        </w:rPr>
        <w:t>加强建设规划管理及工程建设对地质环境影响和破坏的监督和管理工作，避免因工程建设中不合理建设引发地质灾害的情况发生。同时加强各方规划的统筹谋划。</w:t>
      </w:r>
    </w:p>
    <w:p>
      <w:pPr>
        <w:ind w:firstLine="560"/>
        <w:rPr>
          <w:rFonts w:hAnsi="宋体"/>
          <w:szCs w:val="28"/>
        </w:rPr>
      </w:pPr>
      <w:r>
        <w:rPr>
          <w:rFonts w:hint="eastAsia" w:hAnsi="宋体"/>
          <w:szCs w:val="28"/>
        </w:rPr>
        <w:t>（6）探索多渠道资金筹措方式，提升地质灾害防治资金的保障水平。</w:t>
      </w:r>
    </w:p>
    <w:p>
      <w:pPr>
        <w:pStyle w:val="4"/>
        <w:spacing w:before="240" w:after="120"/>
      </w:pPr>
      <w:bookmarkStart w:id="18" w:name="_Toc88832945"/>
      <w:r>
        <w:rPr>
          <w:rFonts w:hint="eastAsia"/>
        </w:rPr>
        <w:t>（三）“十四五”地质灾害防治面临的形势</w:t>
      </w:r>
      <w:bookmarkEnd w:id="18"/>
    </w:p>
    <w:p>
      <w:pPr>
        <w:ind w:firstLine="560"/>
      </w:pPr>
      <w:r>
        <w:rPr>
          <w:rFonts w:hint="eastAsia"/>
        </w:rPr>
        <w:t>党中央、国务院、各级政府关于维护公共安全和加强防灾减灾体系建设对地质灾害防治工作提出了新要求。习近平总书记指出，加强自然灾害防治关系国计民生，要建立高效科学的自然灾害防治体系，提高全社会自然灾害防治能力，为保护人民群众生命财产安全和国家安全提供有力保障。根据相关要求，各地各级需全力做好地质灾害“十四五”防治规划编制工作，最大限度地保护人民群众安全，减轻地质灾害造成的人员伤亡和财产损失，进一步提高防灾减灾能力。</w:t>
      </w:r>
    </w:p>
    <w:p>
      <w:pPr>
        <w:ind w:firstLine="560"/>
      </w:pPr>
      <w:r>
        <w:rPr>
          <w:rFonts w:hint="eastAsia"/>
        </w:rPr>
        <w:t>根据“十三五”时期地质灾害防治工作总结的问题和经验，以及各领域、各级政府财政事权和支出责任划分改革等重大事项，在“十四五”期间，德宏州地质灾害防治面临的主要形势为：</w:t>
      </w:r>
    </w:p>
    <w:p>
      <w:pPr>
        <w:pStyle w:val="5"/>
      </w:pPr>
      <w:bookmarkStart w:id="19" w:name="_Toc88832946"/>
      <w:r>
        <w:rPr>
          <w:rFonts w:hint="eastAsia"/>
        </w:rPr>
        <w:t>1、有利形势</w:t>
      </w:r>
      <w:bookmarkEnd w:id="19"/>
    </w:p>
    <w:p>
      <w:pPr>
        <w:ind w:firstLine="560"/>
      </w:pPr>
      <w:r>
        <w:rPr>
          <w:rFonts w:hint="eastAsia"/>
        </w:rPr>
        <w:t>（1）习近平总书记、党中央、国务院、自然资源部对地质灾害防治工作的更高要求。</w:t>
      </w:r>
    </w:p>
    <w:p>
      <w:pPr>
        <w:ind w:firstLine="560"/>
      </w:pPr>
      <w:r>
        <w:rPr>
          <w:rFonts w:hint="eastAsia"/>
        </w:rPr>
        <w:t>习近平总书记、党中央、国务院、自然资源部在多次讲话、会议、中长期发展战略、远景2035发展战略中对地质灾害的防治提出了更高要求，防灾减灾工作的大力提升对国民经济建设起到保驾护航的作用，对社会的稳定发展大局至关重要。</w:t>
      </w:r>
    </w:p>
    <w:p>
      <w:pPr>
        <w:ind w:firstLine="560"/>
      </w:pPr>
      <w:r>
        <w:rPr>
          <w:rFonts w:hint="eastAsia"/>
        </w:rPr>
        <w:t>（2）地质灾害防治思路转变</w:t>
      </w:r>
    </w:p>
    <w:p>
      <w:pPr>
        <w:ind w:firstLine="560"/>
      </w:pPr>
      <w:r>
        <w:rPr>
          <w:rFonts w:hint="eastAsia"/>
        </w:rPr>
        <w:t>按照“两个坚持、三个转变”（即“坚持以防为主、防抗救相结合；坚持常态减灾和非常态救灾相统一”、“从注重灾后救助向注重灾前预防转变；从应对单一灾种向综合减灾转变；从减少灾害损失向减轻灾害风险转变”）的要求加强地质灾害防治，充分开展灾害体构造、地质结构的精细化调查、区域风险调查与评价，支撑地质灾害防治管理工作由“点”向“点面结合”转变，并能满足资源环境保护和社会经济发展的重要需求。</w:t>
      </w:r>
    </w:p>
    <w:p>
      <w:pPr>
        <w:pStyle w:val="5"/>
      </w:pPr>
      <w:bookmarkStart w:id="20" w:name="_Toc88832947"/>
      <w:r>
        <w:rPr>
          <w:rFonts w:hint="eastAsia"/>
        </w:rPr>
        <w:t>2、不利形势</w:t>
      </w:r>
      <w:bookmarkEnd w:id="20"/>
    </w:p>
    <w:p>
      <w:pPr>
        <w:ind w:firstLine="560"/>
      </w:pPr>
      <w:r>
        <w:rPr>
          <w:rFonts w:hint="eastAsia"/>
        </w:rPr>
        <w:t>（1）德宏州山多平地少、地质环境条件复杂，地质灾害多发频发的基础没有发生根本变化，加之近年气候条件特殊多变，异常天气事件和地震频发，地质灾害隐患数量总体居高不下，地质灾害威胁将长期存在，地质灾害防治任务依然繁重。</w:t>
      </w:r>
    </w:p>
    <w:p>
      <w:pPr>
        <w:ind w:firstLine="560"/>
      </w:pPr>
      <w:r>
        <w:rPr>
          <w:rFonts w:hint="eastAsia"/>
        </w:rPr>
        <w:t>（2）德宏州地质灾害隐患点多面广、单点规模小、突发性强的特点依然没变，山区交通及建筑材料等条件相对较差问题长期存在，工程治理实施及监管难度依然较大，这就要求我们不断探索和创新，采用新技术、新方法，推进地质灾害治理向更彻底、更高效、更经济、更环保方向发展。</w:t>
      </w:r>
    </w:p>
    <w:p>
      <w:pPr>
        <w:ind w:firstLine="560"/>
      </w:pPr>
      <w:r>
        <w:rPr>
          <w:rFonts w:hint="eastAsia"/>
        </w:rPr>
        <w:t>（3）近年随着人类工程活动的不断增强，一些新的问题也不断涌现，如各类地质环境问题及地质灾害变得更加复杂。地质灾害防治工作应加强与城乡建设、国土空间规划、生态修复保护等相关工作部门的协作，统筹谋划，尽量避免因人类工程活动引起的地质灾害发生。</w:t>
      </w:r>
    </w:p>
    <w:p>
      <w:pPr>
        <w:ind w:firstLine="560"/>
      </w:pPr>
      <w:r>
        <w:rPr>
          <w:rFonts w:hint="eastAsia"/>
        </w:rPr>
        <w:t>（4）地质灾害工程治理任务多，但经济下行压力大，单一的地方财政投入难以支撑防治经费支出。</w:t>
      </w:r>
    </w:p>
    <w:p>
      <w:pPr>
        <w:ind w:firstLine="560"/>
        <w:sectPr>
          <w:footerReference r:id="rId11" w:type="default"/>
          <w:pgSz w:w="11907" w:h="16840"/>
          <w:pgMar w:top="1134" w:right="1134" w:bottom="1134" w:left="1418" w:header="851" w:footer="737" w:gutter="0"/>
          <w:pgNumType w:start="1"/>
          <w:cols w:space="425" w:num="1"/>
          <w:docGrid w:linePitch="381" w:charSpace="0"/>
        </w:sectPr>
      </w:pPr>
    </w:p>
    <w:p>
      <w:pPr>
        <w:pStyle w:val="3"/>
      </w:pPr>
      <w:bookmarkStart w:id="21" w:name="_Toc88832948"/>
      <w:r>
        <w:rPr>
          <w:rFonts w:hint="eastAsia"/>
        </w:rPr>
        <w:t>二、指导思想和规划目标</w:t>
      </w:r>
      <w:bookmarkEnd w:id="21"/>
    </w:p>
    <w:p>
      <w:pPr>
        <w:pStyle w:val="4"/>
        <w:spacing w:before="240" w:after="120"/>
      </w:pPr>
      <w:bookmarkStart w:id="22" w:name="_Toc88832949"/>
      <w:r>
        <w:rPr>
          <w:rFonts w:hint="eastAsia"/>
        </w:rPr>
        <w:t>（一）指导思想</w:t>
      </w:r>
      <w:bookmarkEnd w:id="22"/>
    </w:p>
    <w:p>
      <w:pPr>
        <w:ind w:firstLine="560"/>
        <w:rPr>
          <w:rFonts w:hAnsi="宋体"/>
          <w:szCs w:val="28"/>
        </w:rPr>
      </w:pPr>
      <w:r>
        <w:rPr>
          <w:rFonts w:hint="eastAsia"/>
        </w:rPr>
        <w:t>以习近平新时代中国特色社会主义思想为指导，贯彻党的十九大、十九届二中、三中、四中、五中全会精神，全面贯彻落实习近平总书记关于防灾减灾救灾的系列重要论述指示及中央财经委第八次会议精神，坚持“人民至 上、生命至上”的理念，牢固树立地质灾害防治是“生命工程”、“民生工程”的思想</w:t>
      </w:r>
      <w:r>
        <w:rPr>
          <w:rFonts w:hAnsi="宋体"/>
          <w:szCs w:val="28"/>
        </w:rPr>
        <w:t>，</w:t>
      </w:r>
      <w:r>
        <w:rPr>
          <w:rFonts w:hint="eastAsia" w:hAnsi="宋体"/>
          <w:szCs w:val="28"/>
        </w:rPr>
        <w:t>把</w:t>
      </w:r>
      <w:r>
        <w:rPr>
          <w:rFonts w:hAnsi="宋体"/>
          <w:szCs w:val="28"/>
        </w:rPr>
        <w:t>保障人民群众生命财产安全放在首位，尊重自然、顺应自然、保护自然，加强统筹协调，</w:t>
      </w:r>
      <w:r>
        <w:rPr>
          <w:rFonts w:hint="eastAsia" w:hAnsi="宋体"/>
          <w:szCs w:val="28"/>
        </w:rPr>
        <w:t>以地质灾害风险识别、风险管控为主线，充分依靠科技进步和管理创新，全面提高地质灾害综合防治能力，为德宏州的发展战略建设营造安全稳定的环境。</w:t>
      </w:r>
    </w:p>
    <w:p>
      <w:pPr>
        <w:pStyle w:val="4"/>
        <w:spacing w:before="240" w:after="120"/>
      </w:pPr>
      <w:bookmarkStart w:id="23" w:name="_Toc88832950"/>
      <w:r>
        <w:rPr>
          <w:rFonts w:hint="eastAsia"/>
        </w:rPr>
        <w:t>（二）规划原则</w:t>
      </w:r>
      <w:bookmarkEnd w:id="23"/>
    </w:p>
    <w:p>
      <w:pPr>
        <w:pStyle w:val="5"/>
      </w:pPr>
      <w:bookmarkStart w:id="24" w:name="_Toc74152586"/>
      <w:bookmarkStart w:id="25" w:name="_Toc88832951"/>
      <w:bookmarkStart w:id="26" w:name="_Hlk69223231"/>
      <w:r>
        <w:rPr>
          <w:rFonts w:hint="eastAsia"/>
        </w:rPr>
        <w:t>1、</w:t>
      </w:r>
      <w:r>
        <w:t>坚持依法防治和分级分类负责</w:t>
      </w:r>
      <w:bookmarkEnd w:id="24"/>
      <w:bookmarkEnd w:id="25"/>
    </w:p>
    <w:p>
      <w:pPr>
        <w:ind w:firstLine="560"/>
      </w:pPr>
      <w:r>
        <w:rPr>
          <w:rFonts w:hint="eastAsia"/>
        </w:rPr>
        <w:t>加强和完善地质灾害防治管理制度建设，严格遵守《地质灾</w:t>
      </w:r>
      <w:r>
        <w:t>害防治条例》</w:t>
      </w:r>
      <w:r>
        <w:rPr>
          <w:rFonts w:hint="eastAsia"/>
        </w:rPr>
        <w:t>及</w:t>
      </w:r>
      <w:r>
        <w:t>相关法规、规章、管理办法及行业标准，做到依法防灾</w:t>
      </w:r>
      <w:r>
        <w:rPr>
          <w:rFonts w:hint="eastAsia"/>
        </w:rPr>
        <w:t>。</w:t>
      </w:r>
      <w:r>
        <w:t>坚持政府组织领导、部门分工协作、全社会共同参与，属地为主、分级管理</w:t>
      </w:r>
      <w:r>
        <w:rPr>
          <w:rFonts w:hint="eastAsia"/>
        </w:rPr>
        <w:t>。</w:t>
      </w:r>
      <w:r>
        <w:t>坚持</w:t>
      </w:r>
      <w:r>
        <w:rPr>
          <w:rFonts w:hint="eastAsia"/>
        </w:rPr>
        <w:t>“</w:t>
      </w:r>
      <w:r>
        <w:t>谁引发、谁治理</w:t>
      </w:r>
      <w:r>
        <w:rPr>
          <w:rFonts w:hint="eastAsia"/>
        </w:rPr>
        <w:t>”</w:t>
      </w:r>
      <w:r>
        <w:t>、</w:t>
      </w:r>
      <w:r>
        <w:rPr>
          <w:rFonts w:hint="eastAsia"/>
        </w:rPr>
        <w:t>“</w:t>
      </w:r>
      <w:r>
        <w:t>谁投资、谁受益</w:t>
      </w:r>
      <w:r>
        <w:rPr>
          <w:rFonts w:hint="eastAsia"/>
        </w:rPr>
        <w:t>”</w:t>
      </w:r>
      <w:r>
        <w:t>的原则，落实相关责任主体的防治责任。</w:t>
      </w:r>
    </w:p>
    <w:p>
      <w:pPr>
        <w:pStyle w:val="5"/>
      </w:pPr>
      <w:bookmarkStart w:id="27" w:name="_Toc88832952"/>
      <w:bookmarkStart w:id="28" w:name="_Toc74152587"/>
      <w:r>
        <w:t>2</w:t>
      </w:r>
      <w:r>
        <w:rPr>
          <w:rFonts w:hint="eastAsia"/>
        </w:rPr>
        <w:t>、</w:t>
      </w:r>
      <w:r>
        <w:t>坚持重心前移和统筹科学规划</w:t>
      </w:r>
      <w:bookmarkEnd w:id="27"/>
      <w:bookmarkEnd w:id="28"/>
    </w:p>
    <w:p>
      <w:pPr>
        <w:ind w:firstLine="560"/>
      </w:pPr>
      <w:r>
        <w:rPr>
          <w:rFonts w:hint="eastAsia"/>
        </w:rPr>
        <w:t>将地质灾害防治工作的重点从灾后救助、灾后治理转移到灾前预防、灾前规避。强化隐患点基础调查排查和风险管控，不断提升地质灾害隐患识别能力，逐步完善监测预警体系，将地质灾害风险管控理念融入国土空间与用途管控，从源头减轻风险。对威胁城区、学校、医院、移民安置点等人口密集区及重要工程设施的重大地质灾害隐患，按风险高低分期有序实施防治，适时处理好局部与整体、近期与远期的关系。</w:t>
      </w:r>
    </w:p>
    <w:p>
      <w:pPr>
        <w:pStyle w:val="5"/>
      </w:pPr>
      <w:bookmarkStart w:id="29" w:name="_Toc88832953"/>
      <w:bookmarkStart w:id="30" w:name="_Toc74152588"/>
      <w:r>
        <w:t>3</w:t>
      </w:r>
      <w:r>
        <w:rPr>
          <w:rFonts w:hint="eastAsia"/>
        </w:rPr>
        <w:t>、</w:t>
      </w:r>
      <w:r>
        <w:t>坚持“以人为本，预防为主，避让与治理相结合”</w:t>
      </w:r>
      <w:bookmarkEnd w:id="29"/>
      <w:bookmarkEnd w:id="30"/>
    </w:p>
    <w:p>
      <w:pPr>
        <w:ind w:firstLine="560"/>
      </w:pPr>
      <w:r>
        <w:rPr>
          <w:rFonts w:hint="eastAsia"/>
        </w:rPr>
        <w:t>充分发挥各级政府在地质灾害防治建设中的主导地位，动员社会各方面力量，在深入开展地质灾害调查与评价的基础上，建立健全具有各地特色的地质灾害监测预警体系，加大地质灾害的综合治理与避险搬迁力度，实现国民经济和生态环境的协调</w:t>
      </w:r>
      <w:r>
        <w:t>发展。</w:t>
      </w:r>
    </w:p>
    <w:p>
      <w:pPr>
        <w:pStyle w:val="5"/>
      </w:pPr>
      <w:bookmarkStart w:id="31" w:name="_Toc74152589"/>
      <w:bookmarkStart w:id="32" w:name="_Toc88832954"/>
      <w:r>
        <w:t>4</w:t>
      </w:r>
      <w:r>
        <w:rPr>
          <w:rFonts w:hint="eastAsia"/>
        </w:rPr>
        <w:t>、</w:t>
      </w:r>
      <w:r>
        <w:t>充分依靠科技进步和管理创新</w:t>
      </w:r>
      <w:bookmarkEnd w:id="31"/>
      <w:bookmarkEnd w:id="32"/>
    </w:p>
    <w:p>
      <w:pPr>
        <w:ind w:firstLine="560"/>
      </w:pPr>
      <w:r>
        <w:rPr>
          <w:rFonts w:hint="eastAsia"/>
        </w:rPr>
        <w:t>大力加强地质灾害调查评价、监测预警、综合治理与避险移</w:t>
      </w:r>
      <w:r>
        <w:t>民搬迁以及防治技术装备现代化，着力推进InSAR、无人机航空摄影、激光雷达等综合遥感技术和地理信息技术在地质灾害隐患识别、监测预警、应急响应、动态巡查排查核查等方面的应用，加强高新技术的推广与应用，做到科学防灾减灾</w:t>
      </w:r>
      <w:r>
        <w:rPr>
          <w:rFonts w:hint="eastAsia"/>
        </w:rPr>
        <w:t>，</w:t>
      </w:r>
      <w:r>
        <w:t>探索并逐步推广开展</w:t>
      </w:r>
      <w:r>
        <w:rPr>
          <w:rFonts w:hint="eastAsia"/>
        </w:rPr>
        <w:t>“</w:t>
      </w:r>
      <w:r>
        <w:t>隐患点＋风险区</w:t>
      </w:r>
      <w:r>
        <w:rPr>
          <w:rFonts w:hint="eastAsia"/>
        </w:rPr>
        <w:t>”</w:t>
      </w:r>
      <w:r>
        <w:t>双控管理的制度与措施。</w:t>
      </w:r>
    </w:p>
    <w:p>
      <w:pPr>
        <w:pStyle w:val="5"/>
      </w:pPr>
      <w:bookmarkStart w:id="33" w:name="_Toc88832955"/>
      <w:bookmarkStart w:id="34" w:name="_Toc74152590"/>
      <w:r>
        <w:t>5</w:t>
      </w:r>
      <w:r>
        <w:rPr>
          <w:rFonts w:hint="eastAsia"/>
        </w:rPr>
        <w:t>、</w:t>
      </w:r>
      <w:r>
        <w:t>坚持与各类规划的相互衔接和协调</w:t>
      </w:r>
      <w:bookmarkEnd w:id="33"/>
      <w:bookmarkEnd w:id="34"/>
    </w:p>
    <w:p>
      <w:pPr>
        <w:ind w:firstLine="560"/>
      </w:pPr>
      <w:r>
        <w:rPr>
          <w:rFonts w:hint="eastAsia"/>
        </w:rPr>
        <w:t>与相关部门积极配合、密切沟通，共同做好规划编制工作，提高规划的综合性、全面性和可实施性，实现与本地国民经济和社会发展、国土空间、生态保护修复、矿产资源、水资源开发与保护、山洪灾害防治、新农村建设、农村民居地震安全工程、校安工程、扶贫工程等规划的相互衔接和协调。</w:t>
      </w:r>
    </w:p>
    <w:bookmarkEnd w:id="26"/>
    <w:p>
      <w:pPr>
        <w:pStyle w:val="4"/>
        <w:spacing w:before="240" w:after="120"/>
      </w:pPr>
      <w:bookmarkStart w:id="35" w:name="_Toc88832956"/>
      <w:r>
        <w:rPr>
          <w:rFonts w:hint="eastAsia"/>
        </w:rPr>
        <w:t>（三）规划目标</w:t>
      </w:r>
      <w:bookmarkEnd w:id="35"/>
    </w:p>
    <w:p>
      <w:pPr>
        <w:pStyle w:val="5"/>
      </w:pPr>
      <w:bookmarkStart w:id="36" w:name="_Toc88832957"/>
      <w:r>
        <w:rPr>
          <w:rFonts w:hint="eastAsia"/>
        </w:rPr>
        <w:t>1、总体目标</w:t>
      </w:r>
      <w:bookmarkEnd w:id="36"/>
    </w:p>
    <w:p>
      <w:pPr>
        <w:ind w:firstLine="560"/>
      </w:pPr>
      <w:r>
        <w:rPr>
          <w:rFonts w:hint="eastAsia"/>
        </w:rPr>
        <w:t>“十四五”期间，着力全面构建德宏州地质灾害综合防治体系，切实提升地质灾害综合防治能力。建设完善“灾害风险调查和重点隐患排查、自然灾害综合治理和避险移民搬迁、自然灾害监测预警信息化、自然灾害防治技术装备现代化”四大工程。以隐患识别排查、风险评价和分级防控为主线，开展重点区域地质灾害风险调查和评价，掌握风险底数，进行风险区划和防治区划，支撑地质灾害防治管理工作由“点”向“点面结合”转变；逐步建成新型高效的“群专结合、专群并重”监测预警和气象风险预警网络体系；基本完成高风险区大型以上地质灾害隐患的工程治理和避险移民搬迁。</w:t>
      </w:r>
    </w:p>
    <w:p>
      <w:pPr>
        <w:pStyle w:val="5"/>
      </w:pPr>
      <w:bookmarkStart w:id="37" w:name="_Toc88832958"/>
      <w:r>
        <w:rPr>
          <w:rFonts w:hint="eastAsia"/>
        </w:rPr>
        <w:t>2、规划期目标</w:t>
      </w:r>
      <w:bookmarkEnd w:id="37"/>
    </w:p>
    <w:p>
      <w:pPr>
        <w:ind w:firstLine="560"/>
      </w:pPr>
      <w:r>
        <w:rPr>
          <w:rFonts w:hint="eastAsia"/>
        </w:rPr>
        <w:t>规划期目标主要体现在以下几个方面，主要措施目标即完成本《规划》第四章的防治规划，详见表2-1。</w:t>
      </w:r>
    </w:p>
    <w:p>
      <w:pPr>
        <w:ind w:firstLine="560"/>
      </w:pPr>
      <w:r>
        <w:rPr>
          <w:rFonts w:hint="eastAsia"/>
        </w:rPr>
        <w:t>（1）调查评价</w:t>
      </w:r>
    </w:p>
    <w:p>
      <w:pPr>
        <w:ind w:firstLine="560"/>
      </w:pPr>
      <w:r>
        <w:rPr>
          <w:rFonts w:hint="eastAsia"/>
        </w:rPr>
        <w:t>在既往调查的基础上，各县（市）对高、中易发区和受威胁严重的城镇分别开展重点区域地质灾害精细化调查与风险评价项目，充分掌握德宏州地质灾害风险底数和变化特征。</w:t>
      </w:r>
    </w:p>
    <w:p>
      <w:pPr>
        <w:ind w:firstLine="560"/>
      </w:pPr>
      <w:r>
        <w:rPr>
          <w:rFonts w:hint="eastAsia"/>
        </w:rPr>
        <w:t>（2）监测预警</w:t>
      </w:r>
    </w:p>
    <w:p>
      <w:pPr>
        <w:ind w:firstLine="560"/>
      </w:pPr>
      <w:r>
        <w:rPr>
          <w:rFonts w:hint="eastAsia"/>
        </w:rPr>
        <w:t>全面开展普适型及专业监测预警工程建设，构建更加完善的群测群防+专业监测预警网络和气象预警体系。使群测群防和气象风险预警体系更加科学完善。</w:t>
      </w:r>
    </w:p>
    <w:p>
      <w:pPr>
        <w:ind w:firstLine="560"/>
      </w:pPr>
      <w:r>
        <w:rPr>
          <w:rFonts w:hint="eastAsia"/>
        </w:rPr>
        <w:t>（3）工程治理及避险搬迁</w:t>
      </w:r>
    </w:p>
    <w:p>
      <w:pPr>
        <w:ind w:firstLine="560"/>
      </w:pPr>
      <w:r>
        <w:rPr>
          <w:rFonts w:hint="eastAsia"/>
        </w:rPr>
        <w:t xml:space="preserve"> 进一步推进集中、重点威胁人民生命财产安全的地质灾害综合治理和避让搬迁，并完成部分已建工程的延续配套治理。</w:t>
      </w:r>
    </w:p>
    <w:p>
      <w:pPr>
        <w:ind w:firstLine="560"/>
      </w:pPr>
      <w:r>
        <w:rPr>
          <w:rFonts w:hint="eastAsia"/>
        </w:rPr>
        <w:t>（4）技术支撑</w:t>
      </w:r>
    </w:p>
    <w:p>
      <w:pPr>
        <w:ind w:firstLine="560"/>
      </w:pPr>
      <w:r>
        <w:rPr>
          <w:rFonts w:hint="eastAsia"/>
        </w:rPr>
        <w:t>突出地质灾害防治驻地队伍的技术支撑作用，进一步夯实专业资质队伍驻州包县、驻县联乡的保障机制，巩固和提升州和各县（市）地质灾害防治技术支撑能力，提高地质灾害应急救援高新技术装备水平，规范和完善地质灾害应急响应内容、制度与流程，为科学、高效、有序地做好地质灾害应急救援工作提供有力的技术支撑服务；升级完善和用好地质灾害防治管理信息系统，不断提升信息化管理水平。</w:t>
      </w:r>
    </w:p>
    <w:p>
      <w:pPr>
        <w:ind w:firstLine="560"/>
      </w:pPr>
    </w:p>
    <w:p>
      <w:pPr>
        <w:ind w:firstLine="560"/>
      </w:pPr>
    </w:p>
    <w:p>
      <w:pPr>
        <w:ind w:firstLine="0" w:firstLineChars="0"/>
        <w:jc w:val="center"/>
        <w:rPr>
          <w:b/>
          <w:sz w:val="24"/>
          <w:szCs w:val="24"/>
        </w:rPr>
      </w:pPr>
      <w:r>
        <w:rPr>
          <w:rFonts w:hint="eastAsia"/>
          <w:b/>
          <w:sz w:val="24"/>
          <w:szCs w:val="24"/>
        </w:rPr>
        <w:t>表2-1  德宏州地质灾害防治“十四五”规划期年度防治目标</w:t>
      </w:r>
    </w:p>
    <w:tbl>
      <w:tblPr>
        <w:tblStyle w:val="35"/>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22"/>
        <w:gridCol w:w="524"/>
        <w:gridCol w:w="1447"/>
        <w:gridCol w:w="918"/>
        <w:gridCol w:w="8"/>
        <w:gridCol w:w="1188"/>
        <w:gridCol w:w="92"/>
        <w:gridCol w:w="1104"/>
        <w:gridCol w:w="167"/>
        <w:gridCol w:w="71"/>
        <w:gridCol w:w="957"/>
        <w:gridCol w:w="118"/>
        <w:gridCol w:w="1077"/>
        <w:gridCol w:w="131"/>
        <w:gridCol w:w="106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84" w:hRule="atLeast"/>
          <w:tblHeader/>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序号</w:t>
            </w:r>
          </w:p>
        </w:tc>
        <w:tc>
          <w:tcPr>
            <w:tcW w:w="1050" w:type="pct"/>
            <w:gridSpan w:val="2"/>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 xml:space="preserve">项 </w:t>
            </w:r>
            <w:r>
              <w:rPr>
                <w:rStyle w:val="93"/>
                <w:rFonts w:hint="default"/>
                <w:color w:val="auto"/>
                <w:sz w:val="21"/>
                <w:szCs w:val="21"/>
              </w:rPr>
              <w:t xml:space="preserve"> 目</w:t>
            </w:r>
          </w:p>
        </w:tc>
        <w:tc>
          <w:tcPr>
            <w:tcW w:w="3672" w:type="pct"/>
            <w:gridSpan w:val="1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经 费（万元）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blHeader/>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b/>
                <w:sz w:val="21"/>
              </w:rPr>
            </w:pPr>
          </w:p>
        </w:tc>
        <w:tc>
          <w:tcPr>
            <w:tcW w:w="1050" w:type="pct"/>
            <w:gridSpan w:val="2"/>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b/>
                <w:sz w:val="21"/>
              </w:rPr>
            </w:pP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合 计</w:t>
            </w:r>
          </w:p>
        </w:tc>
        <w:tc>
          <w:tcPr>
            <w:tcW w:w="686"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2021年</w:t>
            </w:r>
          </w:p>
        </w:tc>
        <w:tc>
          <w:tcPr>
            <w:tcW w:w="715"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2022年</w:t>
            </w:r>
          </w:p>
        </w:tc>
        <w:tc>
          <w:tcPr>
            <w:tcW w:w="573"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2023年</w:t>
            </w:r>
          </w:p>
        </w:tc>
        <w:tc>
          <w:tcPr>
            <w:tcW w:w="644"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2024年</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2025年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1</w:t>
            </w:r>
          </w:p>
        </w:tc>
        <w:tc>
          <w:tcPr>
            <w:tcW w:w="279" w:type="pct"/>
            <w:vMerge w:val="restart"/>
            <w:tcMar>
              <w:top w:w="15" w:type="dxa"/>
              <w:left w:w="15" w:type="dxa"/>
              <w:right w:w="15" w:type="dxa"/>
            </w:tcMar>
            <w:vAlign w:val="center"/>
          </w:tcPr>
          <w:p>
            <w:pPr>
              <w:widowControl/>
              <w:adjustRightInd w:val="0"/>
              <w:snapToGrid w:val="0"/>
              <w:spacing w:line="240" w:lineRule="auto"/>
              <w:ind w:firstLine="0" w:firstLineChars="0"/>
              <w:textAlignment w:val="center"/>
              <w:rPr>
                <w:rFonts w:hAnsi="宋体" w:cs="宋体"/>
                <w:sz w:val="21"/>
              </w:rPr>
            </w:pPr>
            <w:r>
              <w:rPr>
                <w:rFonts w:hint="eastAsia" w:hAnsi="宋体" w:cs="宋体"/>
                <w:kern w:val="0"/>
                <w:sz w:val="21"/>
              </w:rPr>
              <w:t>调查评价</w:t>
            </w: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自然地质灾害隐患点排查</w:t>
            </w:r>
          </w:p>
        </w:tc>
        <w:tc>
          <w:tcPr>
            <w:tcW w:w="493"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sz w:val="21"/>
              </w:rPr>
              <w:t>五县（市）</w:t>
            </w:r>
          </w:p>
        </w:tc>
        <w:tc>
          <w:tcPr>
            <w:tcW w:w="3178" w:type="pct"/>
            <w:gridSpan w:val="10"/>
            <w:vAlign w:val="center"/>
          </w:tcPr>
          <w:p>
            <w:pPr>
              <w:widowControl/>
              <w:adjustRightInd w:val="0"/>
              <w:snapToGrid w:val="0"/>
              <w:spacing w:line="240" w:lineRule="auto"/>
              <w:ind w:firstLine="0" w:firstLineChars="0"/>
              <w:jc w:val="left"/>
              <w:textAlignment w:val="center"/>
              <w:rPr>
                <w:rFonts w:hAnsi="宋体" w:cs="宋体"/>
                <w:sz w:val="21"/>
              </w:rPr>
            </w:pPr>
            <w:r>
              <w:rPr>
                <w:rFonts w:hint="eastAsia" w:hAnsi="宋体" w:cs="宋体"/>
                <w:kern w:val="0"/>
                <w:sz w:val="21"/>
              </w:rPr>
              <w:t>市、县组织技术支撑队伍开展，加入隐患点风险评价，依据工作量纳入技术支撑体系建设考核，每年为一个工作周期。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非自然地质灾害隐患点排查</w:t>
            </w:r>
          </w:p>
        </w:tc>
        <w:tc>
          <w:tcPr>
            <w:tcW w:w="3672" w:type="pct"/>
            <w:gridSpan w:val="12"/>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sz w:val="21"/>
              </w:rPr>
            </w:pPr>
            <w:r>
              <w:rPr>
                <w:rFonts w:hint="eastAsia" w:hAnsi="宋体" w:cs="宋体"/>
                <w:kern w:val="0"/>
                <w:sz w:val="21"/>
              </w:rPr>
              <w:t>由相关主管部门督促责任单位完成。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遥感识别疑似隐患点核验</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440</w:t>
            </w:r>
          </w:p>
        </w:tc>
        <w:tc>
          <w:tcPr>
            <w:tcW w:w="686"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88（已实施）</w:t>
            </w:r>
          </w:p>
        </w:tc>
        <w:tc>
          <w:tcPr>
            <w:tcW w:w="715"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88</w:t>
            </w:r>
          </w:p>
        </w:tc>
        <w:tc>
          <w:tcPr>
            <w:tcW w:w="573"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88</w:t>
            </w:r>
          </w:p>
        </w:tc>
        <w:tc>
          <w:tcPr>
            <w:tcW w:w="644"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88</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3" w:type="pct"/>
            <w:gridSpan w:val="11"/>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市、县（区）组织技术支撑队伍开展，依据完成工作量纳入技术支撑体系建设考核，按照实际下达工作量计算，以上工作量为预计工作量，本次仅提出初步工作方案，相关工作由省技术指导中心负责。</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重点区域精细化调查与风险评价</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sz w:val="21"/>
              </w:rPr>
              <w:t>五县（市）</w:t>
            </w:r>
          </w:p>
        </w:tc>
        <w:tc>
          <w:tcPr>
            <w:tcW w:w="3183" w:type="pct"/>
            <w:gridSpan w:val="11"/>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精细化调查及风险评价工作主要包括遥感调查和地面调查两部分，德宏州有盈江、梁河两个县在项目实施范围内，其中：梁河县开展遥感和地面调查两部分工作，盈江开展地面调查工作，分属项目的第6和第28标段。风险评价工作盈江县已作为省级试点率先完成，其它各县（市）正在实施。根据项目要求，2021年底，完成各县1:5万风险评价工作；2022年底，完成试点1：1万精细化调查工作。其它各县相关工作根据省厅安排完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2</w:t>
            </w:r>
          </w:p>
        </w:tc>
        <w:tc>
          <w:tcPr>
            <w:tcW w:w="279" w:type="pct"/>
            <w:vMerge w:val="restart"/>
            <w:tcMar>
              <w:top w:w="15" w:type="dxa"/>
              <w:left w:w="15" w:type="dxa"/>
              <w:right w:w="15" w:type="dxa"/>
            </w:tcMar>
            <w:vAlign w:val="center"/>
          </w:tcPr>
          <w:p>
            <w:pPr>
              <w:widowControl/>
              <w:adjustRightInd w:val="0"/>
              <w:snapToGrid w:val="0"/>
              <w:spacing w:line="240" w:lineRule="auto"/>
              <w:ind w:firstLine="0" w:firstLineChars="0"/>
              <w:textAlignment w:val="center"/>
              <w:rPr>
                <w:rFonts w:hAnsi="宋体" w:cs="宋体"/>
                <w:sz w:val="21"/>
              </w:rPr>
            </w:pPr>
            <w:r>
              <w:rPr>
                <w:rFonts w:hint="eastAsia" w:hAnsi="宋体" w:cs="宋体"/>
                <w:kern w:val="0"/>
                <w:sz w:val="21"/>
              </w:rPr>
              <w:t>监测预警</w:t>
            </w: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群测群防</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896个点</w:t>
            </w:r>
          </w:p>
        </w:tc>
        <w:tc>
          <w:tcPr>
            <w:tcW w:w="686"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896</w:t>
            </w:r>
          </w:p>
        </w:tc>
        <w:tc>
          <w:tcPr>
            <w:tcW w:w="715"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896</w:t>
            </w:r>
          </w:p>
        </w:tc>
        <w:tc>
          <w:tcPr>
            <w:tcW w:w="573"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896</w:t>
            </w:r>
          </w:p>
        </w:tc>
        <w:tc>
          <w:tcPr>
            <w:tcW w:w="644"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896</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3" w:type="pct"/>
            <w:gridSpan w:val="11"/>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县（区）按照实际台账和相应要求开展工作，以上工作量为预计工作量。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3</w:t>
            </w: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普适型监测</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614</w:t>
            </w:r>
          </w:p>
        </w:tc>
        <w:tc>
          <w:tcPr>
            <w:tcW w:w="686"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195已完成</w:t>
            </w:r>
          </w:p>
        </w:tc>
        <w:tc>
          <w:tcPr>
            <w:tcW w:w="715"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90已下达</w:t>
            </w:r>
          </w:p>
        </w:tc>
        <w:tc>
          <w:tcPr>
            <w:tcW w:w="573"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118</w:t>
            </w:r>
          </w:p>
        </w:tc>
        <w:tc>
          <w:tcPr>
            <w:tcW w:w="644"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112</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adjustRightInd w:val="0"/>
              <w:snapToGrid w:val="0"/>
              <w:spacing w:line="240" w:lineRule="auto"/>
              <w:ind w:firstLine="0" w:firstLineChars="0"/>
              <w:jc w:val="center"/>
              <w:rPr>
                <w:rFonts w:hAnsi="宋体" w:cs="宋体"/>
                <w:sz w:val="21"/>
              </w:rPr>
            </w:pPr>
          </w:p>
        </w:tc>
        <w:tc>
          <w:tcPr>
            <w:tcW w:w="3183" w:type="pct"/>
            <w:gridSpan w:val="11"/>
            <w:tcMar>
              <w:top w:w="15" w:type="dxa"/>
              <w:left w:w="15" w:type="dxa"/>
              <w:right w:w="15" w:type="dxa"/>
            </w:tcMar>
            <w:vAlign w:val="center"/>
          </w:tcPr>
          <w:p>
            <w:pPr>
              <w:pStyle w:val="15"/>
              <w:autoSpaceDE w:val="0"/>
              <w:autoSpaceDN w:val="0"/>
              <w:adjustRightInd w:val="0"/>
              <w:spacing w:line="320" w:lineRule="exact"/>
              <w:ind w:firstLine="0" w:firstLineChars="0"/>
              <w:rPr>
                <w:rFonts w:hAnsi="宋体" w:cs="宋体"/>
                <w:kern w:val="0"/>
                <w:sz w:val="21"/>
              </w:rPr>
            </w:pPr>
            <w:r>
              <w:rPr>
                <w:rFonts w:hint="eastAsia" w:hAnsi="宋体"/>
                <w:sz w:val="21"/>
              </w:rPr>
              <w:t>①已有监测项目：持续完善运行维护，提升监测精度和预警效果；②规划监测项目：实施过程中可依据地质灾害隐患点的发展趋势和稳定程度调整实施顺序。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r>
              <w:rPr>
                <w:rFonts w:hint="eastAsia" w:hAnsi="宋体" w:cs="宋体"/>
                <w:sz w:val="21"/>
              </w:rPr>
              <w:t>监测工程维护</w:t>
            </w:r>
          </w:p>
        </w:tc>
        <w:tc>
          <w:tcPr>
            <w:tcW w:w="489" w:type="pct"/>
            <w:tcMar>
              <w:top w:w="15" w:type="dxa"/>
              <w:left w:w="15" w:type="dxa"/>
              <w:right w:w="15" w:type="dxa"/>
            </w:tcMar>
            <w:vAlign w:val="center"/>
          </w:tcPr>
          <w:p>
            <w:pPr>
              <w:adjustRightInd w:val="0"/>
              <w:snapToGrid w:val="0"/>
              <w:spacing w:line="240" w:lineRule="auto"/>
              <w:ind w:firstLine="0" w:firstLineChars="0"/>
              <w:jc w:val="center"/>
              <w:rPr>
                <w:rFonts w:hAnsi="宋体" w:cs="宋体"/>
                <w:sz w:val="21"/>
              </w:rPr>
            </w:pPr>
          </w:p>
        </w:tc>
        <w:tc>
          <w:tcPr>
            <w:tcW w:w="637" w:type="pct"/>
            <w:gridSpan w:val="2"/>
            <w:tcMar>
              <w:top w:w="15" w:type="dxa"/>
              <w:left w:w="15" w:type="dxa"/>
              <w:right w:w="15" w:type="dxa"/>
            </w:tcMar>
            <w:vAlign w:val="center"/>
          </w:tcPr>
          <w:p>
            <w:pPr>
              <w:pStyle w:val="15"/>
              <w:autoSpaceDE w:val="0"/>
              <w:autoSpaceDN w:val="0"/>
              <w:adjustRightInd w:val="0"/>
              <w:spacing w:line="320" w:lineRule="exact"/>
              <w:ind w:firstLine="0" w:firstLineChars="0"/>
              <w:rPr>
                <w:rFonts w:hAnsi="宋体"/>
                <w:sz w:val="21"/>
              </w:rPr>
            </w:pPr>
            <w:r>
              <w:rPr>
                <w:rFonts w:hint="eastAsia" w:hAnsi="宋体"/>
                <w:sz w:val="21"/>
              </w:rPr>
              <w:t>专业18个</w:t>
            </w:r>
          </w:p>
        </w:tc>
        <w:tc>
          <w:tcPr>
            <w:tcW w:w="637" w:type="pct"/>
            <w:gridSpan w:val="2"/>
            <w:vAlign w:val="center"/>
          </w:tcPr>
          <w:p>
            <w:pPr>
              <w:pStyle w:val="15"/>
              <w:autoSpaceDE w:val="0"/>
              <w:autoSpaceDN w:val="0"/>
              <w:adjustRightInd w:val="0"/>
              <w:spacing w:line="320" w:lineRule="exact"/>
              <w:ind w:firstLine="0" w:firstLineChars="0"/>
              <w:rPr>
                <w:rFonts w:hAnsi="宋体"/>
                <w:sz w:val="21"/>
              </w:rPr>
            </w:pPr>
            <w:r>
              <w:rPr>
                <w:rFonts w:hint="eastAsia" w:hAnsi="宋体"/>
                <w:sz w:val="21"/>
              </w:rPr>
              <w:t>专业18个</w:t>
            </w:r>
          </w:p>
        </w:tc>
        <w:tc>
          <w:tcPr>
            <w:tcW w:w="637" w:type="pct"/>
            <w:gridSpan w:val="3"/>
            <w:vAlign w:val="center"/>
          </w:tcPr>
          <w:p>
            <w:pPr>
              <w:pStyle w:val="15"/>
              <w:autoSpaceDE w:val="0"/>
              <w:autoSpaceDN w:val="0"/>
              <w:adjustRightInd w:val="0"/>
              <w:spacing w:line="320" w:lineRule="exact"/>
              <w:ind w:firstLine="0" w:firstLineChars="0"/>
              <w:rPr>
                <w:rFonts w:hAnsi="宋体"/>
                <w:sz w:val="21"/>
              </w:rPr>
            </w:pPr>
            <w:r>
              <w:rPr>
                <w:rFonts w:hint="eastAsia" w:hAnsi="宋体"/>
                <w:sz w:val="21"/>
              </w:rPr>
              <w:t>专业18个</w:t>
            </w:r>
          </w:p>
        </w:tc>
        <w:tc>
          <w:tcPr>
            <w:tcW w:w="637" w:type="pct"/>
            <w:gridSpan w:val="2"/>
            <w:vAlign w:val="center"/>
          </w:tcPr>
          <w:p>
            <w:pPr>
              <w:pStyle w:val="15"/>
              <w:autoSpaceDE w:val="0"/>
              <w:autoSpaceDN w:val="0"/>
              <w:adjustRightInd w:val="0"/>
              <w:spacing w:line="320" w:lineRule="exact"/>
              <w:ind w:firstLine="0" w:firstLineChars="0"/>
              <w:rPr>
                <w:rFonts w:hAnsi="宋体"/>
                <w:sz w:val="21"/>
              </w:rPr>
            </w:pPr>
            <w:r>
              <w:rPr>
                <w:rFonts w:hint="eastAsia" w:hAnsi="宋体"/>
                <w:sz w:val="21"/>
              </w:rPr>
              <w:t>专业18个+普适型32个</w:t>
            </w:r>
          </w:p>
        </w:tc>
        <w:tc>
          <w:tcPr>
            <w:tcW w:w="635" w:type="pct"/>
            <w:gridSpan w:val="2"/>
            <w:vAlign w:val="center"/>
          </w:tcPr>
          <w:p>
            <w:pPr>
              <w:pStyle w:val="15"/>
              <w:autoSpaceDE w:val="0"/>
              <w:autoSpaceDN w:val="0"/>
              <w:adjustRightInd w:val="0"/>
              <w:spacing w:line="320" w:lineRule="exact"/>
              <w:ind w:firstLine="0" w:firstLineChars="0"/>
              <w:rPr>
                <w:rFonts w:hAnsi="宋体"/>
                <w:sz w:val="21"/>
              </w:rPr>
            </w:pPr>
            <w:r>
              <w:rPr>
                <w:rFonts w:hint="eastAsia" w:hAnsi="宋体"/>
                <w:sz w:val="21"/>
              </w:rPr>
              <w:t>专业18个+普适型227个</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6" w:hRule="atLeast"/>
          <w:jc w:val="center"/>
        </w:trPr>
        <w:tc>
          <w:tcPr>
            <w:tcW w:w="278"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4</w:t>
            </w: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sz w:val="21"/>
              </w:rPr>
            </w:pPr>
            <w:r>
              <w:rPr>
                <w:rFonts w:hint="eastAsia" w:hAnsi="宋体"/>
                <w:sz w:val="21"/>
              </w:rPr>
              <w:t>气象风险预警</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sz w:val="21"/>
              </w:rPr>
            </w:pPr>
            <w:r>
              <w:rPr>
                <w:rFonts w:hint="eastAsia" w:hAnsi="宋体"/>
                <w:sz w:val="21"/>
              </w:rPr>
              <w:t>州及各县、市</w:t>
            </w:r>
          </w:p>
        </w:tc>
        <w:tc>
          <w:tcPr>
            <w:tcW w:w="3183" w:type="pct"/>
            <w:gridSpan w:val="11"/>
            <w:tcMar>
              <w:top w:w="15" w:type="dxa"/>
              <w:left w:w="15" w:type="dxa"/>
              <w:right w:w="15" w:type="dxa"/>
            </w:tcMar>
            <w:vAlign w:val="center"/>
          </w:tcPr>
          <w:p>
            <w:pPr>
              <w:adjustRightInd w:val="0"/>
              <w:snapToGrid w:val="0"/>
              <w:ind w:firstLine="0" w:firstLineChars="0"/>
              <w:jc w:val="left"/>
              <w:textAlignment w:val="center"/>
              <w:rPr>
                <w:rFonts w:hAnsi="宋体"/>
                <w:sz w:val="21"/>
              </w:rPr>
            </w:pPr>
            <w:r>
              <w:rPr>
                <w:rFonts w:hint="eastAsia" w:hAnsi="宋体"/>
                <w:sz w:val="21"/>
              </w:rPr>
              <w:t>州级和县（区）常态化做好与气象局、通信部门的组织联动。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5</w:t>
            </w:r>
          </w:p>
        </w:tc>
        <w:tc>
          <w:tcPr>
            <w:tcW w:w="279" w:type="pct"/>
            <w:vMerge w:val="restart"/>
            <w:tcMar>
              <w:top w:w="15" w:type="dxa"/>
              <w:left w:w="15" w:type="dxa"/>
              <w:right w:w="15" w:type="dxa"/>
            </w:tcMar>
            <w:vAlign w:val="center"/>
          </w:tcPr>
          <w:p>
            <w:pPr>
              <w:widowControl/>
              <w:adjustRightInd w:val="0"/>
              <w:snapToGrid w:val="0"/>
              <w:spacing w:line="240" w:lineRule="auto"/>
              <w:ind w:firstLine="0" w:firstLineChars="0"/>
              <w:textAlignment w:val="center"/>
              <w:rPr>
                <w:rFonts w:hAnsi="宋体" w:cs="宋体"/>
                <w:sz w:val="21"/>
              </w:rPr>
            </w:pPr>
            <w:r>
              <w:rPr>
                <w:rFonts w:hint="eastAsia" w:hAnsi="宋体" w:cs="宋体"/>
                <w:kern w:val="0"/>
                <w:sz w:val="21"/>
              </w:rPr>
              <w:t>监测预警</w:t>
            </w: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隐患和风险“双控”</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五县市共349个村</w:t>
            </w:r>
          </w:p>
        </w:tc>
        <w:tc>
          <w:tcPr>
            <w:tcW w:w="686"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82</w:t>
            </w:r>
          </w:p>
        </w:tc>
        <w:tc>
          <w:tcPr>
            <w:tcW w:w="715"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142</w:t>
            </w:r>
          </w:p>
        </w:tc>
        <w:tc>
          <w:tcPr>
            <w:tcW w:w="573"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202</w:t>
            </w:r>
          </w:p>
        </w:tc>
        <w:tc>
          <w:tcPr>
            <w:tcW w:w="644"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260</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3" w:type="pct"/>
            <w:gridSpan w:val="11"/>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sz w:val="21"/>
              </w:rPr>
              <w:t>盈江82个村已经实施，2022年至2025年每年增加约60个点开展双控工作，“十四五”末覆盖全市极高风险及高风险区域；工作量可依据风险区划成果和乡（镇、街道）行政区划调整，以上工作量为预计工作量。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6</w:t>
            </w:r>
          </w:p>
        </w:tc>
        <w:tc>
          <w:tcPr>
            <w:tcW w:w="279" w:type="pct"/>
            <w:vMerge w:val="restart"/>
            <w:tcMar>
              <w:top w:w="15" w:type="dxa"/>
              <w:left w:w="15" w:type="dxa"/>
              <w:right w:w="15" w:type="dxa"/>
            </w:tcMar>
            <w:vAlign w:val="center"/>
          </w:tcPr>
          <w:p>
            <w:pPr>
              <w:widowControl/>
              <w:adjustRightInd w:val="0"/>
              <w:snapToGrid w:val="0"/>
              <w:spacing w:line="240" w:lineRule="auto"/>
              <w:ind w:firstLine="0" w:firstLineChars="0"/>
              <w:textAlignment w:val="center"/>
              <w:rPr>
                <w:rFonts w:hAnsi="宋体" w:cs="宋体"/>
                <w:sz w:val="21"/>
              </w:rPr>
            </w:pPr>
            <w:r>
              <w:rPr>
                <w:rFonts w:hint="eastAsia" w:hAnsi="宋体" w:cs="宋体"/>
                <w:kern w:val="0"/>
                <w:sz w:val="21"/>
              </w:rPr>
              <w:t>工程治理</w:t>
            </w: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工程治理</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中型以上共39个项目</w:t>
            </w:r>
          </w:p>
        </w:tc>
        <w:tc>
          <w:tcPr>
            <w:tcW w:w="686"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6</w:t>
            </w:r>
          </w:p>
        </w:tc>
        <w:tc>
          <w:tcPr>
            <w:tcW w:w="715"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12</w:t>
            </w:r>
          </w:p>
        </w:tc>
        <w:tc>
          <w:tcPr>
            <w:tcW w:w="573"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10</w:t>
            </w:r>
          </w:p>
        </w:tc>
        <w:tc>
          <w:tcPr>
            <w:tcW w:w="644"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6</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kern w:val="0"/>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3" w:type="pct"/>
            <w:gridSpan w:val="11"/>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sz w:val="21"/>
              </w:rPr>
              <w:t>县（区）按照项目规划表执行，可依据地质灾害隐患点的发展趋势和稳定程度调整实施顺序。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kern w:val="0"/>
                <w:sz w:val="21"/>
              </w:rPr>
            </w:pPr>
            <w:r>
              <w:rPr>
                <w:rFonts w:hint="eastAsia" w:asciiTheme="minorEastAsia" w:hAnsiTheme="minorEastAsia" w:eastAsiaTheme="minorEastAsia"/>
                <w:sz w:val="21"/>
              </w:rPr>
              <w:t>延续配套治理</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r>
              <w:rPr>
                <w:rFonts w:hint="eastAsia" w:hAnsi="宋体" w:cs="宋体"/>
                <w:sz w:val="21"/>
              </w:rPr>
              <w:t>3个</w:t>
            </w:r>
          </w:p>
        </w:tc>
        <w:tc>
          <w:tcPr>
            <w:tcW w:w="686"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677" w:type="pct"/>
            <w:gridSpan w:val="2"/>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w:t>
            </w:r>
          </w:p>
        </w:tc>
        <w:tc>
          <w:tcPr>
            <w:tcW w:w="611" w:type="pct"/>
            <w:gridSpan w:val="3"/>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w:t>
            </w:r>
          </w:p>
        </w:tc>
        <w:tc>
          <w:tcPr>
            <w:tcW w:w="644" w:type="pct"/>
            <w:gridSpan w:val="2"/>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565" w:type="pct"/>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工程管护</w:t>
            </w:r>
          </w:p>
        </w:tc>
        <w:tc>
          <w:tcPr>
            <w:tcW w:w="3672" w:type="pct"/>
            <w:gridSpan w:val="12"/>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各县市根据实际情况进行工作安排。</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突发性应急工程治理</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p>
        </w:tc>
        <w:tc>
          <w:tcPr>
            <w:tcW w:w="3183" w:type="pct"/>
            <w:gridSpan w:val="11"/>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各地根据每年实际情况开展应急排险工作</w:t>
            </w:r>
          </w:p>
        </w:tc>
      </w:tr>
    </w:tbl>
    <w:p>
      <w:pPr>
        <w:ind w:firstLine="0" w:firstLineChars="0"/>
        <w:jc w:val="center"/>
        <w:rPr>
          <w:b/>
          <w:sz w:val="24"/>
          <w:szCs w:val="24"/>
        </w:rPr>
      </w:pPr>
    </w:p>
    <w:p>
      <w:pPr>
        <w:ind w:firstLine="0" w:firstLineChars="0"/>
        <w:jc w:val="center"/>
        <w:rPr>
          <w:b/>
          <w:sz w:val="24"/>
          <w:szCs w:val="24"/>
        </w:rPr>
      </w:pPr>
      <w:r>
        <w:rPr>
          <w:rFonts w:hint="eastAsia"/>
          <w:b/>
          <w:sz w:val="24"/>
          <w:szCs w:val="24"/>
        </w:rPr>
        <w:t>续表2-1  德宏州地质灾害防治“十四五”规划期年度防治目标</w:t>
      </w:r>
    </w:p>
    <w:tbl>
      <w:tblPr>
        <w:tblStyle w:val="35"/>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21"/>
        <w:gridCol w:w="1970"/>
        <w:gridCol w:w="918"/>
        <w:gridCol w:w="1288"/>
        <w:gridCol w:w="1342"/>
        <w:gridCol w:w="1076"/>
        <w:gridCol w:w="1209"/>
        <w:gridCol w:w="106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blHeader/>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序号</w:t>
            </w:r>
          </w:p>
        </w:tc>
        <w:tc>
          <w:tcPr>
            <w:tcW w:w="1050"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 xml:space="preserve">项 </w:t>
            </w:r>
            <w:r>
              <w:rPr>
                <w:rStyle w:val="93"/>
                <w:rFonts w:hint="default"/>
                <w:color w:val="auto"/>
                <w:sz w:val="21"/>
                <w:szCs w:val="21"/>
              </w:rPr>
              <w:t xml:space="preserve"> 目</w:t>
            </w:r>
          </w:p>
        </w:tc>
        <w:tc>
          <w:tcPr>
            <w:tcW w:w="3673" w:type="pct"/>
            <w:gridSpan w:val="6"/>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经 费（万元）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blHeader/>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b/>
                <w:sz w:val="21"/>
              </w:rPr>
            </w:pPr>
          </w:p>
        </w:tc>
        <w:tc>
          <w:tcPr>
            <w:tcW w:w="1050"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b/>
                <w:sz w:val="21"/>
              </w:rPr>
            </w:pP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合 计</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2021年</w:t>
            </w:r>
          </w:p>
        </w:tc>
        <w:tc>
          <w:tcPr>
            <w:tcW w:w="71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2022年</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2023年</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2024年</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2025年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blHeader/>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7</w:t>
            </w:r>
          </w:p>
        </w:tc>
        <w:tc>
          <w:tcPr>
            <w:tcW w:w="1050"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避险搬迁</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836户</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86</w:t>
            </w:r>
          </w:p>
        </w:tc>
        <w:tc>
          <w:tcPr>
            <w:tcW w:w="71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175</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220</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214</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135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blHeader/>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1050"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5"/>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kern w:val="0"/>
                <w:sz w:val="21"/>
              </w:rPr>
            </w:pPr>
            <w:r>
              <w:rPr>
                <w:rFonts w:hint="eastAsia" w:hAnsi="宋体"/>
                <w:sz w:val="21"/>
              </w:rPr>
              <w:t>县（区）按照项目规划表执行，可依据地质灾害隐患点的发展趋势和稳定程度调整实施顺序。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8</w:t>
            </w:r>
          </w:p>
        </w:tc>
        <w:tc>
          <w:tcPr>
            <w:tcW w:w="1050"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综合整治</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无</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71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1050"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5"/>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各县均无综合整治项目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jc w:val="center"/>
        </w:trPr>
        <w:tc>
          <w:tcPr>
            <w:tcW w:w="278"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9</w:t>
            </w:r>
          </w:p>
        </w:tc>
        <w:tc>
          <w:tcPr>
            <w:tcW w:w="1050"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完善技术支撑网络体系</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sz w:val="21"/>
              </w:rPr>
              <w:t>州及各县市</w:t>
            </w:r>
          </w:p>
        </w:tc>
        <w:tc>
          <w:tcPr>
            <w:tcW w:w="3184" w:type="pct"/>
            <w:gridSpan w:val="5"/>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按照技术支撑体系建设考核评价指标，依据实际完成工作量，做好技术支撑网络体系建设和年度考核。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jc w:val="center"/>
        </w:trPr>
        <w:tc>
          <w:tcPr>
            <w:tcW w:w="278"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10</w:t>
            </w:r>
          </w:p>
        </w:tc>
        <w:tc>
          <w:tcPr>
            <w:tcW w:w="1050"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地质灾害防治宣教与演练</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sz w:val="21"/>
              </w:rPr>
              <w:t>州及各县市</w:t>
            </w:r>
          </w:p>
        </w:tc>
        <w:tc>
          <w:tcPr>
            <w:tcW w:w="3184" w:type="pct"/>
            <w:gridSpan w:val="5"/>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sz w:val="21"/>
              </w:rPr>
              <w:t>县（区）组织管理人员和技术支撑队伍，</w:t>
            </w:r>
            <w:r>
              <w:rPr>
                <w:rFonts w:hint="eastAsia"/>
                <w:sz w:val="21"/>
              </w:rPr>
              <w:t>各县（市）每年集中进行专业培训2次，县（市）级应急演练1次，各乡镇应急演练1次，地质灾害基础防治知识的宣传教育则视情况不定期、不定点、向全民进行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jc w:val="center"/>
        </w:trPr>
        <w:tc>
          <w:tcPr>
            <w:tcW w:w="278"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11</w:t>
            </w:r>
          </w:p>
        </w:tc>
        <w:tc>
          <w:tcPr>
            <w:tcW w:w="4722" w:type="pct"/>
            <w:gridSpan w:val="7"/>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sz w:val="21"/>
              </w:rPr>
            </w:pPr>
            <w:r>
              <w:rPr>
                <w:rFonts w:hint="eastAsia" w:hAnsi="宋体"/>
                <w:sz w:val="21"/>
              </w:rPr>
              <w:t>法制化建设、依法依规履行职责、防灾减灾机制建设主要规划目标见第四章。</w:t>
            </w:r>
          </w:p>
        </w:tc>
      </w:tr>
    </w:tbl>
    <w:p>
      <w:pPr>
        <w:ind w:firstLine="0" w:firstLineChars="0"/>
        <w:jc w:val="center"/>
        <w:rPr>
          <w:b/>
          <w:sz w:val="24"/>
          <w:szCs w:val="24"/>
        </w:rPr>
      </w:pPr>
    </w:p>
    <w:p>
      <w:pPr>
        <w:ind w:firstLine="560"/>
      </w:pPr>
    </w:p>
    <w:p>
      <w:pPr>
        <w:ind w:firstLine="560"/>
      </w:pPr>
      <w:r>
        <w:rPr>
          <w:rFonts w:hint="eastAsia"/>
        </w:rPr>
        <w:t>（</w:t>
      </w:r>
      <w:r>
        <w:t>5</w:t>
      </w:r>
      <w:r>
        <w:rPr>
          <w:rFonts w:hint="eastAsia"/>
        </w:rPr>
        <w:t>）制度建设</w:t>
      </w:r>
    </w:p>
    <w:p>
      <w:pPr>
        <w:ind w:firstLine="560"/>
      </w:pPr>
      <w:r>
        <w:rPr>
          <w:rFonts w:hint="eastAsia"/>
        </w:rPr>
        <w:t>进一步完善地质灾害管理的各项制度，加强各部门、各领域间的协调和统筹谋划，在管理好自然地质灾害的同时，使人为地质灾害得到有效控制。</w:t>
      </w:r>
    </w:p>
    <w:p>
      <w:pPr>
        <w:ind w:firstLine="560"/>
      </w:pPr>
      <w:r>
        <w:rPr>
          <w:rFonts w:hint="eastAsia"/>
        </w:rPr>
        <w:t>同时使宣传及培训教育制度形成常态化机制，使防灾减灾意识进一步在各领域及各类人群中更加普及。</w:t>
      </w:r>
    </w:p>
    <w:p>
      <w:pPr>
        <w:pStyle w:val="5"/>
      </w:pPr>
      <w:bookmarkStart w:id="38" w:name="_Toc88832959"/>
      <w:r>
        <w:rPr>
          <w:rFonts w:hint="eastAsia"/>
        </w:rPr>
        <w:t>3、远景展望</w:t>
      </w:r>
      <w:bookmarkEnd w:id="38"/>
    </w:p>
    <w:p>
      <w:pPr>
        <w:ind w:firstLine="560"/>
      </w:pPr>
      <w:r>
        <w:rPr>
          <w:rFonts w:hint="eastAsia"/>
        </w:rPr>
        <w:t>预期到2</w:t>
      </w:r>
      <w:r>
        <w:t>035</w:t>
      </w:r>
      <w:r>
        <w:rPr>
          <w:rFonts w:hint="eastAsia"/>
        </w:rPr>
        <w:t>年，德宏州地质灾害综合防治能力全面提升后不断融入先进科学技术，实现传统手段与现代科技的有机结合，地质灾害风险得到全面有效管控，现代化地质灾害防治体系逐步建立和完善。</w:t>
      </w:r>
    </w:p>
    <w:p>
      <w:pPr>
        <w:ind w:firstLine="560"/>
      </w:pPr>
    </w:p>
    <w:p>
      <w:pPr>
        <w:ind w:firstLine="560"/>
        <w:sectPr>
          <w:pgSz w:w="11907" w:h="16840"/>
          <w:pgMar w:top="1134" w:right="1134" w:bottom="1134" w:left="1418" w:header="851" w:footer="992" w:gutter="0"/>
          <w:cols w:space="425" w:num="1"/>
          <w:docGrid w:linePitch="312" w:charSpace="0"/>
        </w:sectPr>
      </w:pPr>
    </w:p>
    <w:p>
      <w:pPr>
        <w:pStyle w:val="3"/>
      </w:pPr>
      <w:bookmarkStart w:id="39" w:name="_Toc88832960"/>
      <w:r>
        <w:rPr>
          <w:rFonts w:hint="eastAsia"/>
        </w:rPr>
        <w:t>三、地质灾害易发区与重点防治区</w:t>
      </w:r>
      <w:bookmarkEnd w:id="39"/>
    </w:p>
    <w:p>
      <w:pPr>
        <w:pStyle w:val="4"/>
        <w:spacing w:before="240" w:after="120"/>
      </w:pPr>
      <w:bookmarkStart w:id="40" w:name="_Toc88832961"/>
      <w:r>
        <w:rPr>
          <w:rFonts w:hint="eastAsia"/>
        </w:rPr>
        <w:t>（一）地质灾害易发性分区</w:t>
      </w:r>
      <w:bookmarkEnd w:id="40"/>
    </w:p>
    <w:p>
      <w:pPr>
        <w:ind w:firstLine="560"/>
      </w:pPr>
      <w:r>
        <w:rPr>
          <w:rFonts w:hint="eastAsia"/>
        </w:rPr>
        <w:t>德宏州地质灾害易发区划分是在各县易发区划分的基础上，结合当地地质环境条件及今年地质灾害发育特征规律等整合、修编而成的，分为高易发区（Ⅰ）、中等易发区（Ⅱ）和低易发区（Ⅲ）三类共20个亚区（图3-1）。</w:t>
      </w:r>
    </w:p>
    <w:p>
      <w:pPr>
        <w:ind w:firstLine="0" w:firstLineChars="0"/>
        <w:jc w:val="center"/>
      </w:pPr>
      <w:r>
        <w:object>
          <v:shape id="_x0000_i1025" o:spt="75" type="#_x0000_t75" style="height:467.55pt;width:340.35pt;" o:ole="t" filled="f" o:preferrelative="t" stroked="f" coordsize="21600,21600">
            <v:path/>
            <v:fill on="f" focussize="0,0"/>
            <v:stroke on="f" joinstyle="miter"/>
            <v:imagedata r:id="rId14" cropleft="31163f" croptop="24410f" cropright="24549f" cropbottom="19067f" o:title=""/>
            <o:lock v:ext="edit" aspectratio="t"/>
            <w10:wrap type="none"/>
            <w10:anchorlock/>
          </v:shape>
          <o:OLEObject Type="Embed" ProgID="AutoCAD.Drawing.18" ShapeID="_x0000_i1025" DrawAspect="Content" ObjectID="_1468075725" r:id="rId13">
            <o:LockedField>false</o:LockedField>
          </o:OLEObject>
        </w:object>
      </w:r>
    </w:p>
    <w:p>
      <w:pPr>
        <w:ind w:firstLine="0" w:firstLineChars="0"/>
        <w:jc w:val="center"/>
        <w:rPr>
          <w:b/>
          <w:sz w:val="24"/>
          <w:szCs w:val="24"/>
        </w:rPr>
      </w:pPr>
      <w:r>
        <w:rPr>
          <w:rFonts w:hint="eastAsia"/>
          <w:b/>
          <w:sz w:val="24"/>
          <w:szCs w:val="24"/>
        </w:rPr>
        <w:t>图3-1  德宏州地质灾害易发分区图</w:t>
      </w:r>
    </w:p>
    <w:p>
      <w:pPr>
        <w:ind w:firstLine="0" w:firstLineChars="0"/>
      </w:pPr>
      <w:r>
        <w:rPr>
          <w:rFonts w:hint="eastAsia"/>
        </w:rPr>
        <w:t>其中：高易发区共10个亚区（Ⅰ</w:t>
      </w:r>
      <w:r>
        <w:rPr>
          <w:rFonts w:hint="eastAsia"/>
          <w:vertAlign w:val="subscript"/>
        </w:rPr>
        <w:t>1</w:t>
      </w:r>
      <w:r>
        <w:rPr>
          <w:rFonts w:hint="eastAsia"/>
        </w:rPr>
        <w:t>～Ⅰ</w:t>
      </w:r>
      <w:r>
        <w:rPr>
          <w:rFonts w:hint="eastAsia"/>
          <w:vertAlign w:val="subscript"/>
        </w:rPr>
        <w:t>10</w:t>
      </w:r>
      <w:r>
        <w:rPr>
          <w:rFonts w:hint="eastAsia"/>
        </w:rPr>
        <w:t>），面积约4429.9km</w:t>
      </w:r>
      <w:r>
        <w:rPr>
          <w:rFonts w:hint="eastAsia"/>
          <w:vertAlign w:val="superscript"/>
        </w:rPr>
        <w:t>2</w:t>
      </w:r>
      <w:r>
        <w:rPr>
          <w:rFonts w:hint="eastAsia"/>
        </w:rPr>
        <w:t>,占38.4%；中等易发区共4个亚区（Ⅱ</w:t>
      </w:r>
      <w:r>
        <w:rPr>
          <w:rFonts w:hint="eastAsia"/>
          <w:vertAlign w:val="subscript"/>
        </w:rPr>
        <w:t>1</w:t>
      </w:r>
      <w:r>
        <w:rPr>
          <w:rFonts w:hint="eastAsia"/>
        </w:rPr>
        <w:t>～Ⅱ</w:t>
      </w:r>
      <w:r>
        <w:rPr>
          <w:rFonts w:hint="eastAsia"/>
          <w:vertAlign w:val="subscript"/>
        </w:rPr>
        <w:t>4</w:t>
      </w:r>
      <w:r>
        <w:rPr>
          <w:rFonts w:hint="eastAsia"/>
        </w:rPr>
        <w:t>），面积约4137.7km</w:t>
      </w:r>
      <w:r>
        <w:rPr>
          <w:rFonts w:hint="eastAsia"/>
          <w:vertAlign w:val="superscript"/>
        </w:rPr>
        <w:t>2</w:t>
      </w:r>
      <w:r>
        <w:rPr>
          <w:rFonts w:hint="eastAsia"/>
        </w:rPr>
        <w:t>,占35.9%；低易发区共6个亚区（Ⅲ</w:t>
      </w:r>
      <w:r>
        <w:rPr>
          <w:rFonts w:hint="eastAsia"/>
          <w:vertAlign w:val="subscript"/>
        </w:rPr>
        <w:t>1</w:t>
      </w:r>
      <w:r>
        <w:rPr>
          <w:rFonts w:hint="eastAsia"/>
        </w:rPr>
        <w:t>～Ⅲ</w:t>
      </w:r>
      <w:r>
        <w:rPr>
          <w:rFonts w:hint="eastAsia"/>
          <w:vertAlign w:val="subscript"/>
        </w:rPr>
        <w:t>6</w:t>
      </w:r>
      <w:r>
        <w:rPr>
          <w:rFonts w:hint="eastAsia"/>
        </w:rPr>
        <w:t>），面积约2958.4km</w:t>
      </w:r>
      <w:r>
        <w:rPr>
          <w:rFonts w:hint="eastAsia"/>
          <w:vertAlign w:val="superscript"/>
        </w:rPr>
        <w:t>2</w:t>
      </w:r>
      <w:r>
        <w:rPr>
          <w:rFonts w:hint="eastAsia"/>
        </w:rPr>
        <w:t>,占25.7%。</w:t>
      </w:r>
    </w:p>
    <w:p>
      <w:pPr>
        <w:ind w:firstLine="560"/>
      </w:pPr>
      <w:r>
        <w:rPr>
          <w:rFonts w:hint="eastAsia"/>
        </w:rPr>
        <w:t>高易发区（Ⅰ）共有10个亚区，其基本特征见下表3-1。</w:t>
      </w:r>
    </w:p>
    <w:p>
      <w:pPr>
        <w:ind w:firstLine="0" w:firstLineChars="0"/>
        <w:jc w:val="center"/>
        <w:rPr>
          <w:b/>
          <w:sz w:val="24"/>
          <w:szCs w:val="24"/>
        </w:rPr>
      </w:pPr>
      <w:r>
        <w:rPr>
          <w:rFonts w:hint="eastAsia"/>
          <w:b/>
          <w:sz w:val="24"/>
          <w:szCs w:val="24"/>
        </w:rPr>
        <w:t>表3-1  德宏州地质灾害高易发区基本特征统计表</w:t>
      </w:r>
    </w:p>
    <w:tbl>
      <w:tblPr>
        <w:tblStyle w:val="36"/>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17"/>
        <w:gridCol w:w="592"/>
        <w:gridCol w:w="826"/>
        <w:gridCol w:w="850"/>
        <w:gridCol w:w="609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409" w:type="dxa"/>
            <w:gridSpan w:val="2"/>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易发分区</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面积（km</w:t>
            </w:r>
            <w:r>
              <w:rPr>
                <w:rFonts w:hint="eastAsia" w:asciiTheme="minorEastAsia" w:hAnsiTheme="minorEastAsia" w:eastAsiaTheme="minorEastAsia"/>
                <w:sz w:val="21"/>
                <w:vertAlign w:val="superscript"/>
              </w:rPr>
              <w:t>2</w:t>
            </w:r>
            <w:r>
              <w:rPr>
                <w:rFonts w:hint="eastAsia" w:asciiTheme="minorEastAsia" w:hAnsiTheme="minorEastAsia" w:eastAsiaTheme="minorEastAsia"/>
                <w:sz w:val="21"/>
              </w:rPr>
              <w:t>）</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面积占比</w:t>
            </w:r>
          </w:p>
        </w:tc>
        <w:tc>
          <w:tcPr>
            <w:tcW w:w="609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基本特征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高易发区（Ⅰ）</w:t>
            </w: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1</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673.2</w:t>
            </w:r>
          </w:p>
        </w:tc>
        <w:tc>
          <w:tcPr>
            <w:tcW w:w="850" w:type="dxa"/>
            <w:vAlign w:val="center"/>
          </w:tcPr>
          <w:p>
            <w:pPr>
              <w:spacing w:line="240" w:lineRule="auto"/>
              <w:ind w:firstLine="0" w:firstLineChars="0"/>
              <w:jc w:val="center"/>
              <w:rPr>
                <w:rFonts w:hAnsi="宋体" w:cs="宋体"/>
                <w:sz w:val="21"/>
              </w:rPr>
            </w:pPr>
            <w:r>
              <w:rPr>
                <w:rFonts w:hint="eastAsia"/>
                <w:sz w:val="21"/>
              </w:rPr>
              <w:t>5.8%</w:t>
            </w:r>
          </w:p>
        </w:tc>
        <w:tc>
          <w:tcPr>
            <w:tcW w:w="6095" w:type="dxa"/>
            <w:vAlign w:val="center"/>
          </w:tcPr>
          <w:p>
            <w:pPr>
              <w:adjustRightInd w:val="0"/>
              <w:snapToGrid w:val="0"/>
              <w:spacing w:line="240" w:lineRule="auto"/>
              <w:ind w:firstLine="420"/>
              <w:jc w:val="left"/>
              <w:rPr>
                <w:rFonts w:asciiTheme="minorEastAsia" w:hAnsiTheme="minorEastAsia" w:eastAsiaTheme="minorEastAsia"/>
                <w:sz w:val="21"/>
              </w:rPr>
            </w:pPr>
            <w:r>
              <w:rPr>
                <w:rFonts w:hint="eastAsia" w:asciiTheme="minorEastAsia" w:hAnsiTheme="minorEastAsia" w:eastAsiaTheme="minorEastAsia"/>
                <w:sz w:val="21"/>
              </w:rPr>
              <w:t>区内以构造侵蚀高中山地貌为主，河谷岸坡陡峻，局部悬崖；北段海拔高程一般在1480～2820m以上，切割深度1200～1300m，山顶呈锥状，山脊为鱼鳍状，河谷呈“V”型，最大坡度64°，多见悬崖峭壁；南段切割深度300～1000m。山顶多为穹状，山脊呈猪背状。河流溯源侵蚀强烈，堆积作用较微。区内处于北东向和南北向构造复合部位，构造复杂，北东向有卡场-昔马断层，南北向有苏典断裂。岩体受构造作用影响，节理裂隙发育，结构破碎，风化强烈。该区植被覆盖率高，覆盖率&gt;80%。人类活动主要表现为公路建设、水利水电建设、农村建房及陡坡垦植等，土壤侵蚀强度中等—强烈。</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2</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685.9</w:t>
            </w:r>
          </w:p>
        </w:tc>
        <w:tc>
          <w:tcPr>
            <w:tcW w:w="850" w:type="dxa"/>
            <w:vAlign w:val="center"/>
          </w:tcPr>
          <w:p>
            <w:pPr>
              <w:spacing w:line="240" w:lineRule="auto"/>
              <w:ind w:firstLine="0" w:firstLineChars="0"/>
              <w:jc w:val="center"/>
              <w:rPr>
                <w:rFonts w:hAnsi="宋体" w:cs="宋体"/>
                <w:sz w:val="21"/>
              </w:rPr>
            </w:pPr>
            <w:r>
              <w:rPr>
                <w:rFonts w:hint="eastAsia"/>
                <w:sz w:val="21"/>
              </w:rPr>
              <w:t>6.0%</w:t>
            </w:r>
          </w:p>
        </w:tc>
        <w:tc>
          <w:tcPr>
            <w:tcW w:w="6095" w:type="dxa"/>
            <w:vAlign w:val="center"/>
          </w:tcPr>
          <w:p>
            <w:pPr>
              <w:adjustRightInd w:val="0"/>
              <w:snapToGrid w:val="0"/>
              <w:spacing w:line="240" w:lineRule="auto"/>
              <w:ind w:firstLine="420"/>
              <w:jc w:val="left"/>
              <w:rPr>
                <w:rFonts w:asciiTheme="minorEastAsia" w:hAnsiTheme="minorEastAsia" w:eastAsiaTheme="minorEastAsia"/>
                <w:sz w:val="21"/>
              </w:rPr>
            </w:pPr>
            <w:r>
              <w:rPr>
                <w:rFonts w:hint="eastAsia" w:asciiTheme="minorEastAsia" w:hAnsiTheme="minorEastAsia" w:eastAsiaTheme="minorEastAsia"/>
                <w:sz w:val="21"/>
              </w:rPr>
              <w:t>区内以构造侵蚀中山地貌为主，海拔高程最低1040m，最大2940m，高差1900m，切割小于1000m，山脊宽缓，坡度最大68°,平均21°，斜坡多为凸形坡，坡面沟谷密度大，水系发育，上游呈“V”字型，中下游呈“U”型。南段有灰岩和火山岩分布，山体多为穹丘状或断块山受南北向断层构造影响，岩体节理裂隙发育，结构破碎，风化强烈，松散层厚度约5m,植被覆盖率&gt;80%。人类活动主要表现为公路建设、水利水电建设、农村建房及陡坡垦植等，土壤侵蚀强度总体中等。</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3</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92.9</w:t>
            </w:r>
          </w:p>
        </w:tc>
        <w:tc>
          <w:tcPr>
            <w:tcW w:w="850" w:type="dxa"/>
            <w:vAlign w:val="center"/>
          </w:tcPr>
          <w:p>
            <w:pPr>
              <w:spacing w:line="240" w:lineRule="auto"/>
              <w:ind w:firstLine="0" w:firstLineChars="0"/>
              <w:jc w:val="center"/>
              <w:rPr>
                <w:rFonts w:hAnsi="宋体" w:cs="宋体"/>
                <w:sz w:val="21"/>
              </w:rPr>
            </w:pPr>
            <w:r>
              <w:rPr>
                <w:rFonts w:hint="eastAsia"/>
                <w:sz w:val="21"/>
              </w:rPr>
              <w:t>0.8%</w:t>
            </w:r>
          </w:p>
        </w:tc>
        <w:tc>
          <w:tcPr>
            <w:tcW w:w="6095" w:type="dxa"/>
            <w:vAlign w:val="center"/>
          </w:tcPr>
          <w:p>
            <w:pPr>
              <w:adjustRightInd w:val="0"/>
              <w:snapToGrid w:val="0"/>
              <w:spacing w:line="240" w:lineRule="auto"/>
              <w:ind w:firstLine="420"/>
              <w:jc w:val="left"/>
              <w:rPr>
                <w:rFonts w:asciiTheme="minorEastAsia" w:hAnsiTheme="minorEastAsia" w:eastAsiaTheme="minorEastAsia"/>
                <w:sz w:val="21"/>
              </w:rPr>
            </w:pPr>
            <w:r>
              <w:rPr>
                <w:rFonts w:hint="eastAsia" w:cs="宋体" w:asciiTheme="minorEastAsia" w:hAnsiTheme="minorEastAsia" w:eastAsiaTheme="minorEastAsia"/>
                <w:sz w:val="21"/>
              </w:rPr>
              <w:t>该区以构造侵蚀中山地貌为主，海拔高程最低200m，最大2580m，高差2380m，切割深度100～600m。该区处于北东－南西向断层分布带，山顶形态呈锥状，山脊宽缓，沟谷发育，多呈宽缓“V”型，坡度最大72°，平均22°，呈曲形坡形态。植被较发育，坡残积普遍发育。具有明显的侵蚀作用，沟口大部分有洪积物堆积。其中滑坡6个、泥石流沟10条。灾点主要分布于羯羊河东岸及断裂破碎带。危害对象主要为村寨、公路、农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4</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2124.8</w:t>
            </w:r>
          </w:p>
        </w:tc>
        <w:tc>
          <w:tcPr>
            <w:tcW w:w="850" w:type="dxa"/>
            <w:vAlign w:val="center"/>
          </w:tcPr>
          <w:p>
            <w:pPr>
              <w:spacing w:line="240" w:lineRule="auto"/>
              <w:ind w:firstLine="0" w:firstLineChars="0"/>
              <w:jc w:val="center"/>
              <w:rPr>
                <w:rFonts w:hAnsi="宋体" w:cs="宋体"/>
                <w:sz w:val="21"/>
              </w:rPr>
            </w:pPr>
            <w:r>
              <w:rPr>
                <w:rFonts w:hint="eastAsia"/>
                <w:sz w:val="21"/>
              </w:rPr>
              <w:t>18.4%</w:t>
            </w:r>
          </w:p>
        </w:tc>
        <w:tc>
          <w:tcPr>
            <w:tcW w:w="6095" w:type="dxa"/>
            <w:vAlign w:val="center"/>
          </w:tcPr>
          <w:p>
            <w:pPr>
              <w:adjustRightInd w:val="0"/>
              <w:snapToGrid w:val="0"/>
              <w:spacing w:line="240" w:lineRule="auto"/>
              <w:ind w:firstLine="420"/>
              <w:jc w:val="left"/>
              <w:rPr>
                <w:rFonts w:asciiTheme="minorEastAsia" w:hAnsiTheme="minorEastAsia" w:eastAsiaTheme="minorEastAsia"/>
                <w:sz w:val="21"/>
              </w:rPr>
            </w:pPr>
            <w:r>
              <w:rPr>
                <w:rFonts w:hint="eastAsia" w:cs="宋体" w:asciiTheme="minorEastAsia" w:hAnsiTheme="minorEastAsia" w:eastAsiaTheme="minorEastAsia"/>
                <w:sz w:val="21"/>
              </w:rPr>
              <w:t>该区位于大盈江左岸盈江—梁河—芒东—陇川王子树—勐约—护国—户撒一带，处于北东－南西向断层破碎带，区内以构造侵蚀中山地貌为主，</w:t>
            </w:r>
            <w:r>
              <w:rPr>
                <w:rStyle w:val="90"/>
                <w:rFonts w:hint="default" w:asciiTheme="minorEastAsia" w:hAnsiTheme="minorEastAsia" w:eastAsiaTheme="minorEastAsia"/>
                <w:color w:val="auto"/>
                <w:sz w:val="21"/>
                <w:szCs w:val="21"/>
              </w:rPr>
              <w:t>沟谷切割发育，区内主要地层为加里东期（γm）混合花岗岩，局部下伏为寒武系（∈）片麻岩等，岩体较为破碎，风化程度强烈</w:t>
            </w:r>
            <w:r>
              <w:rPr>
                <w:rFonts w:hint="eastAsia" w:cs="宋体" w:asciiTheme="minorEastAsia" w:hAnsiTheme="minorEastAsia" w:eastAsiaTheme="minorEastAsia"/>
                <w:sz w:val="21"/>
              </w:rPr>
              <w:t>。河谷多呈“V”，坡度最大75°，平均19°，常见滑坡、泥石流发育，沟口多有洪积扇堆积，具有明显的侵蚀作用。危害对象主要为村寨、公路、农田。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17"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5</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201.7</w:t>
            </w:r>
          </w:p>
        </w:tc>
        <w:tc>
          <w:tcPr>
            <w:tcW w:w="850" w:type="dxa"/>
            <w:vAlign w:val="center"/>
          </w:tcPr>
          <w:p>
            <w:pPr>
              <w:spacing w:line="240" w:lineRule="auto"/>
              <w:ind w:firstLine="0" w:firstLineChars="0"/>
              <w:jc w:val="center"/>
              <w:rPr>
                <w:rFonts w:hAnsi="宋体" w:cs="宋体"/>
                <w:sz w:val="21"/>
              </w:rPr>
            </w:pPr>
            <w:r>
              <w:rPr>
                <w:rFonts w:hint="eastAsia"/>
                <w:sz w:val="21"/>
              </w:rPr>
              <w:t>1.7%</w:t>
            </w:r>
          </w:p>
        </w:tc>
        <w:tc>
          <w:tcPr>
            <w:tcW w:w="6095" w:type="dxa"/>
            <w:vAlign w:val="center"/>
          </w:tcPr>
          <w:p>
            <w:pPr>
              <w:adjustRightInd w:val="0"/>
              <w:snapToGrid w:val="0"/>
              <w:spacing w:line="240" w:lineRule="auto"/>
              <w:ind w:firstLine="412"/>
              <w:jc w:val="left"/>
              <w:rPr>
                <w:rFonts w:asciiTheme="minorEastAsia" w:hAnsiTheme="minorEastAsia" w:eastAsiaTheme="minorEastAsia"/>
                <w:sz w:val="21"/>
              </w:rPr>
            </w:pPr>
            <w:r>
              <w:rPr>
                <w:rFonts w:asciiTheme="minorEastAsia" w:hAnsiTheme="minorEastAsia" w:eastAsiaTheme="minorEastAsia"/>
                <w:spacing w:val="-2"/>
                <w:sz w:val="21"/>
              </w:rPr>
              <w:t>该区位于芒市盆地西北部近分水岭地带斜坡部位，坡面倾向北东、北西及南侧，最高点位于老扁坡，海拔2228m，最低位于龙江河谷，海拔921m，相对高差1300余米，地形相对切割深度100.0-600.0m，地形坡度25-35°，局部达45°；斜坡中下部（标高1500.0m以下）地表以旱耕地、农田为主，植被相对较少，中上部（标高1500.0m以上）地表多以灌木、阔叶林为主，植被发育，其地貌类型以中切割中山陡坡地形为主。主要由寒武系的变质岩为主，岩性为混合岩、混合岩化片麻岩、片岩、板岩等组成，其次为印支期花岗闪长岩，该区域岩体风化程度极高，区域地质条件差，人类工程活动强烈。</w:t>
            </w:r>
          </w:p>
        </w:tc>
      </w:tr>
    </w:tbl>
    <w:p>
      <w:pPr>
        <w:ind w:firstLine="0" w:firstLineChars="0"/>
        <w:jc w:val="center"/>
        <w:rPr>
          <w:b/>
          <w:sz w:val="24"/>
          <w:szCs w:val="24"/>
        </w:rPr>
      </w:pPr>
    </w:p>
    <w:p>
      <w:pPr>
        <w:ind w:firstLine="0" w:firstLineChars="0"/>
        <w:jc w:val="center"/>
        <w:rPr>
          <w:b/>
          <w:sz w:val="24"/>
          <w:szCs w:val="24"/>
        </w:rPr>
      </w:pPr>
      <w:r>
        <w:rPr>
          <w:rFonts w:hint="eastAsia"/>
          <w:b/>
          <w:sz w:val="24"/>
          <w:szCs w:val="24"/>
        </w:rPr>
        <w:t>续表3-1  德宏州地质灾害易发分区统计表</w:t>
      </w:r>
    </w:p>
    <w:tbl>
      <w:tblPr>
        <w:tblStyle w:val="36"/>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17"/>
        <w:gridCol w:w="592"/>
        <w:gridCol w:w="826"/>
        <w:gridCol w:w="850"/>
        <w:gridCol w:w="648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409" w:type="dxa"/>
            <w:gridSpan w:val="2"/>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易发分区</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面积（km</w:t>
            </w:r>
            <w:r>
              <w:rPr>
                <w:rFonts w:hint="eastAsia" w:asciiTheme="minorEastAsia" w:hAnsiTheme="minorEastAsia" w:eastAsiaTheme="minorEastAsia"/>
                <w:sz w:val="21"/>
                <w:vertAlign w:val="superscript"/>
              </w:rPr>
              <w:t>2</w:t>
            </w:r>
            <w:r>
              <w:rPr>
                <w:rFonts w:hint="eastAsia" w:asciiTheme="minorEastAsia" w:hAnsiTheme="minorEastAsia" w:eastAsiaTheme="minorEastAsia"/>
                <w:sz w:val="21"/>
              </w:rPr>
              <w:t>）</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面积占比</w:t>
            </w:r>
          </w:p>
        </w:tc>
        <w:tc>
          <w:tcPr>
            <w:tcW w:w="648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基本特征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17"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高易发区（Ⅰ）</w:t>
            </w: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6</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289.2</w:t>
            </w:r>
          </w:p>
        </w:tc>
        <w:tc>
          <w:tcPr>
            <w:tcW w:w="850" w:type="dxa"/>
            <w:vAlign w:val="center"/>
          </w:tcPr>
          <w:p>
            <w:pPr>
              <w:spacing w:line="240" w:lineRule="auto"/>
              <w:ind w:firstLine="0" w:firstLineChars="0"/>
              <w:jc w:val="center"/>
              <w:rPr>
                <w:rFonts w:hAnsi="宋体" w:cs="宋体"/>
                <w:sz w:val="21"/>
              </w:rPr>
            </w:pPr>
            <w:r>
              <w:rPr>
                <w:rFonts w:hint="eastAsia"/>
                <w:sz w:val="21"/>
              </w:rPr>
              <w:t>2.5%</w:t>
            </w:r>
          </w:p>
        </w:tc>
        <w:tc>
          <w:tcPr>
            <w:tcW w:w="6486" w:type="dxa"/>
            <w:vAlign w:val="center"/>
          </w:tcPr>
          <w:p>
            <w:pPr>
              <w:adjustRightInd w:val="0"/>
              <w:snapToGrid w:val="0"/>
              <w:spacing w:line="240" w:lineRule="auto"/>
              <w:ind w:firstLine="412"/>
              <w:jc w:val="left"/>
              <w:rPr>
                <w:rFonts w:asciiTheme="minorEastAsia" w:hAnsiTheme="minorEastAsia" w:eastAsiaTheme="minorEastAsia"/>
                <w:sz w:val="21"/>
              </w:rPr>
            </w:pPr>
            <w:r>
              <w:rPr>
                <w:rFonts w:asciiTheme="minorEastAsia" w:hAnsiTheme="minorEastAsia" w:eastAsiaTheme="minorEastAsia"/>
                <w:spacing w:val="-2"/>
                <w:sz w:val="21"/>
              </w:rPr>
              <w:t>该区段位于规划区北部及东部，地势北东高、南西低，最高点位于粗糠岭坡南侧的山峰，海拔2703m，最低点位于红岩山的大新田，海拔1051m，相对高差1652m，一般标高1400.0～2000.0m，在地貌上处于岩溶断块山地及中山切割陡坡地形。寒武系变质岩及加里东晚期—华里西中期花岗岩分布较广，其次为古生界碎屑岩和碳酸盐，该区域该区山高坡陡，冲沟发育，地表水侵蚀作用强烈、人类工程活动较强烈。</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17"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7</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168.9</w:t>
            </w:r>
          </w:p>
        </w:tc>
        <w:tc>
          <w:tcPr>
            <w:tcW w:w="850" w:type="dxa"/>
            <w:vAlign w:val="center"/>
          </w:tcPr>
          <w:p>
            <w:pPr>
              <w:spacing w:line="240" w:lineRule="auto"/>
              <w:ind w:firstLine="0" w:firstLineChars="0"/>
              <w:jc w:val="center"/>
              <w:rPr>
                <w:rFonts w:hAnsi="宋体" w:cs="宋体"/>
                <w:sz w:val="21"/>
              </w:rPr>
            </w:pPr>
            <w:r>
              <w:rPr>
                <w:rFonts w:hint="eastAsia"/>
                <w:sz w:val="21"/>
              </w:rPr>
              <w:t>1.5%</w:t>
            </w:r>
          </w:p>
        </w:tc>
        <w:tc>
          <w:tcPr>
            <w:tcW w:w="6486" w:type="dxa"/>
            <w:vAlign w:val="center"/>
          </w:tcPr>
          <w:p>
            <w:pPr>
              <w:adjustRightInd w:val="0"/>
              <w:snapToGrid w:val="0"/>
              <w:spacing w:line="240" w:lineRule="auto"/>
              <w:ind w:firstLine="412"/>
              <w:jc w:val="left"/>
              <w:rPr>
                <w:rFonts w:asciiTheme="minorEastAsia" w:hAnsiTheme="minorEastAsia" w:eastAsiaTheme="minorEastAsia"/>
                <w:sz w:val="21"/>
              </w:rPr>
            </w:pPr>
            <w:r>
              <w:rPr>
                <w:rFonts w:asciiTheme="minorEastAsia" w:hAnsiTheme="minorEastAsia" w:eastAsiaTheme="minorEastAsia"/>
                <w:spacing w:val="-2"/>
                <w:sz w:val="21"/>
              </w:rPr>
              <w:t>该区段位于规划区中南部近分水岭斜坡地段，地势中间高北西、南西低，呈北东南西向展布，坡面向北西及南东方向倾斜，最高点位于勐旺国有林山顶，标高2331m，最低点位于北侧勐戛镇的当连河河床，标高1063m，相对高差达1268m；地形坡度一般在30°～40°，局部50°～60°，属垄脊槽谷及中山中切割陡坡地形；地表植被发育，多以灌木为主，在村寨附近平缓沟床中及缓坡地带有耕地分布。主要出露寒武系（</w:t>
            </w:r>
            <w:r>
              <w:rPr>
                <w:rFonts w:hint="eastAsia" w:cs="宋体" w:asciiTheme="minorEastAsia" w:hAnsiTheme="minorEastAsia" w:eastAsiaTheme="minorEastAsia"/>
                <w:spacing w:val="-2"/>
                <w:sz w:val="21"/>
              </w:rPr>
              <w:t>∈</w:t>
            </w:r>
            <w:r>
              <w:rPr>
                <w:rFonts w:asciiTheme="minorEastAsia" w:hAnsiTheme="minorEastAsia" w:eastAsiaTheme="minorEastAsia"/>
                <w:spacing w:val="-2"/>
                <w:sz w:val="21"/>
              </w:rPr>
              <w:t>？）微晶片岩夹变质砂岩、板岩、硅质岩及侏罗系（J）、二叠系（P）、志留系（S）砂质页岩、粉砂岩、白云质灰岩、页岩等地层，岩层倾向与地形坡向多构成同向岩土混合边坡。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17"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8</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26.9</w:t>
            </w:r>
          </w:p>
        </w:tc>
        <w:tc>
          <w:tcPr>
            <w:tcW w:w="850" w:type="dxa"/>
            <w:vAlign w:val="center"/>
          </w:tcPr>
          <w:p>
            <w:pPr>
              <w:spacing w:line="240" w:lineRule="auto"/>
              <w:ind w:firstLine="0" w:firstLineChars="0"/>
              <w:jc w:val="center"/>
              <w:rPr>
                <w:rFonts w:hAnsi="宋体" w:cs="宋体"/>
                <w:sz w:val="21"/>
              </w:rPr>
            </w:pPr>
            <w:r>
              <w:rPr>
                <w:rFonts w:hint="eastAsia"/>
                <w:sz w:val="21"/>
              </w:rPr>
              <w:t>0.2%</w:t>
            </w:r>
          </w:p>
        </w:tc>
        <w:tc>
          <w:tcPr>
            <w:tcW w:w="6486" w:type="dxa"/>
            <w:vAlign w:val="center"/>
          </w:tcPr>
          <w:p>
            <w:pPr>
              <w:adjustRightInd w:val="0"/>
              <w:snapToGrid w:val="0"/>
              <w:spacing w:line="240" w:lineRule="auto"/>
              <w:ind w:firstLine="420"/>
              <w:jc w:val="left"/>
              <w:rPr>
                <w:rFonts w:asciiTheme="minorEastAsia" w:hAnsiTheme="minorEastAsia" w:eastAsiaTheme="minorEastAsia"/>
                <w:sz w:val="21"/>
              </w:rPr>
            </w:pPr>
            <w:r>
              <w:rPr>
                <w:rStyle w:val="90"/>
                <w:rFonts w:hint="default" w:asciiTheme="minorEastAsia" w:hAnsiTheme="minorEastAsia" w:eastAsiaTheme="minorEastAsia"/>
                <w:color w:val="auto"/>
                <w:sz w:val="21"/>
                <w:szCs w:val="21"/>
              </w:rPr>
              <w:t>该区域地貌形态总体为构造剥蚀中山中切割长垣垄状地貌，局部表现为圆垣状，断裂等构造活动不明显，区内主要下伏地层为寒武系（∈）片麻岩等，该区主要的地质灾害诱发因素为人类工程活动，主要表现为龙江水库库岸区的滑坡和崩塌地质灾害发育。</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17"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9</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156.4</w:t>
            </w:r>
          </w:p>
        </w:tc>
        <w:tc>
          <w:tcPr>
            <w:tcW w:w="850" w:type="dxa"/>
            <w:vAlign w:val="center"/>
          </w:tcPr>
          <w:p>
            <w:pPr>
              <w:spacing w:line="240" w:lineRule="auto"/>
              <w:ind w:firstLine="0" w:firstLineChars="0"/>
              <w:jc w:val="center"/>
              <w:rPr>
                <w:rFonts w:hAnsi="宋体" w:cs="宋体"/>
                <w:sz w:val="21"/>
              </w:rPr>
            </w:pPr>
            <w:r>
              <w:rPr>
                <w:rFonts w:hint="eastAsia"/>
                <w:sz w:val="21"/>
              </w:rPr>
              <w:t>1.4%</w:t>
            </w:r>
          </w:p>
        </w:tc>
        <w:tc>
          <w:tcPr>
            <w:tcW w:w="6486" w:type="dxa"/>
            <w:vAlign w:val="center"/>
          </w:tcPr>
          <w:p>
            <w:pPr>
              <w:adjustRightInd w:val="0"/>
              <w:snapToGrid w:val="0"/>
              <w:spacing w:line="240" w:lineRule="auto"/>
              <w:ind w:firstLine="420"/>
              <w:jc w:val="left"/>
              <w:rPr>
                <w:rFonts w:asciiTheme="minorEastAsia" w:hAnsiTheme="minorEastAsia" w:eastAsiaTheme="minorEastAsia"/>
                <w:sz w:val="21"/>
              </w:rPr>
            </w:pPr>
            <w:r>
              <w:rPr>
                <w:rFonts w:hint="eastAsia" w:asciiTheme="minorEastAsia" w:hAnsiTheme="minorEastAsia" w:eastAsiaTheme="minorEastAsia"/>
                <w:sz w:val="21"/>
              </w:rPr>
              <w:t>分布于瑞丽辖区中部及南西部，涉及瑞丽城区以北、勐秀乡南东、户育乡沿盆地边缘的区域，发育有中山中切割陡坡地形和湖积台地低丘缓坡地形，主要出露第三系（N）半成粘土岩、砂砾岩，出露寒武系（∈？）片麻岩、混合岩等，岩体结构松散，风化强烈；人口分布密集，人类工程活动强度高；发育灾害以滑坡、泥石流为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17"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9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Ⅰ</w:t>
            </w:r>
            <w:r>
              <w:rPr>
                <w:rFonts w:hint="eastAsia" w:asciiTheme="minorEastAsia" w:hAnsiTheme="minorEastAsia" w:eastAsiaTheme="minorEastAsia"/>
                <w:sz w:val="21"/>
                <w:vertAlign w:val="subscript"/>
              </w:rPr>
              <w:t>10</w:t>
            </w:r>
          </w:p>
        </w:tc>
        <w:tc>
          <w:tcPr>
            <w:tcW w:w="82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10</w:t>
            </w:r>
          </w:p>
        </w:tc>
        <w:tc>
          <w:tcPr>
            <w:tcW w:w="850" w:type="dxa"/>
            <w:vAlign w:val="center"/>
          </w:tcPr>
          <w:p>
            <w:pPr>
              <w:spacing w:line="240" w:lineRule="auto"/>
              <w:ind w:firstLine="0" w:firstLineChars="0"/>
              <w:jc w:val="center"/>
              <w:rPr>
                <w:rFonts w:hAnsi="宋体" w:cs="宋体"/>
                <w:sz w:val="21"/>
              </w:rPr>
            </w:pPr>
            <w:r>
              <w:rPr>
                <w:rFonts w:hint="eastAsia"/>
                <w:sz w:val="21"/>
              </w:rPr>
              <w:t>0.1%</w:t>
            </w:r>
          </w:p>
        </w:tc>
        <w:tc>
          <w:tcPr>
            <w:tcW w:w="6486" w:type="dxa"/>
            <w:vAlign w:val="center"/>
          </w:tcPr>
          <w:p>
            <w:pPr>
              <w:adjustRightInd w:val="0"/>
              <w:snapToGrid w:val="0"/>
              <w:spacing w:line="240" w:lineRule="auto"/>
              <w:ind w:firstLine="420"/>
              <w:jc w:val="left"/>
              <w:rPr>
                <w:rFonts w:asciiTheme="minorEastAsia" w:hAnsiTheme="minorEastAsia" w:eastAsiaTheme="minorEastAsia"/>
                <w:sz w:val="21"/>
              </w:rPr>
            </w:pPr>
            <w:r>
              <w:rPr>
                <w:rFonts w:hint="eastAsia" w:asciiTheme="minorEastAsia" w:hAnsiTheme="minorEastAsia" w:eastAsiaTheme="minorEastAsia"/>
                <w:sz w:val="21"/>
              </w:rPr>
              <w:t>分布于畹町集镇驻地区，发育中山中切割陡坡地形，要出露侏罗系（J</w:t>
            </w:r>
            <w:r>
              <w:rPr>
                <w:rFonts w:hint="eastAsia" w:asciiTheme="minorEastAsia" w:hAnsiTheme="minorEastAsia" w:eastAsiaTheme="minorEastAsia"/>
                <w:sz w:val="21"/>
                <w:vertAlign w:val="subscript"/>
              </w:rPr>
              <w:t>2</w:t>
            </w:r>
            <w:r>
              <w:rPr>
                <w:rFonts w:hint="eastAsia" w:asciiTheme="minorEastAsia" w:hAnsiTheme="minorEastAsia" w:eastAsiaTheme="minorEastAsia"/>
                <w:sz w:val="21"/>
              </w:rPr>
              <w:t>m）细砂岩、页岩、泥质灰岩及第三系（N）砂砾岩，地表岩石破碎，风化强烈，风化土层厚2～5m，人口分布密集，人类工程活动强度高；发育灾害以滑坡为主</w:t>
            </w:r>
          </w:p>
        </w:tc>
      </w:tr>
    </w:tbl>
    <w:p>
      <w:pPr>
        <w:pStyle w:val="4"/>
        <w:spacing w:before="240" w:after="120"/>
      </w:pPr>
      <w:bookmarkStart w:id="41" w:name="_Toc88832962"/>
      <w:r>
        <w:rPr>
          <w:rFonts w:hint="eastAsia"/>
        </w:rPr>
        <w:t>（二）地质灾害防治分区</w:t>
      </w:r>
      <w:bookmarkEnd w:id="41"/>
    </w:p>
    <w:p>
      <w:pPr>
        <w:ind w:firstLine="560"/>
      </w:pPr>
      <w:r>
        <w:rPr>
          <w:rFonts w:hint="eastAsia"/>
        </w:rPr>
        <w:t>根据全州地质环境条件、地质灾害发育分布情况及防灾治理需要，将全州划分为地质灾害重点防治区（A）、次重点防治区（B）和一般防治区（C）三大类共23个小区（图3-2），其中：重点防治区共12个小区（A</w:t>
      </w:r>
      <w:r>
        <w:rPr>
          <w:rFonts w:hint="eastAsia"/>
          <w:vertAlign w:val="subscript"/>
        </w:rPr>
        <w:t>1</w:t>
      </w:r>
      <w:r>
        <w:rPr>
          <w:rFonts w:hint="eastAsia"/>
        </w:rPr>
        <w:t>～A</w:t>
      </w:r>
      <w:r>
        <w:rPr>
          <w:rFonts w:hint="eastAsia"/>
          <w:vertAlign w:val="subscript"/>
        </w:rPr>
        <w:t>12</w:t>
      </w:r>
      <w:r>
        <w:rPr>
          <w:rFonts w:hint="eastAsia"/>
        </w:rPr>
        <w:t>），面积约3475.4km</w:t>
      </w:r>
      <w:r>
        <w:rPr>
          <w:rFonts w:hint="eastAsia"/>
          <w:vertAlign w:val="superscript"/>
        </w:rPr>
        <w:t>2</w:t>
      </w:r>
      <w:r>
        <w:rPr>
          <w:rFonts w:hint="eastAsia"/>
        </w:rPr>
        <w:t>,占30.2%；次重点防治区共8个小区（B</w:t>
      </w:r>
      <w:r>
        <w:rPr>
          <w:rFonts w:hint="eastAsia"/>
          <w:vertAlign w:val="subscript"/>
        </w:rPr>
        <w:t>1</w:t>
      </w:r>
      <w:r>
        <w:rPr>
          <w:rFonts w:hint="eastAsia"/>
        </w:rPr>
        <w:t>～B</w:t>
      </w:r>
      <w:r>
        <w:rPr>
          <w:rFonts w:hint="eastAsia"/>
          <w:vertAlign w:val="subscript"/>
        </w:rPr>
        <w:t>8</w:t>
      </w:r>
      <w:r>
        <w:rPr>
          <w:rFonts w:hint="eastAsia"/>
        </w:rPr>
        <w:t>），面积约1288.4km</w:t>
      </w:r>
      <w:r>
        <w:rPr>
          <w:rFonts w:hint="eastAsia"/>
          <w:vertAlign w:val="superscript"/>
        </w:rPr>
        <w:t>2</w:t>
      </w:r>
      <w:r>
        <w:rPr>
          <w:rFonts w:hint="eastAsia"/>
        </w:rPr>
        <w:t>,占11.2%；一般防治区共3个小区（C</w:t>
      </w:r>
      <w:r>
        <w:rPr>
          <w:rFonts w:hint="eastAsia"/>
          <w:vertAlign w:val="subscript"/>
        </w:rPr>
        <w:t>1</w:t>
      </w:r>
      <w:r>
        <w:rPr>
          <w:rFonts w:hint="eastAsia"/>
        </w:rPr>
        <w:t>～C</w:t>
      </w:r>
      <w:r>
        <w:rPr>
          <w:rFonts w:hint="eastAsia"/>
          <w:vertAlign w:val="subscript"/>
        </w:rPr>
        <w:t>3</w:t>
      </w:r>
      <w:r>
        <w:rPr>
          <w:rFonts w:hint="eastAsia"/>
        </w:rPr>
        <w:t>），面积约6762.2km</w:t>
      </w:r>
      <w:r>
        <w:rPr>
          <w:rFonts w:hint="eastAsia"/>
          <w:vertAlign w:val="superscript"/>
        </w:rPr>
        <w:t>2</w:t>
      </w:r>
      <w:r>
        <w:rPr>
          <w:rFonts w:hint="eastAsia"/>
        </w:rPr>
        <w:t>,占58.6%。</w:t>
      </w:r>
    </w:p>
    <w:p>
      <w:pPr>
        <w:ind w:firstLine="560"/>
      </w:pPr>
      <w:r>
        <w:rPr>
          <w:rFonts w:hint="eastAsia"/>
        </w:rPr>
        <w:t>重点防治区（A）共有12个小区，各小区特征及防治建议见下表3-2。</w:t>
      </w:r>
    </w:p>
    <w:p>
      <w:pPr>
        <w:ind w:firstLine="0" w:firstLineChars="0"/>
        <w:jc w:val="center"/>
      </w:pPr>
      <w:r>
        <w:object>
          <v:shape id="_x0000_i1026" o:spt="75" type="#_x0000_t75" style="height:652.7pt;width:431.05pt;" o:ole="t" filled="f" o:preferrelative="t" stroked="f" coordsize="21600,21600">
            <v:path/>
            <v:fill on="f" focussize="0,0"/>
            <v:stroke on="f" joinstyle="miter"/>
            <v:imagedata r:id="rId16" cropleft="11935f" croptop="6685f" cropright="34651f" cropbottom="16282f" o:title=""/>
            <o:lock v:ext="edit" aspectratio="t"/>
            <w10:wrap type="none"/>
            <w10:anchorlock/>
          </v:shape>
          <o:OLEObject Type="Embed" ProgID="AutoCAD.Drawing.18" ShapeID="_x0000_i1026" DrawAspect="Content" ObjectID="_1468075726" r:id="rId15">
            <o:LockedField>false</o:LockedField>
          </o:OLEObject>
        </w:object>
      </w:r>
    </w:p>
    <w:p>
      <w:pPr>
        <w:ind w:firstLine="0" w:firstLineChars="0"/>
        <w:jc w:val="center"/>
        <w:rPr>
          <w:b/>
          <w:sz w:val="24"/>
          <w:szCs w:val="24"/>
        </w:rPr>
        <w:sectPr>
          <w:pgSz w:w="11907" w:h="16840"/>
          <w:pgMar w:top="1134" w:right="1134" w:bottom="1134" w:left="1418" w:header="851" w:footer="992" w:gutter="0"/>
          <w:cols w:space="425" w:num="1"/>
          <w:docGrid w:linePitch="312" w:charSpace="0"/>
        </w:sectPr>
      </w:pPr>
      <w:r>
        <w:rPr>
          <w:rFonts w:hint="eastAsia"/>
          <w:b/>
          <w:sz w:val="24"/>
          <w:szCs w:val="24"/>
        </w:rPr>
        <w:t>图3-2  德宏州地质灾害防治分区图</w:t>
      </w:r>
    </w:p>
    <w:p>
      <w:pPr>
        <w:ind w:firstLine="0" w:firstLineChars="0"/>
        <w:jc w:val="center"/>
        <w:rPr>
          <w:b/>
          <w:sz w:val="24"/>
          <w:szCs w:val="24"/>
        </w:rPr>
      </w:pPr>
      <w:r>
        <w:rPr>
          <w:rFonts w:hint="eastAsia"/>
          <w:b/>
          <w:sz w:val="24"/>
          <w:szCs w:val="24"/>
        </w:rPr>
        <w:t>表3-2  德宏州地质灾害重点防治区统计表</w:t>
      </w:r>
    </w:p>
    <w:tbl>
      <w:tblPr>
        <w:tblStyle w:val="36"/>
        <w:tblW w:w="14774"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68"/>
        <w:gridCol w:w="851"/>
        <w:gridCol w:w="891"/>
        <w:gridCol w:w="851"/>
        <w:gridCol w:w="6946"/>
        <w:gridCol w:w="2551"/>
        <w:gridCol w:w="201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519" w:type="dxa"/>
            <w:gridSpan w:val="2"/>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防治分区</w:t>
            </w:r>
          </w:p>
        </w:tc>
        <w:tc>
          <w:tcPr>
            <w:tcW w:w="89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面积（km</w:t>
            </w:r>
            <w:r>
              <w:rPr>
                <w:rFonts w:hint="eastAsia" w:asciiTheme="minorEastAsia" w:hAnsiTheme="minorEastAsia" w:eastAsiaTheme="minorEastAsia"/>
                <w:sz w:val="21"/>
                <w:vertAlign w:val="superscript"/>
              </w:rPr>
              <w:t>2</w:t>
            </w:r>
            <w:r>
              <w:rPr>
                <w:rFonts w:hint="eastAsia" w:asciiTheme="minorEastAsia" w:hAnsiTheme="minorEastAsia" w:eastAsiaTheme="minorEastAsia"/>
                <w:sz w:val="21"/>
              </w:rPr>
              <w:t>）</w:t>
            </w: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面积占比</w:t>
            </w:r>
          </w:p>
        </w:tc>
        <w:tc>
          <w:tcPr>
            <w:tcW w:w="694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地质环境特征</w:t>
            </w:r>
          </w:p>
        </w:tc>
        <w:tc>
          <w:tcPr>
            <w:tcW w:w="25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地质灾害特征</w:t>
            </w:r>
          </w:p>
        </w:tc>
        <w:tc>
          <w:tcPr>
            <w:tcW w:w="201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防治建议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68"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重点防治区（A）</w:t>
            </w: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苏典重点防治区A</w:t>
            </w:r>
            <w:r>
              <w:rPr>
                <w:rFonts w:hint="eastAsia" w:asciiTheme="minorEastAsia" w:hAnsiTheme="minorEastAsia" w:eastAsiaTheme="minorEastAsia"/>
                <w:sz w:val="21"/>
                <w:vertAlign w:val="subscript"/>
              </w:rPr>
              <w:t>1</w:t>
            </w:r>
          </w:p>
        </w:tc>
        <w:tc>
          <w:tcPr>
            <w:tcW w:w="89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96.3</w:t>
            </w:r>
          </w:p>
        </w:tc>
        <w:tc>
          <w:tcPr>
            <w:tcW w:w="851" w:type="dxa"/>
            <w:vAlign w:val="center"/>
          </w:tcPr>
          <w:p>
            <w:pPr>
              <w:spacing w:line="240" w:lineRule="auto"/>
              <w:ind w:firstLine="0" w:firstLineChars="0"/>
              <w:jc w:val="center"/>
              <w:rPr>
                <w:rFonts w:cs="宋体" w:asciiTheme="minorEastAsia" w:hAnsiTheme="minorEastAsia" w:eastAsiaTheme="minorEastAsia"/>
                <w:sz w:val="21"/>
              </w:rPr>
            </w:pPr>
            <w:r>
              <w:rPr>
                <w:rFonts w:hint="eastAsia" w:asciiTheme="minorEastAsia" w:hAnsiTheme="minorEastAsia" w:eastAsiaTheme="minorEastAsia"/>
                <w:sz w:val="21"/>
              </w:rPr>
              <w:t>0.8%</w:t>
            </w:r>
          </w:p>
        </w:tc>
        <w:tc>
          <w:tcPr>
            <w:tcW w:w="6946"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cs="宋体" w:asciiTheme="minorEastAsia" w:hAnsiTheme="minorEastAsia" w:eastAsiaTheme="minorEastAsia"/>
                <w:sz w:val="21"/>
              </w:rPr>
              <w:t>该区内以构造侵蚀高中山地貌为主，河谷岸坡陡峻，局部悬崖；山顶呈锥状，山脊为鱼鳍状，河谷呈“V”型，多见悬崖峭壁。溯源侵蚀强烈，堆积作用较微。区内处于北东向和南北向构造复合部位，构造复杂，岩体受构造作用影响，节理裂隙发育，结构破碎，风化强烈。灾点主要分布于苏典河两岸及断裂破碎带区，危害对象主要为村寨、公路、农田。</w:t>
            </w:r>
          </w:p>
        </w:tc>
        <w:tc>
          <w:tcPr>
            <w:tcW w:w="2551"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asciiTheme="minorEastAsia" w:hAnsiTheme="minorEastAsia" w:eastAsiaTheme="minorEastAsia"/>
                <w:sz w:val="21"/>
              </w:rPr>
              <w:t>共发育中型以上滑坡1处，泥石流5处。</w:t>
            </w:r>
          </w:p>
        </w:tc>
        <w:tc>
          <w:tcPr>
            <w:tcW w:w="2016"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asciiTheme="minorEastAsia" w:hAnsiTheme="minorEastAsia" w:eastAsiaTheme="minorEastAsia"/>
                <w:sz w:val="21"/>
              </w:rPr>
              <w:t>工程治理措施，加强预警监测和地质环境保护，进行小流域综合规划治理。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68"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支那重点防治区A</w:t>
            </w:r>
            <w:r>
              <w:rPr>
                <w:rFonts w:hint="eastAsia" w:asciiTheme="minorEastAsia" w:hAnsiTheme="minorEastAsia" w:eastAsiaTheme="minorEastAsia"/>
                <w:sz w:val="21"/>
                <w:vertAlign w:val="subscript"/>
              </w:rPr>
              <w:t>2</w:t>
            </w:r>
          </w:p>
        </w:tc>
        <w:tc>
          <w:tcPr>
            <w:tcW w:w="89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94.8</w:t>
            </w:r>
          </w:p>
        </w:tc>
        <w:tc>
          <w:tcPr>
            <w:tcW w:w="851" w:type="dxa"/>
            <w:vAlign w:val="center"/>
          </w:tcPr>
          <w:p>
            <w:pPr>
              <w:spacing w:line="240" w:lineRule="auto"/>
              <w:ind w:firstLine="0" w:firstLineChars="0"/>
              <w:jc w:val="center"/>
              <w:rPr>
                <w:rFonts w:cs="宋体" w:asciiTheme="minorEastAsia" w:hAnsiTheme="minorEastAsia" w:eastAsiaTheme="minorEastAsia"/>
                <w:sz w:val="21"/>
              </w:rPr>
            </w:pPr>
            <w:r>
              <w:rPr>
                <w:rFonts w:hint="eastAsia" w:asciiTheme="minorEastAsia" w:hAnsiTheme="minorEastAsia" w:eastAsiaTheme="minorEastAsia"/>
                <w:sz w:val="21"/>
              </w:rPr>
              <w:t>0.8%</w:t>
            </w:r>
          </w:p>
        </w:tc>
        <w:tc>
          <w:tcPr>
            <w:tcW w:w="6946"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cs="宋体" w:asciiTheme="minorEastAsia" w:hAnsiTheme="minorEastAsia" w:eastAsiaTheme="minorEastAsia"/>
                <w:sz w:val="21"/>
              </w:rPr>
              <w:t>该区内以构造侵蚀中山地貌为主，山脊宽缓，斜坡多为凸形坡，坡面沟谷密度大，水系发育。受南北向断层构造影响，岩体节理裂隙发育，结构破碎，风化强烈。灾点主要分布于支那河沟谷两岸及断裂破碎带，危害对象主要为村寨、公路、农田。</w:t>
            </w:r>
          </w:p>
        </w:tc>
        <w:tc>
          <w:tcPr>
            <w:tcW w:w="2551"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asciiTheme="minorEastAsia" w:hAnsiTheme="minorEastAsia" w:eastAsiaTheme="minorEastAsia"/>
                <w:sz w:val="21"/>
              </w:rPr>
              <w:t>共发育中型以上滑坡1处，泥石流1处。</w:t>
            </w:r>
          </w:p>
        </w:tc>
        <w:tc>
          <w:tcPr>
            <w:tcW w:w="2016"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asciiTheme="minorEastAsia" w:hAnsiTheme="minorEastAsia" w:eastAsiaTheme="minorEastAsia"/>
                <w:sz w:val="21"/>
              </w:rPr>
              <w:t>工程治理措施，加强预警监测和地质环境保护，进行小流域综合规划治理。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68"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芒章重点防治区A</w:t>
            </w:r>
            <w:r>
              <w:rPr>
                <w:rFonts w:hint="eastAsia" w:asciiTheme="minorEastAsia" w:hAnsiTheme="minorEastAsia" w:eastAsiaTheme="minorEastAsia"/>
                <w:sz w:val="21"/>
                <w:vertAlign w:val="subscript"/>
              </w:rPr>
              <w:t>3</w:t>
            </w:r>
          </w:p>
        </w:tc>
        <w:tc>
          <w:tcPr>
            <w:tcW w:w="89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191.5</w:t>
            </w:r>
          </w:p>
        </w:tc>
        <w:tc>
          <w:tcPr>
            <w:tcW w:w="851"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1.7%</w:t>
            </w:r>
          </w:p>
        </w:tc>
        <w:tc>
          <w:tcPr>
            <w:tcW w:w="6946"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cs="宋体" w:asciiTheme="minorEastAsia" w:hAnsiTheme="minorEastAsia" w:eastAsiaTheme="minorEastAsia"/>
                <w:sz w:val="21"/>
              </w:rPr>
              <w:t>该区处于南北向断层分布区，沿线有灰岩和火山岩分布，山体多为穹丘状或断块山。岩体结构破碎，风化强烈，但植被覆盖率较高。灾点主要分布于槟榔江沟谷两岸及断裂破碎带区。危害对象主要为村寨、公路、农田。</w:t>
            </w:r>
          </w:p>
        </w:tc>
        <w:tc>
          <w:tcPr>
            <w:tcW w:w="2551" w:type="dxa"/>
            <w:vAlign w:val="center"/>
          </w:tcPr>
          <w:p>
            <w:pPr>
              <w:adjustRightInd w:val="0"/>
              <w:snapToGrid w:val="0"/>
              <w:spacing w:line="240" w:lineRule="auto"/>
              <w:ind w:firstLine="0" w:firstLineChars="0"/>
              <w:jc w:val="left"/>
              <w:rPr>
                <w:rFonts w:cs="宋体" w:asciiTheme="minorEastAsia" w:hAnsiTheme="minorEastAsia" w:eastAsiaTheme="minorEastAsia"/>
                <w:sz w:val="21"/>
              </w:rPr>
            </w:pPr>
            <w:r>
              <w:rPr>
                <w:rFonts w:hint="eastAsia" w:asciiTheme="minorEastAsia" w:hAnsiTheme="minorEastAsia" w:eastAsiaTheme="minorEastAsia"/>
                <w:sz w:val="21"/>
              </w:rPr>
              <w:t>共发育中型以上滑坡3处，泥石流12处。</w:t>
            </w:r>
          </w:p>
        </w:tc>
        <w:tc>
          <w:tcPr>
            <w:tcW w:w="2016" w:type="dxa"/>
            <w:vAlign w:val="center"/>
          </w:tcPr>
          <w:p>
            <w:pPr>
              <w:adjustRightInd w:val="0"/>
              <w:snapToGrid w:val="0"/>
              <w:spacing w:line="240" w:lineRule="auto"/>
              <w:ind w:firstLine="0" w:firstLineChars="0"/>
              <w:jc w:val="left"/>
              <w:rPr>
                <w:rFonts w:cs="宋体" w:asciiTheme="minorEastAsia" w:hAnsiTheme="minorEastAsia" w:eastAsiaTheme="minorEastAsia"/>
                <w:sz w:val="21"/>
              </w:rPr>
            </w:pPr>
            <w:r>
              <w:rPr>
                <w:rFonts w:hint="eastAsia" w:asciiTheme="minorEastAsia" w:hAnsiTheme="minorEastAsia" w:eastAsiaTheme="minorEastAsia"/>
                <w:sz w:val="21"/>
              </w:rPr>
              <w:t>工程治理措施，加强预警监测和地质环境保护，进行小流域综合规划治理。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68"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勐弄—平原重点防治区A</w:t>
            </w:r>
            <w:r>
              <w:rPr>
                <w:rFonts w:hint="eastAsia" w:asciiTheme="minorEastAsia" w:hAnsiTheme="minorEastAsia" w:eastAsiaTheme="minorEastAsia"/>
                <w:sz w:val="21"/>
                <w:vertAlign w:val="subscript"/>
              </w:rPr>
              <w:t>4</w:t>
            </w:r>
          </w:p>
        </w:tc>
        <w:tc>
          <w:tcPr>
            <w:tcW w:w="89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308.2</w:t>
            </w:r>
          </w:p>
        </w:tc>
        <w:tc>
          <w:tcPr>
            <w:tcW w:w="851"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2.7%</w:t>
            </w:r>
          </w:p>
        </w:tc>
        <w:tc>
          <w:tcPr>
            <w:tcW w:w="6946"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cs="宋体" w:asciiTheme="minorEastAsia" w:hAnsiTheme="minorEastAsia" w:eastAsiaTheme="minorEastAsia"/>
                <w:sz w:val="21"/>
              </w:rPr>
              <w:t>该区位于大盈江西侧盈江县城附近，处于北东－南西向大盈江断层与南北向断层交汇处。区内以构造侵蚀中山地貌为主，滑坡、泥石流较发育。灾点主要分布于大盈江西岸及断裂破碎带。危害对象主要为村寨、公路、农田。</w:t>
            </w:r>
          </w:p>
        </w:tc>
        <w:tc>
          <w:tcPr>
            <w:tcW w:w="2551" w:type="dxa"/>
            <w:vAlign w:val="center"/>
          </w:tcPr>
          <w:p>
            <w:pPr>
              <w:adjustRightInd w:val="0"/>
              <w:snapToGrid w:val="0"/>
              <w:spacing w:line="240" w:lineRule="auto"/>
              <w:ind w:firstLine="0" w:firstLineChars="0"/>
              <w:jc w:val="left"/>
              <w:rPr>
                <w:rFonts w:cs="宋体" w:asciiTheme="minorEastAsia" w:hAnsiTheme="minorEastAsia" w:eastAsiaTheme="minorEastAsia"/>
                <w:sz w:val="21"/>
              </w:rPr>
            </w:pPr>
            <w:r>
              <w:rPr>
                <w:rFonts w:hint="eastAsia" w:asciiTheme="minorEastAsia" w:hAnsiTheme="minorEastAsia" w:eastAsiaTheme="minorEastAsia"/>
                <w:sz w:val="21"/>
              </w:rPr>
              <w:t>共发育中型以上滑坡9处，泥石流20处。</w:t>
            </w:r>
          </w:p>
        </w:tc>
        <w:tc>
          <w:tcPr>
            <w:tcW w:w="2016" w:type="dxa"/>
            <w:vAlign w:val="center"/>
          </w:tcPr>
          <w:p>
            <w:pPr>
              <w:spacing w:line="240" w:lineRule="auto"/>
              <w:ind w:firstLine="0" w:firstLineChars="0"/>
              <w:jc w:val="left"/>
              <w:rPr>
                <w:rFonts w:asciiTheme="minorEastAsia" w:hAnsiTheme="minorEastAsia" w:eastAsiaTheme="minorEastAsia"/>
                <w:sz w:val="21"/>
              </w:rPr>
            </w:pPr>
            <w:r>
              <w:rPr>
                <w:rFonts w:hint="eastAsia" w:asciiTheme="minorEastAsia" w:hAnsiTheme="minorEastAsia" w:eastAsiaTheme="minorEastAsia"/>
                <w:sz w:val="21"/>
              </w:rPr>
              <w:t>工程治理措施，加强预警监测和地质环境保护，进行小流域综合规划治理。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668"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那邦重点防治区A</w:t>
            </w:r>
            <w:r>
              <w:rPr>
                <w:rFonts w:hint="eastAsia" w:asciiTheme="minorEastAsia" w:hAnsiTheme="minorEastAsia" w:eastAsiaTheme="minorEastAsia"/>
                <w:sz w:val="21"/>
                <w:vertAlign w:val="subscript"/>
              </w:rPr>
              <w:t>5</w:t>
            </w:r>
          </w:p>
        </w:tc>
        <w:tc>
          <w:tcPr>
            <w:tcW w:w="89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175.6</w:t>
            </w:r>
          </w:p>
        </w:tc>
        <w:tc>
          <w:tcPr>
            <w:tcW w:w="851"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1.5%</w:t>
            </w:r>
          </w:p>
        </w:tc>
        <w:tc>
          <w:tcPr>
            <w:tcW w:w="6946"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cs="宋体" w:asciiTheme="minorEastAsia" w:hAnsiTheme="minorEastAsia" w:eastAsiaTheme="minorEastAsia"/>
                <w:sz w:val="21"/>
              </w:rPr>
              <w:t>该区处于构造侵蚀中山陡坡地貌区，河谷深切，谷坡陡峻，地质构造复杂，新构造运动强烈；滑坡、泥石流等地质灾害发育。地基稳定性差，环境工程地质条件差；灾点主要分布于大盈江西岸及断裂破碎带。危害对象主要为村寨、公路、农田。</w:t>
            </w:r>
          </w:p>
        </w:tc>
        <w:tc>
          <w:tcPr>
            <w:tcW w:w="2551" w:type="dxa"/>
            <w:vAlign w:val="center"/>
          </w:tcPr>
          <w:p>
            <w:pPr>
              <w:adjustRightInd w:val="0"/>
              <w:snapToGrid w:val="0"/>
              <w:spacing w:line="240" w:lineRule="auto"/>
              <w:ind w:firstLine="0" w:firstLineChars="0"/>
              <w:jc w:val="left"/>
              <w:rPr>
                <w:rFonts w:asciiTheme="minorEastAsia" w:hAnsiTheme="minorEastAsia" w:eastAsiaTheme="minorEastAsia"/>
                <w:spacing w:val="-2"/>
                <w:sz w:val="21"/>
              </w:rPr>
            </w:pPr>
            <w:r>
              <w:rPr>
                <w:rFonts w:hint="eastAsia" w:asciiTheme="minorEastAsia" w:hAnsiTheme="minorEastAsia" w:eastAsiaTheme="minorEastAsia"/>
                <w:sz w:val="21"/>
              </w:rPr>
              <w:t>共发育中型以上泥石流1处，小型地质灾害5处。</w:t>
            </w:r>
          </w:p>
        </w:tc>
        <w:tc>
          <w:tcPr>
            <w:tcW w:w="2016" w:type="dxa"/>
            <w:vAlign w:val="center"/>
          </w:tcPr>
          <w:p>
            <w:pPr>
              <w:adjustRightInd w:val="0"/>
              <w:snapToGrid w:val="0"/>
              <w:spacing w:line="240" w:lineRule="auto"/>
              <w:ind w:firstLine="0" w:firstLineChars="0"/>
              <w:jc w:val="left"/>
              <w:rPr>
                <w:rFonts w:asciiTheme="minorEastAsia" w:hAnsiTheme="minorEastAsia" w:eastAsiaTheme="minorEastAsia"/>
                <w:spacing w:val="-2"/>
                <w:sz w:val="21"/>
              </w:rPr>
            </w:pPr>
            <w:r>
              <w:rPr>
                <w:rFonts w:hint="eastAsia" w:cs="宋体" w:asciiTheme="minorEastAsia" w:hAnsiTheme="minorEastAsia" w:eastAsiaTheme="minorEastAsia"/>
                <w:sz w:val="21"/>
              </w:rPr>
              <w:t>工程治理措施，加强预警监测和地质环境保护。</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jc w:val="center"/>
        </w:trPr>
        <w:tc>
          <w:tcPr>
            <w:tcW w:w="668"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vertAlign w:val="subscript"/>
              </w:rPr>
            </w:pPr>
            <w:r>
              <w:rPr>
                <w:rFonts w:hint="eastAsia" w:asciiTheme="minorEastAsia" w:hAnsiTheme="minorEastAsia" w:eastAsiaTheme="minorEastAsia"/>
                <w:sz w:val="21"/>
              </w:rPr>
              <w:t>盈江—梁河—陇川重点防治区A</w:t>
            </w:r>
            <w:r>
              <w:rPr>
                <w:rFonts w:hint="eastAsia" w:asciiTheme="minorEastAsia" w:hAnsiTheme="minorEastAsia" w:eastAsiaTheme="minorEastAsia"/>
                <w:sz w:val="21"/>
                <w:vertAlign w:val="subscript"/>
              </w:rPr>
              <w:t>6</w:t>
            </w:r>
          </w:p>
        </w:tc>
        <w:tc>
          <w:tcPr>
            <w:tcW w:w="89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1930</w:t>
            </w:r>
          </w:p>
        </w:tc>
        <w:tc>
          <w:tcPr>
            <w:tcW w:w="851"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16.7%</w:t>
            </w:r>
          </w:p>
        </w:tc>
        <w:tc>
          <w:tcPr>
            <w:tcW w:w="6946" w:type="dxa"/>
            <w:vAlign w:val="center"/>
          </w:tcPr>
          <w:p>
            <w:pPr>
              <w:adjustRightInd w:val="0"/>
              <w:snapToGrid w:val="0"/>
              <w:spacing w:line="240" w:lineRule="auto"/>
              <w:ind w:firstLine="0" w:firstLineChars="0"/>
              <w:jc w:val="left"/>
              <w:rPr>
                <w:rFonts w:cs="宋体" w:asciiTheme="minorEastAsia" w:hAnsiTheme="minorEastAsia" w:eastAsiaTheme="minorEastAsia"/>
                <w:sz w:val="21"/>
              </w:rPr>
            </w:pPr>
            <w:r>
              <w:rPr>
                <w:rFonts w:hint="eastAsia" w:cs="宋体" w:asciiTheme="minorEastAsia" w:hAnsiTheme="minorEastAsia" w:eastAsiaTheme="minorEastAsia"/>
                <w:sz w:val="21"/>
              </w:rPr>
              <w:t>该区位于大盈江左岸盈江—梁河—芒东—陇川王子树—勐约—护国—户撒一带，处于北东－南西向断层破碎带，区内以构造侵蚀中山地貌为主，</w:t>
            </w:r>
            <w:r>
              <w:rPr>
                <w:rStyle w:val="90"/>
                <w:rFonts w:hint="default" w:asciiTheme="minorEastAsia" w:hAnsiTheme="minorEastAsia" w:eastAsiaTheme="minorEastAsia"/>
                <w:color w:val="auto"/>
                <w:sz w:val="21"/>
                <w:szCs w:val="21"/>
              </w:rPr>
              <w:t>沟谷切割发育，区内主要地层为加里东期（γm）混合花岗岩，局部下伏为寒武系（∈）片麻岩等，岩体较为破碎，风化程度强烈</w:t>
            </w:r>
            <w:r>
              <w:rPr>
                <w:rFonts w:hint="eastAsia" w:cs="宋体" w:asciiTheme="minorEastAsia" w:hAnsiTheme="minorEastAsia" w:eastAsiaTheme="minorEastAsia"/>
                <w:sz w:val="21"/>
              </w:rPr>
              <w:t>。河谷多呈“V”，坡度最大75°，平均19°，常见滑坡、泥石流发育，沟口多有洪积扇堆积，具有明显的侵蚀作用。危害对象主要为村寨、公路、农田。</w:t>
            </w:r>
          </w:p>
        </w:tc>
        <w:tc>
          <w:tcPr>
            <w:tcW w:w="2551"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hint="eastAsia" w:asciiTheme="minorEastAsia" w:hAnsiTheme="minorEastAsia" w:eastAsiaTheme="minorEastAsia"/>
                <w:sz w:val="21"/>
              </w:rPr>
              <w:t>该区是德宏州境内地质灾害发育最为集中的区域，共发育中型以上滑坡78处，泥石流34处，主要分布于大盈江沿岸及陇川户撒一带。</w:t>
            </w:r>
          </w:p>
        </w:tc>
        <w:tc>
          <w:tcPr>
            <w:tcW w:w="2016" w:type="dxa"/>
            <w:vAlign w:val="center"/>
          </w:tcPr>
          <w:p>
            <w:pPr>
              <w:adjustRightInd w:val="0"/>
              <w:snapToGrid w:val="0"/>
              <w:spacing w:line="240" w:lineRule="auto"/>
              <w:ind w:firstLine="0" w:firstLineChars="0"/>
              <w:jc w:val="left"/>
              <w:rPr>
                <w:rFonts w:cs="宋体" w:asciiTheme="minorEastAsia" w:hAnsiTheme="minorEastAsia" w:eastAsiaTheme="minorEastAsia"/>
                <w:sz w:val="21"/>
              </w:rPr>
            </w:pPr>
            <w:r>
              <w:rPr>
                <w:rFonts w:hint="eastAsia" w:cs="宋体" w:asciiTheme="minorEastAsia" w:hAnsiTheme="minorEastAsia" w:eastAsiaTheme="minorEastAsia"/>
                <w:sz w:val="21"/>
              </w:rPr>
              <w:t>避让搬迁、工程治理措施，加强预警监测和地质环境保护。</w:t>
            </w:r>
          </w:p>
        </w:tc>
      </w:tr>
    </w:tbl>
    <w:p>
      <w:pPr>
        <w:ind w:firstLine="0" w:firstLineChars="0"/>
        <w:jc w:val="center"/>
        <w:rPr>
          <w:b/>
          <w:sz w:val="24"/>
          <w:szCs w:val="24"/>
        </w:rPr>
      </w:pPr>
    </w:p>
    <w:p>
      <w:pPr>
        <w:ind w:firstLine="0" w:firstLineChars="0"/>
        <w:jc w:val="center"/>
        <w:rPr>
          <w:b/>
          <w:sz w:val="24"/>
          <w:szCs w:val="24"/>
        </w:rPr>
      </w:pPr>
      <w:r>
        <w:rPr>
          <w:rFonts w:hint="eastAsia"/>
          <w:b/>
          <w:sz w:val="24"/>
          <w:szCs w:val="24"/>
        </w:rPr>
        <w:t>续表3-2  德宏州地质灾害重点防治区统计表</w:t>
      </w:r>
    </w:p>
    <w:tbl>
      <w:tblPr>
        <w:tblStyle w:val="36"/>
        <w:tblW w:w="14693"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70"/>
        <w:gridCol w:w="851"/>
        <w:gridCol w:w="850"/>
        <w:gridCol w:w="709"/>
        <w:gridCol w:w="5953"/>
        <w:gridCol w:w="2410"/>
        <w:gridCol w:w="315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21" w:type="dxa"/>
            <w:gridSpan w:val="2"/>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防治分区</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面积（km</w:t>
            </w:r>
            <w:r>
              <w:rPr>
                <w:rFonts w:hint="eastAsia" w:asciiTheme="minorEastAsia" w:hAnsiTheme="minorEastAsia" w:eastAsiaTheme="minorEastAsia"/>
                <w:sz w:val="21"/>
                <w:vertAlign w:val="superscript"/>
              </w:rPr>
              <w:t>2</w:t>
            </w:r>
            <w:r>
              <w:rPr>
                <w:rFonts w:hint="eastAsia" w:asciiTheme="minorEastAsia" w:hAnsiTheme="minorEastAsia" w:eastAsiaTheme="minorEastAsia"/>
                <w:sz w:val="21"/>
              </w:rPr>
              <w:t>）</w:t>
            </w:r>
          </w:p>
        </w:tc>
        <w:tc>
          <w:tcPr>
            <w:tcW w:w="709"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面积占比</w:t>
            </w:r>
          </w:p>
        </w:tc>
        <w:tc>
          <w:tcPr>
            <w:tcW w:w="595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地质环境特征</w:t>
            </w:r>
          </w:p>
        </w:tc>
        <w:tc>
          <w:tcPr>
            <w:tcW w:w="241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地质灾害特征</w:t>
            </w:r>
          </w:p>
        </w:tc>
        <w:tc>
          <w:tcPr>
            <w:tcW w:w="31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防治建议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770"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重点防治区（A）</w:t>
            </w: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陇把吕良重点防治区A</w:t>
            </w:r>
            <w:r>
              <w:rPr>
                <w:rFonts w:hint="eastAsia" w:asciiTheme="minorEastAsia" w:hAnsiTheme="minorEastAsia" w:eastAsiaTheme="minorEastAsia"/>
                <w:sz w:val="21"/>
                <w:vertAlign w:val="subscript"/>
              </w:rPr>
              <w:t>7</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47.9</w:t>
            </w:r>
          </w:p>
        </w:tc>
        <w:tc>
          <w:tcPr>
            <w:tcW w:w="709"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0.4%</w:t>
            </w:r>
          </w:p>
        </w:tc>
        <w:tc>
          <w:tcPr>
            <w:tcW w:w="5953" w:type="dxa"/>
            <w:vAlign w:val="center"/>
          </w:tcPr>
          <w:p>
            <w:pPr>
              <w:adjustRightInd w:val="0"/>
              <w:snapToGrid w:val="0"/>
              <w:spacing w:line="240" w:lineRule="auto"/>
              <w:ind w:firstLine="0" w:firstLineChars="0"/>
              <w:jc w:val="left"/>
              <w:rPr>
                <w:rFonts w:cs="宋体" w:asciiTheme="minorEastAsia" w:hAnsiTheme="minorEastAsia" w:eastAsiaTheme="minorEastAsia"/>
                <w:sz w:val="21"/>
              </w:rPr>
            </w:pPr>
            <w:r>
              <w:rPr>
                <w:rFonts w:asciiTheme="minorEastAsia" w:hAnsiTheme="minorEastAsia" w:eastAsiaTheme="minorEastAsia"/>
                <w:sz w:val="21"/>
              </w:rPr>
              <w:t>该区域地貌形态总体为构造剥蚀中山中切割长垣垄状地貌，沟谷切割发育，区内主要下伏地层为加里东期（γm）混合花岗岩，局部出露为寒武系（∈）片麻岩等，岩体较为破碎，风化程度强烈，坡积松散覆盖层较厚，泥石流物源丰富，在降雨及人类活动影响下易引发泥石流和滑坡等地质灾害</w:t>
            </w:r>
            <w:r>
              <w:rPr>
                <w:rFonts w:hint="eastAsia" w:asciiTheme="minorEastAsia" w:hAnsiTheme="minorEastAsia" w:eastAsiaTheme="minorEastAsia"/>
                <w:sz w:val="21"/>
              </w:rPr>
              <w:t>。</w:t>
            </w:r>
          </w:p>
        </w:tc>
        <w:tc>
          <w:tcPr>
            <w:tcW w:w="2410"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asciiTheme="minorEastAsia" w:hAnsiTheme="minorEastAsia" w:eastAsiaTheme="minorEastAsia"/>
                <w:sz w:val="21"/>
              </w:rPr>
              <w:t>共计发育地质灾害点6个，其中滑坡 3处、泥石流沟3条</w:t>
            </w:r>
            <w:r>
              <w:rPr>
                <w:rFonts w:hint="eastAsia" w:asciiTheme="minorEastAsia" w:hAnsiTheme="minorEastAsia" w:eastAsiaTheme="minorEastAsia"/>
                <w:sz w:val="21"/>
              </w:rPr>
              <w:t>。</w:t>
            </w:r>
          </w:p>
        </w:tc>
        <w:tc>
          <w:tcPr>
            <w:tcW w:w="3150" w:type="dxa"/>
            <w:vAlign w:val="center"/>
          </w:tcPr>
          <w:p>
            <w:pPr>
              <w:adjustRightInd w:val="0"/>
              <w:snapToGrid w:val="0"/>
              <w:spacing w:line="240" w:lineRule="auto"/>
              <w:ind w:firstLine="0" w:firstLineChars="0"/>
              <w:jc w:val="left"/>
              <w:rPr>
                <w:rFonts w:cs="宋体" w:asciiTheme="minorEastAsia" w:hAnsiTheme="minorEastAsia" w:eastAsiaTheme="minorEastAsia"/>
                <w:sz w:val="21"/>
              </w:rPr>
            </w:pPr>
            <w:r>
              <w:rPr>
                <w:rFonts w:hint="eastAsia" w:asciiTheme="minorEastAsia" w:hAnsiTheme="minorEastAsia" w:eastAsiaTheme="minorEastAsia"/>
                <w:sz w:val="21"/>
              </w:rPr>
              <w:t>该区以泥石流地质灾害最为发育，地质灾害防治则以工程治理（排导、稳拦）和群测群防为主；对部分治理难</w:t>
            </w:r>
            <w:r>
              <w:rPr>
                <w:rFonts w:asciiTheme="minorEastAsia" w:hAnsiTheme="minorEastAsia" w:eastAsiaTheme="minorEastAsia"/>
                <w:sz w:val="21"/>
              </w:rPr>
              <w:t>度大，治理投资高于避灾投资的灾害点实施避灾搬迁；对规模较大，危害程度高的灾害点</w:t>
            </w:r>
            <w:r>
              <w:rPr>
                <w:rStyle w:val="90"/>
                <w:rFonts w:hint="default" w:asciiTheme="minorEastAsia" w:hAnsiTheme="minorEastAsia" w:eastAsiaTheme="minorEastAsia"/>
                <w:color w:val="auto"/>
                <w:sz w:val="21"/>
                <w:szCs w:val="21"/>
              </w:rPr>
              <w:t>实施普适型监测，同时竖立警示牌</w:t>
            </w:r>
            <w:r>
              <w:rPr>
                <w:rFonts w:hint="eastAsia" w:asciiTheme="minorEastAsia" w:hAnsiTheme="minorEastAsia" w:eastAsiaTheme="minorEastAsia"/>
                <w:sz w:val="21"/>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770"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城子重点坊子区A</w:t>
            </w:r>
            <w:r>
              <w:rPr>
                <w:rFonts w:hint="eastAsia" w:asciiTheme="minorEastAsia" w:hAnsiTheme="minorEastAsia" w:eastAsiaTheme="minorEastAsia"/>
                <w:sz w:val="21"/>
                <w:vertAlign w:val="subscript"/>
              </w:rPr>
              <w:t>8</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18</w:t>
            </w:r>
          </w:p>
        </w:tc>
        <w:tc>
          <w:tcPr>
            <w:tcW w:w="709"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0.2%</w:t>
            </w:r>
          </w:p>
        </w:tc>
        <w:tc>
          <w:tcPr>
            <w:tcW w:w="5953"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asciiTheme="minorEastAsia" w:hAnsiTheme="minorEastAsia" w:eastAsiaTheme="minorEastAsia"/>
                <w:sz w:val="21"/>
              </w:rPr>
              <w:t>该区域总体地貌形态属低丘台地侵蚀堆积地貌类型，自然斜坡整体坡度较缓，丘壑台地间沟谷切割发育。地层岩性以新近系（N）砂岩、砾岩、粘土岩等为主，风化强烈，表层为残坡积松散层覆盖，岩土体工程地质条件较差。该区人类工程活动强烈，尤其是城镇建设中削坡建房</w:t>
            </w:r>
            <w:r>
              <w:rPr>
                <w:rFonts w:hint="eastAsia" w:asciiTheme="minorEastAsia" w:hAnsiTheme="minorEastAsia" w:eastAsiaTheme="minorEastAsia"/>
                <w:sz w:val="21"/>
              </w:rPr>
              <w:t>。</w:t>
            </w:r>
          </w:p>
        </w:tc>
        <w:tc>
          <w:tcPr>
            <w:tcW w:w="2410"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asciiTheme="minorEastAsia" w:hAnsiTheme="minorEastAsia" w:eastAsiaTheme="minorEastAsia"/>
                <w:sz w:val="21"/>
              </w:rPr>
              <w:t>该区域共计发育地质灾害点3个，</w:t>
            </w:r>
            <w:r>
              <w:rPr>
                <w:rFonts w:hint="eastAsia" w:asciiTheme="minorEastAsia" w:hAnsiTheme="minorEastAsia" w:eastAsiaTheme="minorEastAsia"/>
                <w:sz w:val="21"/>
              </w:rPr>
              <w:t>均为</w:t>
            </w:r>
            <w:r>
              <w:rPr>
                <w:rFonts w:asciiTheme="minorEastAsia" w:hAnsiTheme="minorEastAsia" w:eastAsiaTheme="minorEastAsia"/>
                <w:sz w:val="21"/>
              </w:rPr>
              <w:t>滑坡</w:t>
            </w:r>
            <w:r>
              <w:rPr>
                <w:rFonts w:hint="eastAsia" w:asciiTheme="minorEastAsia" w:hAnsiTheme="minorEastAsia" w:eastAsiaTheme="minorEastAsia"/>
                <w:sz w:val="21"/>
              </w:rPr>
              <w:t>灾害点。</w:t>
            </w:r>
          </w:p>
        </w:tc>
        <w:tc>
          <w:tcPr>
            <w:tcW w:w="3150"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asciiTheme="minorEastAsia" w:hAnsiTheme="minorEastAsia" w:eastAsiaTheme="minorEastAsia"/>
                <w:sz w:val="21"/>
              </w:rPr>
              <w:t>该区多为人工修路开挖形成的高陡边坡失稳发生崩塌和滑坡，地质灾害防治以工程治理（支挡、锚固、坡面防护、排水）为主；对规模较大，危害程度高的灾害点</w:t>
            </w:r>
            <w:r>
              <w:rPr>
                <w:rStyle w:val="90"/>
                <w:rFonts w:hint="default" w:asciiTheme="minorEastAsia" w:hAnsiTheme="minorEastAsia" w:eastAsiaTheme="minorEastAsia"/>
                <w:color w:val="auto"/>
                <w:sz w:val="21"/>
                <w:szCs w:val="21"/>
              </w:rPr>
              <w:t>实施普适型监测，同时竖立警示牌。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770"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江东—五岔路重点防治区A</w:t>
            </w:r>
            <w:r>
              <w:rPr>
                <w:rFonts w:hint="eastAsia" w:asciiTheme="minorEastAsia" w:hAnsiTheme="minorEastAsia" w:eastAsiaTheme="minorEastAsia"/>
                <w:sz w:val="21"/>
                <w:vertAlign w:val="subscript"/>
              </w:rPr>
              <w:t>9</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171.2</w:t>
            </w:r>
          </w:p>
        </w:tc>
        <w:tc>
          <w:tcPr>
            <w:tcW w:w="709"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1.5%</w:t>
            </w:r>
          </w:p>
        </w:tc>
        <w:tc>
          <w:tcPr>
            <w:tcW w:w="5953"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asciiTheme="minorEastAsia" w:hAnsiTheme="minorEastAsia" w:eastAsiaTheme="minorEastAsia"/>
                <w:kern w:val="0"/>
                <w:sz w:val="21"/>
              </w:rPr>
              <w:t>区内以构造侵蚀低中山地貌为主，海拔高程最低880m，最大2620m，高差1740m，切割深度300～1000m。山顶多为穹状，山脊呈猪背状。坡面沟谷发育，河谷多呈“V”，坡度最大73°，平均21°，部分具有直坡形态，常见滑坡、泥石流发育，沟口多有洪积扇堆积，具有明显的侵蚀作用。人类活动主要表现为公路建设、农村建房及陡坡垦植等，土壤侵蚀强度总体中等。</w:t>
            </w:r>
          </w:p>
        </w:tc>
        <w:tc>
          <w:tcPr>
            <w:tcW w:w="2410"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asciiTheme="minorEastAsia" w:hAnsiTheme="minorEastAsia" w:eastAsiaTheme="minorEastAsia"/>
                <w:kern w:val="0"/>
                <w:sz w:val="21"/>
              </w:rPr>
              <w:t>发育各类地质灾害点55处，其中滑坡54处、崩塌1处，面密度为30.33处/100 km</w:t>
            </w:r>
            <w:r>
              <w:rPr>
                <w:rFonts w:asciiTheme="minorEastAsia" w:hAnsiTheme="minorEastAsia" w:eastAsiaTheme="minorEastAsia"/>
                <w:kern w:val="0"/>
                <w:sz w:val="21"/>
                <w:vertAlign w:val="superscript"/>
              </w:rPr>
              <w:t>2</w:t>
            </w:r>
            <w:r>
              <w:rPr>
                <w:rFonts w:asciiTheme="minorEastAsia" w:hAnsiTheme="minorEastAsia" w:eastAsiaTheme="minorEastAsia"/>
                <w:kern w:val="0"/>
                <w:sz w:val="21"/>
              </w:rPr>
              <w:t>，危害对象主要为集镇、村寨、公路。</w:t>
            </w:r>
          </w:p>
        </w:tc>
        <w:tc>
          <w:tcPr>
            <w:tcW w:w="3150" w:type="dxa"/>
            <w:vAlign w:val="center"/>
          </w:tcPr>
          <w:p>
            <w:pPr>
              <w:adjustRightInd w:val="0"/>
              <w:snapToGrid w:val="0"/>
              <w:spacing w:line="240" w:lineRule="auto"/>
              <w:ind w:firstLine="0" w:firstLineChars="0"/>
              <w:jc w:val="left"/>
              <w:rPr>
                <w:rFonts w:asciiTheme="minorEastAsia" w:hAnsiTheme="minorEastAsia" w:eastAsiaTheme="minorEastAsia"/>
                <w:sz w:val="21"/>
              </w:rPr>
            </w:pPr>
            <w:r>
              <w:rPr>
                <w:rFonts w:asciiTheme="minorEastAsia" w:hAnsiTheme="minorEastAsia" w:eastAsiaTheme="minorEastAsia"/>
                <w:kern w:val="0"/>
                <w:sz w:val="21"/>
              </w:rPr>
              <w:t>均为群测群防点，工程治理，避险搬迁，</w:t>
            </w:r>
            <w:r>
              <w:rPr>
                <w:rFonts w:hint="eastAsia" w:cs="宋体" w:asciiTheme="minorEastAsia" w:hAnsiTheme="minorEastAsia" w:eastAsiaTheme="minorEastAsia"/>
                <w:sz w:val="21"/>
              </w:rPr>
              <w:t>加强预警监测和地质环境保护。</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770"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芒市重点防治区A</w:t>
            </w:r>
            <w:r>
              <w:rPr>
                <w:rFonts w:hint="eastAsia" w:asciiTheme="minorEastAsia" w:hAnsiTheme="minorEastAsia" w:eastAsiaTheme="minorEastAsia"/>
                <w:sz w:val="21"/>
                <w:vertAlign w:val="subscript"/>
              </w:rPr>
              <w:t>10</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359.0</w:t>
            </w:r>
          </w:p>
        </w:tc>
        <w:tc>
          <w:tcPr>
            <w:tcW w:w="709"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3.1%</w:t>
            </w:r>
          </w:p>
        </w:tc>
        <w:tc>
          <w:tcPr>
            <w:tcW w:w="5953" w:type="dxa"/>
            <w:vAlign w:val="center"/>
          </w:tcPr>
          <w:p>
            <w:pPr>
              <w:adjustRightInd w:val="0"/>
              <w:snapToGrid w:val="0"/>
              <w:spacing w:line="240" w:lineRule="auto"/>
              <w:ind w:firstLine="0" w:firstLineChars="0"/>
              <w:jc w:val="left"/>
              <w:rPr>
                <w:rFonts w:asciiTheme="minorEastAsia" w:hAnsiTheme="minorEastAsia" w:eastAsiaTheme="minorEastAsia"/>
                <w:kern w:val="0"/>
                <w:sz w:val="21"/>
              </w:rPr>
            </w:pPr>
            <w:r>
              <w:rPr>
                <w:rFonts w:asciiTheme="minorEastAsia" w:hAnsiTheme="minorEastAsia" w:eastAsiaTheme="minorEastAsia"/>
                <w:kern w:val="0"/>
                <w:sz w:val="21"/>
              </w:rPr>
              <w:t>区内海拔高程最低960m，最大2620m，高差1660m，切割深度200～500m。处于南北向断层分布区，沿线有灰岩和火山岩分布，山体多为穹丘状或断块山，坡度最大71°,平均20°。岩体结构破碎，风化强烈，但植被覆盖率较高。人类活动主要表现为公路建设、农村建房及陡坡垦植等，土壤侵蚀强度总体中等。</w:t>
            </w:r>
          </w:p>
        </w:tc>
        <w:tc>
          <w:tcPr>
            <w:tcW w:w="2410" w:type="dxa"/>
            <w:vAlign w:val="center"/>
          </w:tcPr>
          <w:p>
            <w:pPr>
              <w:adjustRightInd w:val="0"/>
              <w:snapToGrid w:val="0"/>
              <w:spacing w:line="240" w:lineRule="auto"/>
              <w:ind w:firstLine="0" w:firstLineChars="0"/>
              <w:jc w:val="left"/>
              <w:rPr>
                <w:rFonts w:asciiTheme="minorEastAsia" w:hAnsiTheme="minorEastAsia" w:eastAsiaTheme="minorEastAsia"/>
                <w:kern w:val="0"/>
                <w:sz w:val="21"/>
              </w:rPr>
            </w:pPr>
            <w:r>
              <w:rPr>
                <w:rFonts w:asciiTheme="minorEastAsia" w:hAnsiTheme="minorEastAsia" w:eastAsiaTheme="minorEastAsia"/>
                <w:kern w:val="0"/>
                <w:sz w:val="21"/>
              </w:rPr>
              <w:t>发育各类地质灾害点3</w:t>
            </w:r>
            <w:r>
              <w:rPr>
                <w:rFonts w:hint="eastAsia" w:asciiTheme="minorEastAsia" w:hAnsiTheme="minorEastAsia" w:eastAsiaTheme="minorEastAsia"/>
                <w:kern w:val="0"/>
                <w:sz w:val="21"/>
              </w:rPr>
              <w:t>8</w:t>
            </w:r>
            <w:r>
              <w:rPr>
                <w:rFonts w:asciiTheme="minorEastAsia" w:hAnsiTheme="minorEastAsia" w:eastAsiaTheme="minorEastAsia"/>
                <w:kern w:val="0"/>
                <w:sz w:val="21"/>
              </w:rPr>
              <w:t>处，其中滑坡2</w:t>
            </w:r>
            <w:r>
              <w:rPr>
                <w:rFonts w:hint="eastAsia" w:asciiTheme="minorEastAsia" w:hAnsiTheme="minorEastAsia" w:eastAsiaTheme="minorEastAsia"/>
                <w:kern w:val="0"/>
                <w:sz w:val="21"/>
              </w:rPr>
              <w:t>8</w:t>
            </w:r>
            <w:r>
              <w:rPr>
                <w:rFonts w:asciiTheme="minorEastAsia" w:hAnsiTheme="minorEastAsia" w:eastAsiaTheme="minorEastAsia"/>
                <w:kern w:val="0"/>
                <w:sz w:val="21"/>
              </w:rPr>
              <w:t>处、崩塌1处、泥石流</w:t>
            </w:r>
            <w:r>
              <w:rPr>
                <w:rFonts w:hint="eastAsia" w:asciiTheme="minorEastAsia" w:hAnsiTheme="minorEastAsia" w:eastAsiaTheme="minorEastAsia"/>
                <w:kern w:val="0"/>
                <w:sz w:val="21"/>
              </w:rPr>
              <w:t>9</w:t>
            </w:r>
            <w:r>
              <w:rPr>
                <w:rFonts w:asciiTheme="minorEastAsia" w:hAnsiTheme="minorEastAsia" w:eastAsiaTheme="minorEastAsia"/>
                <w:kern w:val="0"/>
                <w:sz w:val="21"/>
              </w:rPr>
              <w:t>处</w:t>
            </w:r>
            <w:r>
              <w:rPr>
                <w:rFonts w:hint="eastAsia" w:asciiTheme="minorEastAsia" w:hAnsiTheme="minorEastAsia" w:eastAsiaTheme="minorEastAsia"/>
                <w:kern w:val="0"/>
                <w:sz w:val="21"/>
              </w:rPr>
              <w:t>。</w:t>
            </w:r>
          </w:p>
        </w:tc>
        <w:tc>
          <w:tcPr>
            <w:tcW w:w="3150" w:type="dxa"/>
            <w:vAlign w:val="center"/>
          </w:tcPr>
          <w:p>
            <w:pPr>
              <w:adjustRightInd w:val="0"/>
              <w:snapToGrid w:val="0"/>
              <w:spacing w:line="240" w:lineRule="auto"/>
              <w:ind w:firstLine="0" w:firstLineChars="0"/>
              <w:jc w:val="left"/>
              <w:rPr>
                <w:rFonts w:asciiTheme="minorEastAsia" w:hAnsiTheme="minorEastAsia" w:eastAsiaTheme="minorEastAsia"/>
                <w:kern w:val="0"/>
                <w:sz w:val="21"/>
              </w:rPr>
            </w:pPr>
            <w:r>
              <w:rPr>
                <w:rFonts w:asciiTheme="minorEastAsia" w:hAnsiTheme="minorEastAsia" w:eastAsiaTheme="minorEastAsia"/>
                <w:kern w:val="0"/>
                <w:sz w:val="21"/>
              </w:rPr>
              <w:t>均为群测群防点，工程治理，避险搬迁，</w:t>
            </w:r>
            <w:r>
              <w:rPr>
                <w:rFonts w:hint="eastAsia" w:cs="宋体" w:asciiTheme="minorEastAsia" w:hAnsiTheme="minorEastAsia" w:eastAsiaTheme="minorEastAsia"/>
                <w:sz w:val="21"/>
              </w:rPr>
              <w:t>加强预警监测和地质环境保护。</w:t>
            </w:r>
          </w:p>
        </w:tc>
      </w:tr>
    </w:tbl>
    <w:p>
      <w:pPr>
        <w:ind w:firstLine="0" w:firstLineChars="0"/>
        <w:jc w:val="center"/>
        <w:rPr>
          <w:b/>
          <w:sz w:val="24"/>
          <w:szCs w:val="24"/>
        </w:rPr>
      </w:pPr>
    </w:p>
    <w:p>
      <w:pPr>
        <w:ind w:firstLine="0" w:firstLineChars="0"/>
        <w:jc w:val="center"/>
        <w:rPr>
          <w:b/>
          <w:sz w:val="24"/>
          <w:szCs w:val="24"/>
        </w:rPr>
      </w:pPr>
      <w:r>
        <w:rPr>
          <w:rFonts w:hint="eastAsia"/>
          <w:b/>
          <w:sz w:val="24"/>
          <w:szCs w:val="24"/>
        </w:rPr>
        <w:t>续表3-2  德宏州地质灾害重点防治区统计表</w:t>
      </w:r>
    </w:p>
    <w:tbl>
      <w:tblPr>
        <w:tblStyle w:val="36"/>
        <w:tblW w:w="14693"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70"/>
        <w:gridCol w:w="851"/>
        <w:gridCol w:w="850"/>
        <w:gridCol w:w="709"/>
        <w:gridCol w:w="6662"/>
        <w:gridCol w:w="3119"/>
        <w:gridCol w:w="173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621" w:type="dxa"/>
            <w:gridSpan w:val="2"/>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防治分区</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面积（km</w:t>
            </w:r>
            <w:r>
              <w:rPr>
                <w:rFonts w:hint="eastAsia" w:asciiTheme="minorEastAsia" w:hAnsiTheme="minorEastAsia" w:eastAsiaTheme="minorEastAsia"/>
                <w:sz w:val="21"/>
                <w:vertAlign w:val="superscript"/>
              </w:rPr>
              <w:t>2</w:t>
            </w:r>
            <w:r>
              <w:rPr>
                <w:rFonts w:hint="eastAsia" w:asciiTheme="minorEastAsia" w:hAnsiTheme="minorEastAsia" w:eastAsiaTheme="minorEastAsia"/>
                <w:sz w:val="21"/>
              </w:rPr>
              <w:t>）</w:t>
            </w:r>
          </w:p>
        </w:tc>
        <w:tc>
          <w:tcPr>
            <w:tcW w:w="709"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面积占比</w:t>
            </w:r>
          </w:p>
        </w:tc>
        <w:tc>
          <w:tcPr>
            <w:tcW w:w="66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地质环境特征</w:t>
            </w:r>
          </w:p>
        </w:tc>
        <w:tc>
          <w:tcPr>
            <w:tcW w:w="3119"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地质灾害特征</w:t>
            </w:r>
          </w:p>
        </w:tc>
        <w:tc>
          <w:tcPr>
            <w:tcW w:w="173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防治建议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770"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重点防治区（A）</w:t>
            </w: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畹町重点防治区A</w:t>
            </w:r>
            <w:r>
              <w:rPr>
                <w:rFonts w:hint="eastAsia" w:asciiTheme="minorEastAsia" w:hAnsiTheme="minorEastAsia" w:eastAsiaTheme="minorEastAsia"/>
                <w:sz w:val="21"/>
                <w:vertAlign w:val="subscript"/>
              </w:rPr>
              <w:t>11</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6.9</w:t>
            </w:r>
          </w:p>
        </w:tc>
        <w:tc>
          <w:tcPr>
            <w:tcW w:w="709"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0.1%</w:t>
            </w:r>
          </w:p>
        </w:tc>
        <w:tc>
          <w:tcPr>
            <w:tcW w:w="6662" w:type="dxa"/>
            <w:vAlign w:val="center"/>
          </w:tcPr>
          <w:p>
            <w:pPr>
              <w:adjustRightInd w:val="0"/>
              <w:snapToGrid w:val="0"/>
              <w:spacing w:line="240" w:lineRule="auto"/>
              <w:ind w:firstLine="0" w:firstLineChars="0"/>
              <w:jc w:val="left"/>
              <w:rPr>
                <w:rFonts w:asciiTheme="minorEastAsia" w:hAnsiTheme="minorEastAsia" w:eastAsiaTheme="minorEastAsia"/>
                <w:kern w:val="0"/>
                <w:sz w:val="21"/>
              </w:rPr>
            </w:pPr>
            <w:r>
              <w:rPr>
                <w:rFonts w:hint="eastAsia" w:hAnsi="宋体" w:cs="宋体"/>
                <w:kern w:val="0"/>
                <w:sz w:val="21"/>
              </w:rPr>
              <w:t>于畹町镇驻地区，标高800～1050m，地形坡度20～40°，局部大于50°，斜坡上部植被发育，中下部均为集镇人口密集分布区，属中山中切割陡坡地形，主要出露侏罗系（J</w:t>
            </w:r>
            <w:r>
              <w:rPr>
                <w:rStyle w:val="91"/>
                <w:rFonts w:hint="default"/>
                <w:color w:val="auto"/>
                <w:sz w:val="21"/>
                <w:szCs w:val="21"/>
              </w:rPr>
              <w:t>2</w:t>
            </w:r>
            <w:r>
              <w:rPr>
                <w:rStyle w:val="92"/>
                <w:rFonts w:hint="default"/>
                <w:color w:val="auto"/>
                <w:sz w:val="21"/>
                <w:szCs w:val="21"/>
              </w:rPr>
              <w:t>m）细砂岩、页岩、泥质灰岩及第三系（N）砂砾岩等，地表岩石破碎，风化强烈，风化土层厚2～5m，人类活动强烈。</w:t>
            </w:r>
          </w:p>
        </w:tc>
        <w:tc>
          <w:tcPr>
            <w:tcW w:w="3119" w:type="dxa"/>
            <w:vAlign w:val="center"/>
          </w:tcPr>
          <w:p>
            <w:pPr>
              <w:adjustRightInd w:val="0"/>
              <w:snapToGrid w:val="0"/>
              <w:spacing w:line="240" w:lineRule="auto"/>
              <w:ind w:firstLine="0" w:firstLineChars="0"/>
              <w:jc w:val="left"/>
              <w:rPr>
                <w:rFonts w:asciiTheme="minorEastAsia" w:hAnsiTheme="minorEastAsia" w:eastAsiaTheme="minorEastAsia"/>
                <w:kern w:val="0"/>
                <w:sz w:val="21"/>
              </w:rPr>
            </w:pPr>
            <w:r>
              <w:rPr>
                <w:rFonts w:hint="eastAsia" w:hAnsi="宋体" w:cs="宋体"/>
                <w:kern w:val="0"/>
                <w:sz w:val="21"/>
              </w:rPr>
              <w:t>该区发育地质灾害隐患9个，均为滑坡，其中大型2个，中型2个，小型5个，诱发因素主要为地形陡峭、切坡建房及地表水冲刷侵蚀下渗，从而导致坡体岩土体稳定性差，形成灾害隐患。</w:t>
            </w:r>
          </w:p>
        </w:tc>
        <w:tc>
          <w:tcPr>
            <w:tcW w:w="1732" w:type="dxa"/>
            <w:vAlign w:val="center"/>
          </w:tcPr>
          <w:p>
            <w:pPr>
              <w:adjustRightInd w:val="0"/>
              <w:snapToGrid w:val="0"/>
              <w:spacing w:line="240" w:lineRule="auto"/>
              <w:ind w:firstLine="0" w:firstLineChars="0"/>
              <w:jc w:val="left"/>
              <w:rPr>
                <w:rFonts w:asciiTheme="minorEastAsia" w:hAnsiTheme="minorEastAsia" w:eastAsiaTheme="minorEastAsia"/>
                <w:kern w:val="0"/>
                <w:sz w:val="21"/>
              </w:rPr>
            </w:pPr>
            <w:r>
              <w:rPr>
                <w:rFonts w:hint="eastAsia" w:hAnsi="宋体" w:cs="宋体"/>
                <w:kern w:val="0"/>
                <w:sz w:val="21"/>
              </w:rPr>
              <w:t>工程治理</w:t>
            </w:r>
            <w:r>
              <w:rPr>
                <w:rFonts w:hint="eastAsia" w:cs="宋体" w:asciiTheme="minorEastAsia" w:hAnsiTheme="minorEastAsia" w:eastAsiaTheme="minorEastAsia"/>
                <w:kern w:val="0"/>
                <w:sz w:val="21"/>
              </w:rPr>
              <w:t>，</w:t>
            </w:r>
            <w:r>
              <w:rPr>
                <w:rFonts w:hint="eastAsia" w:hAnsi="宋体" w:cs="宋体"/>
                <w:kern w:val="0"/>
                <w:sz w:val="21"/>
              </w:rPr>
              <w:t>群测群防</w:t>
            </w:r>
            <w:r>
              <w:rPr>
                <w:rFonts w:hint="eastAsia" w:cs="宋体" w:asciiTheme="minorEastAsia" w:hAnsiTheme="minorEastAsia" w:eastAsiaTheme="minorEastAsia"/>
                <w:kern w:val="0"/>
                <w:sz w:val="21"/>
              </w:rPr>
              <w:t>，</w:t>
            </w:r>
            <w:r>
              <w:rPr>
                <w:rFonts w:hint="eastAsia" w:hAnsi="宋体" w:cs="宋体"/>
                <w:kern w:val="0"/>
                <w:sz w:val="21"/>
              </w:rPr>
              <w:t>监测预警</w:t>
            </w:r>
            <w:r>
              <w:rPr>
                <w:rFonts w:hint="eastAsia" w:cs="宋体" w:asciiTheme="minorEastAsia" w:hAnsiTheme="minorEastAsia" w:eastAsiaTheme="minorEastAsia"/>
                <w:kern w:val="0"/>
                <w:sz w:val="21"/>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770"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851"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户育重点防治区A</w:t>
            </w:r>
            <w:r>
              <w:rPr>
                <w:rFonts w:hint="eastAsia" w:asciiTheme="minorEastAsia" w:hAnsiTheme="minorEastAsia" w:eastAsiaTheme="minorEastAsia"/>
                <w:sz w:val="21"/>
                <w:vertAlign w:val="subscript"/>
              </w:rPr>
              <w:t>12</w:t>
            </w:r>
          </w:p>
        </w:tc>
        <w:tc>
          <w:tcPr>
            <w:tcW w:w="85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75.9</w:t>
            </w:r>
          </w:p>
        </w:tc>
        <w:tc>
          <w:tcPr>
            <w:tcW w:w="709" w:type="dxa"/>
            <w:vAlign w:val="center"/>
          </w:tcPr>
          <w:p>
            <w:pPr>
              <w:spacing w:line="240" w:lineRule="auto"/>
              <w:ind w:firstLine="0" w:firstLineChars="0"/>
              <w:jc w:val="center"/>
              <w:rPr>
                <w:rFonts w:cs="宋体" w:asciiTheme="minorEastAsia" w:hAnsiTheme="minorEastAsia" w:eastAsiaTheme="minorEastAsia"/>
                <w:sz w:val="21"/>
              </w:rPr>
            </w:pPr>
            <w:r>
              <w:rPr>
                <w:rFonts w:hint="eastAsia" w:cs="宋体" w:asciiTheme="minorEastAsia" w:hAnsiTheme="minorEastAsia" w:eastAsiaTheme="minorEastAsia"/>
                <w:sz w:val="21"/>
              </w:rPr>
              <w:t>0.7%</w:t>
            </w:r>
          </w:p>
        </w:tc>
        <w:tc>
          <w:tcPr>
            <w:tcW w:w="6662" w:type="dxa"/>
            <w:vAlign w:val="center"/>
          </w:tcPr>
          <w:p>
            <w:pPr>
              <w:adjustRightInd w:val="0"/>
              <w:snapToGrid w:val="0"/>
              <w:spacing w:line="240" w:lineRule="auto"/>
              <w:ind w:firstLine="0" w:firstLineChars="0"/>
              <w:jc w:val="left"/>
              <w:rPr>
                <w:rFonts w:cs="宋体" w:asciiTheme="minorEastAsia" w:hAnsiTheme="minorEastAsia" w:eastAsiaTheme="minorEastAsia"/>
                <w:kern w:val="0"/>
                <w:sz w:val="21"/>
              </w:rPr>
            </w:pPr>
            <w:r>
              <w:rPr>
                <w:rFonts w:hint="eastAsia" w:hAnsi="宋体" w:cs="宋体"/>
                <w:kern w:val="0"/>
                <w:sz w:val="21"/>
              </w:rPr>
              <w:t>瑞丽盆地北西侧边缘陡缓交界地形区，高程760～900m，地形坡度10～35°，地貌类型有山间河谷冲洪积平原地形及湖积台地低丘缓坡地形，主要出露第四系（Q）冲洪积松散堆积层、第三系（N）半成粘土岩、砂砾岩等，岩土体结构松散，力学强度低，部分第三系地层还具有膨胀性；该区为瑞丽城以外人口密集分布区，人类活动强烈。</w:t>
            </w:r>
          </w:p>
        </w:tc>
        <w:tc>
          <w:tcPr>
            <w:tcW w:w="3119" w:type="dxa"/>
            <w:vAlign w:val="center"/>
          </w:tcPr>
          <w:p>
            <w:pPr>
              <w:adjustRightInd w:val="0"/>
              <w:snapToGrid w:val="0"/>
              <w:spacing w:line="240" w:lineRule="auto"/>
              <w:ind w:firstLine="0" w:firstLineChars="0"/>
              <w:jc w:val="left"/>
              <w:rPr>
                <w:rFonts w:cs="宋体" w:asciiTheme="minorEastAsia" w:hAnsiTheme="minorEastAsia" w:eastAsiaTheme="minorEastAsia"/>
                <w:kern w:val="0"/>
                <w:sz w:val="21"/>
              </w:rPr>
            </w:pPr>
            <w:r>
              <w:rPr>
                <w:rFonts w:hint="eastAsia" w:hAnsi="宋体" w:cs="宋体"/>
                <w:kern w:val="0"/>
                <w:sz w:val="21"/>
              </w:rPr>
              <w:t>该区地质灾害隐患发育密集，共有地质灾害23处灾害隐患点，其中滑坡15个（中型1个，小型14个），泥石流8条（大型4条，中型4条），诱发因素主要为人类工程活动、地层岩性及降雨，另外该区为整个瑞丽盆地北侧山脊发育河流、冲沟沟口区，大量村寨和基础设施处于沟口部位，在强降雨及持续降雨条件下易引发山前沟谷岸坡滑塌灾害，也容易产生泥石流、洪水灾害</w:t>
            </w:r>
          </w:p>
        </w:tc>
        <w:tc>
          <w:tcPr>
            <w:tcW w:w="1732" w:type="dxa"/>
            <w:vAlign w:val="center"/>
          </w:tcPr>
          <w:p>
            <w:pPr>
              <w:adjustRightInd w:val="0"/>
              <w:snapToGrid w:val="0"/>
              <w:spacing w:line="240" w:lineRule="auto"/>
              <w:ind w:firstLine="0" w:firstLineChars="0"/>
              <w:jc w:val="left"/>
              <w:rPr>
                <w:rFonts w:cs="宋体" w:asciiTheme="minorEastAsia" w:hAnsiTheme="minorEastAsia" w:eastAsiaTheme="minorEastAsia"/>
                <w:kern w:val="0"/>
                <w:sz w:val="21"/>
              </w:rPr>
            </w:pPr>
            <w:r>
              <w:rPr>
                <w:rFonts w:asciiTheme="minorEastAsia" w:hAnsiTheme="minorEastAsia" w:eastAsiaTheme="minorEastAsia"/>
                <w:kern w:val="0"/>
                <w:sz w:val="21"/>
              </w:rPr>
              <w:t>工程治理，避险搬迁，</w:t>
            </w:r>
            <w:r>
              <w:rPr>
                <w:rFonts w:hint="eastAsia" w:cs="宋体" w:asciiTheme="minorEastAsia" w:hAnsiTheme="minorEastAsia" w:eastAsiaTheme="minorEastAsia"/>
                <w:sz w:val="21"/>
              </w:rPr>
              <w:t>加强预警监测和地质环境保护。</w:t>
            </w:r>
          </w:p>
        </w:tc>
      </w:tr>
    </w:tbl>
    <w:p>
      <w:pPr>
        <w:ind w:firstLine="0" w:firstLineChars="0"/>
        <w:jc w:val="center"/>
        <w:rPr>
          <w:b/>
          <w:sz w:val="24"/>
          <w:szCs w:val="24"/>
        </w:rPr>
      </w:pPr>
    </w:p>
    <w:p>
      <w:pPr>
        <w:ind w:firstLine="560"/>
        <w:sectPr>
          <w:pgSz w:w="16840" w:h="11907" w:orient="landscape"/>
          <w:pgMar w:top="1418" w:right="1134" w:bottom="1134" w:left="1134" w:header="851" w:footer="992" w:gutter="0"/>
          <w:cols w:space="425" w:num="1"/>
          <w:docGrid w:linePitch="312" w:charSpace="0"/>
        </w:sectPr>
      </w:pPr>
    </w:p>
    <w:p>
      <w:pPr>
        <w:pStyle w:val="3"/>
        <w:spacing w:line="360" w:lineRule="auto"/>
      </w:pPr>
      <w:bookmarkStart w:id="42" w:name="_Toc88832963"/>
      <w:bookmarkStart w:id="43" w:name="_Toc88662530"/>
      <w:r>
        <w:rPr>
          <w:rFonts w:hint="eastAsia"/>
        </w:rPr>
        <w:t>四、地质灾害防治规划</w:t>
      </w:r>
      <w:bookmarkEnd w:id="42"/>
      <w:bookmarkEnd w:id="43"/>
    </w:p>
    <w:p>
      <w:pPr>
        <w:ind w:firstLine="560"/>
      </w:pPr>
      <w:r>
        <w:rPr>
          <w:rFonts w:hint="eastAsia"/>
        </w:rPr>
        <w:t>根据相关文件要求，结合德宏州地质灾害现状及“十三五”地质灾害防治管理工作经验、问题总结和形式需要，本次规划将“风险调查、监测预警、风险防控和防灾能力建设”作为重点，以期达到全面构建德宏州地质灾害综合防治体系，切实提升地质灾害综合防治能力的目标。</w:t>
      </w:r>
    </w:p>
    <w:p>
      <w:pPr>
        <w:pStyle w:val="4"/>
        <w:spacing w:before="240" w:after="120"/>
      </w:pPr>
      <w:bookmarkStart w:id="44" w:name="_Toc88832964"/>
      <w:bookmarkStart w:id="45" w:name="_Toc88662531"/>
      <w:r>
        <w:rPr>
          <w:rFonts w:hint="eastAsia"/>
        </w:rPr>
        <w:t>（一）调查评价</w:t>
      </w:r>
      <w:bookmarkEnd w:id="44"/>
      <w:bookmarkEnd w:id="45"/>
    </w:p>
    <w:p>
      <w:pPr>
        <w:pStyle w:val="5"/>
      </w:pPr>
      <w:bookmarkStart w:id="46" w:name="_Toc88832965"/>
      <w:bookmarkStart w:id="47" w:name="_Toc88662532"/>
      <w:r>
        <w:rPr>
          <w:rFonts w:hint="eastAsia"/>
        </w:rPr>
        <w:t>1、巡查排查</w:t>
      </w:r>
      <w:bookmarkEnd w:id="46"/>
      <w:bookmarkEnd w:id="47"/>
    </w:p>
    <w:p>
      <w:pPr>
        <w:ind w:firstLine="560"/>
        <w:rPr>
          <w:rFonts w:hAnsi="宋体"/>
          <w:szCs w:val="28"/>
        </w:rPr>
      </w:pPr>
      <w:r>
        <w:rPr>
          <w:rFonts w:hint="eastAsia" w:hAnsi="宋体"/>
          <w:szCs w:val="28"/>
        </w:rPr>
        <w:t>（1）威胁对象主要是城乡居民或责任主体不明确的地质灾害隐患巡查排查工作，由各县（市）自然资源局组织完成。各县（市）自然资源局应主动联合专业技术支撑单位，做到“汛前排查、汛中巡查、汛后核查”，并对汛中突发地质灾害隐患进行应急调查处置，及时发现、排除、减少隐患点造成的威胁。</w:t>
      </w:r>
    </w:p>
    <w:p>
      <w:pPr>
        <w:ind w:firstLine="560"/>
        <w:rPr>
          <w:rFonts w:hAnsi="宋体"/>
          <w:szCs w:val="28"/>
        </w:rPr>
      </w:pPr>
      <w:r>
        <w:rPr>
          <w:rFonts w:hint="eastAsia" w:hAnsi="宋体"/>
          <w:szCs w:val="28"/>
        </w:rPr>
        <w:t>每年4～5月，开展地质灾害汛前排查，排查隐患点现状，预测发展趋势，检查落实“两卡”发放工作情况，开展宣传教育等。</w:t>
      </w:r>
    </w:p>
    <w:p>
      <w:pPr>
        <w:ind w:firstLine="560"/>
        <w:rPr>
          <w:rFonts w:hAnsi="宋体"/>
          <w:szCs w:val="28"/>
        </w:rPr>
      </w:pPr>
      <w:r>
        <w:rPr>
          <w:rFonts w:hint="eastAsia" w:hAnsi="宋体"/>
          <w:szCs w:val="28"/>
        </w:rPr>
        <w:t>每年6～10月，开展地质灾害汛中巡查，对地质灾害危险区标示牌、逃离路线指示图标和示意图、预警信号、避险地、避险设施等的安放位置和汛期监测工作内容、值班制度的合理性及可行性进行检查指导，同时结合隐患点实际情况开展地质灾害防治知识的宣传、培训。</w:t>
      </w:r>
    </w:p>
    <w:p>
      <w:pPr>
        <w:ind w:firstLine="560"/>
        <w:rPr>
          <w:rFonts w:hAnsi="宋体"/>
          <w:szCs w:val="28"/>
        </w:rPr>
      </w:pPr>
      <w:r>
        <w:rPr>
          <w:rFonts w:hint="eastAsia" w:hAnsi="宋体"/>
          <w:szCs w:val="28"/>
        </w:rPr>
        <w:t>每年11月，开展汛期结束后的核查，核查地质灾害现状及趋势，稳定性程度，为下一年度开展相关工作提出建议。</w:t>
      </w:r>
    </w:p>
    <w:p>
      <w:pPr>
        <w:ind w:firstLine="560"/>
        <w:rPr>
          <w:szCs w:val="28"/>
        </w:rPr>
      </w:pPr>
      <w:r>
        <w:rPr>
          <w:rFonts w:hint="eastAsia" w:hAnsi="宋体"/>
          <w:szCs w:val="28"/>
        </w:rPr>
        <w:t>（2）责任主体明确的地质灾害隐患“三查”工作，由相关对口主管部门督促指导责任主体完成。根据灾害隐患轻重缓急情况，定期或临时委托有资质的单位对水利水电设施、公路、学校、矿山、旅游景区的地质灾害隐患开展专业排查，并提出相应的防治措施和计划，及时将排查成果资料汇交各县（市）自然资源局备案。</w:t>
      </w:r>
      <w:r>
        <w:rPr>
          <w:szCs w:val="28"/>
        </w:rPr>
        <w:t>责任主体明确的地质灾害隐患</w:t>
      </w:r>
      <w:r>
        <w:rPr>
          <w:rFonts w:hint="eastAsia"/>
          <w:szCs w:val="28"/>
        </w:rPr>
        <w:t>“三查”费用由责任主体企业承担。</w:t>
      </w:r>
    </w:p>
    <w:p>
      <w:pPr>
        <w:ind w:firstLine="560"/>
      </w:pPr>
      <w:r>
        <w:rPr>
          <w:rFonts w:hint="eastAsia"/>
        </w:rPr>
        <w:t>（3）</w:t>
      </w:r>
      <w:bookmarkStart w:id="48" w:name="_Hlk80867107"/>
      <w:r>
        <w:rPr>
          <w:rFonts w:hint="eastAsia"/>
        </w:rPr>
        <w:t>遥感识别疑似隐患点核验</w:t>
      </w:r>
      <w:bookmarkEnd w:id="48"/>
    </w:p>
    <w:p>
      <w:pPr>
        <w:ind w:firstLine="560"/>
        <w:rPr>
          <w:rFonts w:hAnsi="宋体"/>
          <w:szCs w:val="28"/>
        </w:rPr>
      </w:pPr>
      <w:r>
        <w:rPr>
          <w:rFonts w:hint="eastAsia"/>
        </w:rPr>
        <w:t>以综合遥感、无人机航摄、传统手段相结合，加强地质灾害风险源和隐患早期识别。技术支撑队伍紧密配合自然资源部遥感中心和省地质灾害隐患识别中心，对下发的疑似地质灾害隐患点（区）遥感识别信息，做好现场核验工作，并将核验结果整理、报送至云南省地质调查局，建立地质灾害综合遥感识别</w:t>
      </w:r>
      <w:bookmarkStart w:id="49" w:name="_Hlk77671048"/>
      <w:r>
        <w:rPr>
          <w:rFonts w:hint="eastAsia"/>
        </w:rPr>
        <w:t>长效工作机制</w:t>
      </w:r>
      <w:bookmarkEnd w:id="49"/>
      <w:r>
        <w:rPr>
          <w:rFonts w:hint="eastAsia"/>
        </w:rPr>
        <w:t>。本次仅提出初步工作方案，相关工作由省技术指导中心负责，费用编制纳入省级方案中。</w:t>
      </w:r>
    </w:p>
    <w:p>
      <w:pPr>
        <w:pStyle w:val="5"/>
      </w:pPr>
      <w:bookmarkStart w:id="50" w:name="_Toc88662533"/>
      <w:bookmarkStart w:id="51" w:name="_Toc88832966"/>
      <w:r>
        <w:rPr>
          <w:rFonts w:hint="eastAsia"/>
        </w:rPr>
        <w:t>2、精细化调查和风险评价</w:t>
      </w:r>
      <w:bookmarkEnd w:id="50"/>
      <w:bookmarkEnd w:id="51"/>
    </w:p>
    <w:p>
      <w:pPr>
        <w:ind w:firstLine="560"/>
      </w:pPr>
      <w:r>
        <w:rPr>
          <w:rFonts w:hint="eastAsia"/>
        </w:rPr>
        <w:t>《2021年度云南省重点区域地质灾害精细化调查与风险评价项目》已由云南省自然资源厅发包实施，项目正在有序推进。精细化调查及风险评价工作主要包括遥感调查和地面调查两部分，德宏州有盈江、梁河两个县在项目实施范围内，其中：梁河县开展遥感和地面调查两部分工作，盈江开展地面调查工作，分属项目的第6和第28标段。风险评价工作盈江县已作为省级试点率先完成，其它各县（市）正在实施。根据项目要求，2021年底，完成各县1:5万风险评价工作；2022年底，完成试点1：1万精细化调查工作。</w:t>
      </w:r>
    </w:p>
    <w:p>
      <w:pPr>
        <w:ind w:firstLine="560"/>
        <w:rPr>
          <w:szCs w:val="28"/>
        </w:rPr>
      </w:pPr>
      <w:r>
        <w:rPr>
          <w:rFonts w:hint="eastAsia"/>
        </w:rPr>
        <w:t xml:space="preserve"> “十四五”期间，德宏州还需</w:t>
      </w:r>
      <w:r>
        <w:rPr>
          <w:rFonts w:hint="eastAsia"/>
          <w:szCs w:val="28"/>
        </w:rPr>
        <w:t>对芒市、陇川、瑞丽三县市地质环境条件复杂、地质灾害隐患大的高、中易发区，重大工程建设或资源集中开发隐患大的区域，安排部署</w:t>
      </w:r>
      <w:r>
        <w:rPr>
          <w:rFonts w:hint="eastAsia"/>
        </w:rPr>
        <w:t>重点区域地质灾害精细化调查与风险评价</w:t>
      </w:r>
      <w:r>
        <w:rPr>
          <w:rFonts w:hint="eastAsia"/>
          <w:szCs w:val="28"/>
        </w:rPr>
        <w:t>，提出地质灾害风险管控措施建议，为地质灾害防治、国土空间规划和用途管制提供基础依据,精细化调查工作主要按省厅安排有序完成。</w:t>
      </w:r>
    </w:p>
    <w:p>
      <w:pPr>
        <w:pStyle w:val="4"/>
        <w:spacing w:before="240" w:after="120"/>
      </w:pPr>
      <w:bookmarkStart w:id="52" w:name="_Toc88832967"/>
      <w:bookmarkStart w:id="53" w:name="_Toc88662534"/>
      <w:r>
        <w:rPr>
          <w:rFonts w:hint="eastAsia"/>
        </w:rPr>
        <w:t>（二）监测预警</w:t>
      </w:r>
      <w:bookmarkEnd w:id="52"/>
      <w:bookmarkEnd w:id="53"/>
    </w:p>
    <w:p>
      <w:pPr>
        <w:pStyle w:val="5"/>
      </w:pPr>
      <w:bookmarkStart w:id="54" w:name="_Toc88662535"/>
      <w:bookmarkStart w:id="55" w:name="_Toc88832968"/>
      <w:r>
        <w:rPr>
          <w:rFonts w:hint="eastAsia"/>
        </w:rPr>
        <w:t>1、群测群防</w:t>
      </w:r>
      <w:bookmarkEnd w:id="54"/>
      <w:bookmarkEnd w:id="55"/>
    </w:p>
    <w:p>
      <w:pPr>
        <w:ind w:firstLine="560"/>
      </w:pPr>
      <w:r>
        <w:rPr>
          <w:rFonts w:hint="eastAsia" w:hAnsi="宋体"/>
          <w:bCs/>
          <w:szCs w:val="28"/>
        </w:rPr>
        <w:t>进一步完善群测群防监测预警网络建设，将新增隐患点及时纳入群测群防体系，借助专家指导、科普培训等方法，提高群众防灾减灾意识和能力，形成制度全面、网络面广、责任落实、人员到位、任务到点、信息畅通、反应迅速、效果显著的覆盖全县的群专结合综合性群测群防网络。</w:t>
      </w:r>
    </w:p>
    <w:p>
      <w:pPr>
        <w:ind w:firstLine="560"/>
      </w:pPr>
      <w:r>
        <w:rPr>
          <w:rFonts w:hint="eastAsia"/>
        </w:rPr>
        <w:t>德宏州目前在册的地质灾害隐患点均安排有监测员，“十四五”期间，地质灾害隐患会有新增，同时也会有核销，现按在册数量进行统计估算，全州地质灾害监测员约1639人，预计投入监测员补助及简易监测设备更换等经费1773万元。</w:t>
      </w:r>
    </w:p>
    <w:p>
      <w:pPr>
        <w:pStyle w:val="5"/>
      </w:pPr>
      <w:bookmarkStart w:id="56" w:name="_Toc88662536"/>
      <w:bookmarkStart w:id="57" w:name="_Toc88832969"/>
      <w:r>
        <w:rPr>
          <w:rFonts w:hint="eastAsia"/>
        </w:rPr>
        <w:t>2、普适型、专业监测</w:t>
      </w:r>
      <w:bookmarkEnd w:id="56"/>
      <w:bookmarkEnd w:id="57"/>
    </w:p>
    <w:p>
      <w:pPr>
        <w:ind w:firstLine="560"/>
        <w:rPr>
          <w:rFonts w:hAnsi="宋体"/>
          <w:bCs/>
          <w:szCs w:val="28"/>
        </w:rPr>
      </w:pPr>
      <w:r>
        <w:rPr>
          <w:rFonts w:hint="eastAsia" w:hAnsi="宋体"/>
          <w:bCs/>
          <w:szCs w:val="28"/>
        </w:rPr>
        <w:t>对不具备工程治理和近期避险搬迁条件的隐患点，地质灾害高易发区中未规划和未实施搬迁、治理且不稳定的隐患区（段、点），易地扶贫搬迁安置区实施治理工程后，隐患仍不能消除或没有得到有效管控的区（段、点），实施治理工程后仍存在较大风险的地质灾害治理工程隐患（段、点），综合运用GNSS、雨量计、泥位计、裂缝计等智能设备，开展普适型或专业监测预警工程建设，建成新型高效“技防＋人防”的地质灾害监测预警体系，助力实现省－州－县三级地质灾害气象风险预报预警全覆盖，完善新型高效的“群专结合、专群并重”监测预警和网络体系。</w:t>
      </w:r>
    </w:p>
    <w:p>
      <w:pPr>
        <w:ind w:firstLine="560"/>
      </w:pPr>
      <w:r>
        <w:rPr>
          <w:rFonts w:hint="eastAsia"/>
        </w:rPr>
        <w:t>全州“十四五”规划期预计完成普适型监测预警设备安装614个点，（详见附表6），预计投入经费共5302万元。其中：2021年已完成普适型监测预警设备安装建设195个点；2022年已下达建设任务量90个点。</w:t>
      </w:r>
    </w:p>
    <w:p>
      <w:pPr>
        <w:ind w:firstLine="560"/>
      </w:pPr>
      <w:r>
        <w:rPr>
          <w:rFonts w:hint="eastAsia"/>
        </w:rPr>
        <w:t>普适型监测工程承建方三年服务期满后，仍需进行维护。维护工作暂以建设后的第四年计，维护数量逐年累加。德宏州目前已在维护期的有18个专业监测工程；2020年完成的普适型监测工程维护期始于2023年；2021年完成的普适型监测工程维护期始于2024年，2022年安装完成的维护期始于2025年，往后根据实际完成的工作量逐年累加。</w:t>
      </w:r>
    </w:p>
    <w:p>
      <w:pPr>
        <w:pStyle w:val="5"/>
      </w:pPr>
      <w:bookmarkStart w:id="58" w:name="_Toc88832970"/>
      <w:bookmarkStart w:id="59" w:name="_Toc88662537"/>
      <w:r>
        <w:rPr>
          <w:rFonts w:hint="eastAsia"/>
        </w:rPr>
        <w:t>3、气象风险预警</w:t>
      </w:r>
      <w:bookmarkEnd w:id="58"/>
      <w:bookmarkEnd w:id="59"/>
    </w:p>
    <w:p>
      <w:pPr>
        <w:ind w:firstLine="560"/>
        <w:rPr>
          <w:rFonts w:hAnsi="宋体"/>
          <w:bCs/>
          <w:szCs w:val="28"/>
        </w:rPr>
      </w:pPr>
      <w:r>
        <w:rPr>
          <w:rFonts w:hint="eastAsia"/>
        </w:rPr>
        <w:t>降雨是德宏州地质灾害发生的主要原因之一，且多为直接诱发因素。</w:t>
      </w:r>
      <w:r>
        <w:rPr>
          <w:rFonts w:hint="eastAsia" w:hAnsi="宋体"/>
          <w:bCs/>
          <w:szCs w:val="28"/>
        </w:rPr>
        <w:t>建成县－乡（镇）－村的互联互通的地质灾害气象风险预警预报体系，将地质灾害监测与气象风险预警联系起来，紧密合作州、县（市）气象部门，做好恶劣天气的监测和预警信号的发布工作，做到气象风险预警预报覆盖全域。在发出气象风险预警信号后，通过互联网、广播、电视、报纸、手机等载体，多渠道、多形式地将预警预报信息快速传递至有关责任单位、责任人、监测员、受地质灾害威胁的群众以及驻地技术单位，确保预测预报信息发布准确、及时和全面。气象部门需做好灾害性天气预测和预警信息的发布，地质灾害防治工作一线的责任人或监测员要及时反馈预警效果，调查地质灾害隐患点的发展变化，根据效果反馈调整和优化气象风险预警系统，对变化强烈的区域进行加密监测和持续预警，助力建成集省、市、县三级基础数据、动态调查、远程会商及空间信息有机结合的信息技术支撑体系。</w:t>
      </w:r>
    </w:p>
    <w:p>
      <w:pPr>
        <w:ind w:firstLine="560"/>
        <w:rPr>
          <w:rFonts w:hAnsi="宋体"/>
          <w:bCs/>
          <w:szCs w:val="28"/>
        </w:rPr>
      </w:pPr>
      <w:r>
        <w:rPr>
          <w:rFonts w:hint="eastAsia" w:hAnsi="宋体"/>
          <w:bCs/>
          <w:szCs w:val="28"/>
        </w:rPr>
        <w:t>每年汛期，特别是6～9月，由各县（市）政府统一协调，组建由自然资源、水利、地震、气象、广播电视和通信等部门及相关领导参与的联席会议，对地质灾害监测信息、群众反映的地质灾害迹象和气象、水文、地震预报信息进行综合分析，科学研究会商，及时预测可能发生地质灾害的区域和灾种。</w:t>
      </w:r>
    </w:p>
    <w:p>
      <w:pPr>
        <w:pStyle w:val="5"/>
        <w:spacing w:beforeLines="30" w:afterLines="30"/>
      </w:pPr>
      <w:bookmarkStart w:id="60" w:name="_Toc88832971"/>
      <w:bookmarkStart w:id="61" w:name="_Toc88662538"/>
      <w:r>
        <w:rPr>
          <w:rFonts w:hint="eastAsia"/>
        </w:rPr>
        <w:t>4、</w:t>
      </w:r>
      <w:r>
        <w:t>隐患点和风险区“双控”</w:t>
      </w:r>
      <w:bookmarkEnd w:id="60"/>
      <w:bookmarkEnd w:id="61"/>
    </w:p>
    <w:p>
      <w:pPr>
        <w:ind w:firstLine="560"/>
        <w:rPr>
          <w:rFonts w:hAnsi="宋体"/>
          <w:bCs/>
          <w:szCs w:val="28"/>
        </w:rPr>
      </w:pPr>
      <w:r>
        <w:t>近年来，随着工程治理及调查发现，多数地段工程仅对隐患点位置进行治理，效果不甚理想，在强降雨或其他条件下，周边风险区地段有可能产生新的隐患，因此</w:t>
      </w:r>
      <w:r>
        <w:rPr>
          <w:rFonts w:hint="eastAsia"/>
        </w:rPr>
        <w:t>应坚持关口前移、源头预防思想，开展地质灾害隐患点和风险区双控研究，</w:t>
      </w:r>
      <w:r>
        <w:t>强化监测预警，推进地质灾害风险防控工作科学化、信息化、标准化，提升全社会地质灾害整体预控能力，</w:t>
      </w:r>
      <w:r>
        <w:rPr>
          <w:rFonts w:hint="eastAsia"/>
        </w:rPr>
        <w:t>把风险控制在地质灾害形成之前，有效避免重大地质灾害事件发生；</w:t>
      </w:r>
      <w:r>
        <w:rPr>
          <w:rFonts w:hint="eastAsia" w:hAnsi="宋体"/>
          <w:bCs/>
          <w:szCs w:val="28"/>
        </w:rPr>
        <w:t>对地质灾害隐患点和目前没有变形迹象但具有成灾风险的地区实施风险管控。探索地质灾害隐患点与风险区“双控”的管理制度和技术要求，建立地质灾害“双控”工作体系与协调联动的管理运行机制已十分必要。</w:t>
      </w:r>
    </w:p>
    <w:p>
      <w:pPr>
        <w:ind w:firstLine="560"/>
      </w:pPr>
      <w:r>
        <w:rPr>
          <w:rFonts w:hint="eastAsia" w:hAnsi="宋体"/>
          <w:bCs/>
          <w:szCs w:val="28"/>
        </w:rPr>
        <w:t>德宏州在“十四五”期间预计将隐患点和风险区“双控”全覆盖于各县（市）</w:t>
      </w:r>
      <w:r>
        <w:rPr>
          <w:rFonts w:hint="eastAsia"/>
        </w:rPr>
        <w:t>极高、高风险区域。针对地质灾害极高、高风险区域，主要工作安排建议如下：</w:t>
      </w:r>
    </w:p>
    <w:p>
      <w:pPr>
        <w:ind w:firstLine="560"/>
        <w:rPr>
          <w:rFonts w:hAnsi="宋体"/>
          <w:bCs/>
          <w:szCs w:val="28"/>
        </w:rPr>
      </w:pPr>
      <w:r>
        <w:rPr>
          <w:rFonts w:hint="eastAsia"/>
        </w:rPr>
        <w:t>①在隐患点防控基础上，在日常管理、应急管理、源头管理、数字化管理四大方面，将现行地质灾害管理制度、责任体系和技术方法严格化和高标准化，管控可能形成地质灾害的风险区，规避可能引发地质灾害的工程和行为，防范可能发生的地质灾害；②编制地质灾害风险码，以村（社区）为单位配备风险网格员（群测群防员），按照“一村一码、一码管灾”原则将风险防范区、风险网格员、监测预警等信息等纳入“风险码”统一数字化管理；③以村为单位，每年定期组织开展地质灾害防治宣传和防灾减灾应急演练，教育群众注意地质环境保护，避免可能引起地质灾害的行为，识别地质灾害早期变形迹象；④扩大管理体系，重点负责风险管理和巡查工作，在极高、高风险区实行常态化巡查机制，汛期以村为单位，对全市的较大风险村进行检查和巡查，切实把控和监督地质灾害风险的规避、管理过程；⑤将其作为试点、示范项目，根据实施结果反馈进行优化，探索隐患点与风险区“双控”的管理制度和技术要求，建立地质灾害“双控”工作体系与协调联动的运行机制。</w:t>
      </w:r>
    </w:p>
    <w:p>
      <w:pPr>
        <w:pStyle w:val="4"/>
        <w:spacing w:before="240" w:after="120"/>
      </w:pPr>
      <w:bookmarkStart w:id="62" w:name="_Toc88662539"/>
      <w:bookmarkStart w:id="63" w:name="_Toc88832972"/>
      <w:r>
        <w:rPr>
          <w:rFonts w:hint="eastAsia"/>
        </w:rPr>
        <w:t>（三）工程治理</w:t>
      </w:r>
      <w:bookmarkEnd w:id="62"/>
      <w:bookmarkEnd w:id="63"/>
    </w:p>
    <w:p>
      <w:pPr>
        <w:pStyle w:val="5"/>
      </w:pPr>
      <w:bookmarkStart w:id="64" w:name="_Toc88662540"/>
      <w:bookmarkStart w:id="65" w:name="_Toc88832973"/>
      <w:r>
        <w:rPr>
          <w:rFonts w:hint="eastAsia"/>
        </w:rPr>
        <w:t>1、工程治理项目</w:t>
      </w:r>
      <w:bookmarkEnd w:id="64"/>
      <w:bookmarkEnd w:id="65"/>
    </w:p>
    <w:p>
      <w:pPr>
        <w:ind w:firstLine="560"/>
      </w:pPr>
      <w:r>
        <w:rPr>
          <w:rFonts w:hint="eastAsia" w:hAnsi="宋体"/>
        </w:rPr>
        <w:t>按照全面规划与重点防治相结合，以及分批次有序实施的原则，</w:t>
      </w:r>
      <w:r>
        <w:rPr>
          <w:rFonts w:hint="eastAsia"/>
        </w:rPr>
        <w:t>本次规划工程治理项目主要包括因局部地质环境条件改变导致地质灾害稳定性降低、威胁情况加重且紧急而又无法实施搬迁，也无法自然稳定的地质灾害隐患。</w:t>
      </w:r>
    </w:p>
    <w:p>
      <w:pPr>
        <w:ind w:firstLine="560"/>
      </w:pPr>
      <w:r>
        <w:rPr>
          <w:rFonts w:hint="eastAsia"/>
        </w:rPr>
        <w:t>2021年～2025年，全州共规划完成地质灾害工程治理项目95个，其中大型项目1个、中型项目30个、小型项目63个。</w:t>
      </w:r>
    </w:p>
    <w:p>
      <w:pPr>
        <w:pStyle w:val="5"/>
      </w:pPr>
      <w:bookmarkStart w:id="66" w:name="_Toc88832974"/>
      <w:bookmarkStart w:id="67" w:name="_Toc88662541"/>
      <w:r>
        <w:rPr>
          <w:rFonts w:hint="eastAsia"/>
        </w:rPr>
        <w:t>2、延续配套治理项目</w:t>
      </w:r>
      <w:bookmarkEnd w:id="66"/>
      <w:bookmarkEnd w:id="67"/>
    </w:p>
    <w:p>
      <w:pPr>
        <w:ind w:firstLine="560"/>
      </w:pPr>
      <w:r>
        <w:rPr>
          <w:rFonts w:hint="eastAsia"/>
        </w:rPr>
        <w:t>延续配套治理项目指已经实施并完成验收的工程治理项目，同一隐患点其治理工程因自然条件而局部损毁影响工程防治效果需修复的，或是同一隐患区块有新增地质灾害体并造成威胁和危害的，或是因为项目设计时的技术要求无法满足当前相关技术要求需要增强防治工程的项目。</w:t>
      </w:r>
    </w:p>
    <w:p>
      <w:pPr>
        <w:ind w:firstLine="560"/>
      </w:pPr>
      <w:r>
        <w:rPr>
          <w:rFonts w:hint="eastAsia"/>
        </w:rPr>
        <w:t>本次规划，德宏州共有延续配套治理项目3个，其中中型项目1个、小型项目2个。</w:t>
      </w:r>
    </w:p>
    <w:p>
      <w:pPr>
        <w:pStyle w:val="5"/>
      </w:pPr>
      <w:bookmarkStart w:id="68" w:name="_Toc88662542"/>
      <w:bookmarkStart w:id="69" w:name="_Toc88832975"/>
      <w:r>
        <w:rPr>
          <w:rFonts w:hint="eastAsia"/>
        </w:rPr>
        <w:t>3、已建治理工程运行管护</w:t>
      </w:r>
      <w:bookmarkEnd w:id="68"/>
      <w:bookmarkEnd w:id="69"/>
    </w:p>
    <w:p>
      <w:pPr>
        <w:ind w:firstLine="560"/>
      </w:pPr>
      <w:r>
        <w:rPr>
          <w:rFonts w:hint="eastAsia"/>
        </w:rPr>
        <w:t>已建治理工程运行管护工作应根据地质灾害特征、工程结构特性等明确各（类）项目管护要点。项目后期管护工作由各县（市）自然资源局监管，在竣工验收合格后，由各县（市）自然资源局根据工程所在区域、保护对象、受益主体等情况，在15个工作日内指定工程后期管护单位，签订工程管护移交协议，办理相关移交手续。</w:t>
      </w:r>
    </w:p>
    <w:p>
      <w:pPr>
        <w:ind w:firstLine="560"/>
      </w:pPr>
      <w:r>
        <w:rPr>
          <w:rFonts w:hint="eastAsia"/>
        </w:rPr>
        <w:t>工程管护的重点为泥石流停淤工程清淤、水毁工程修复、截排水沟清淤和损坏修复等。</w:t>
      </w:r>
    </w:p>
    <w:p>
      <w:pPr>
        <w:pStyle w:val="5"/>
      </w:pPr>
      <w:r>
        <w:rPr>
          <w:rFonts w:hint="eastAsia"/>
        </w:rPr>
        <w:t>4、突发性应急排险、治理工程</w:t>
      </w:r>
    </w:p>
    <w:p>
      <w:pPr>
        <w:ind w:firstLine="560"/>
      </w:pPr>
      <w:r>
        <w:rPr>
          <w:rFonts w:hint="eastAsia"/>
        </w:rPr>
        <w:t>突发性地质灾害具有不可预见性，且每年均有发生，尤其是受地震影响而产生的地质灾害应急排险、抢险处置措施等，该项工作主要按当年的应急预案执行。</w:t>
      </w:r>
    </w:p>
    <w:p>
      <w:pPr>
        <w:pStyle w:val="4"/>
        <w:spacing w:before="240" w:after="120"/>
      </w:pPr>
      <w:bookmarkStart w:id="70" w:name="_Toc88662543"/>
      <w:bookmarkStart w:id="71" w:name="_Toc88832976"/>
      <w:r>
        <w:rPr>
          <w:rFonts w:hint="eastAsia"/>
        </w:rPr>
        <w:t>（四）避险搬迁</w:t>
      </w:r>
      <w:bookmarkEnd w:id="70"/>
      <w:bookmarkEnd w:id="71"/>
    </w:p>
    <w:p>
      <w:pPr>
        <w:ind w:firstLine="560"/>
      </w:pPr>
      <w:r>
        <w:rPr>
          <w:rFonts w:hint="eastAsia"/>
        </w:rPr>
        <w:t>在“十三五”期间已将集中连片的、威胁较严重的因灾搬迁项目基本实施完成，目前仍然有因灾搬迁需要的主要为零散居民户或规模较小的居民区（一般仅有几户居民），集中安置的选址条件较差、村民意愿不强、搬迁动员工作困难，所以，本轮规划主要考虑零散搬迁分散安置，结合乡村振兴等工程逐步实施。</w:t>
      </w:r>
    </w:p>
    <w:p>
      <w:pPr>
        <w:ind w:firstLine="560"/>
      </w:pPr>
      <w:r>
        <w:rPr>
          <w:rFonts w:hint="eastAsia"/>
        </w:rPr>
        <w:t>“十四五”期间，全州共规划避险搬迁836户3263人。</w:t>
      </w:r>
    </w:p>
    <w:p>
      <w:pPr>
        <w:pStyle w:val="4"/>
        <w:spacing w:before="240" w:after="120"/>
      </w:pPr>
      <w:bookmarkStart w:id="72" w:name="_Toc88832977"/>
      <w:bookmarkStart w:id="73" w:name="_Toc88662544"/>
      <w:r>
        <w:rPr>
          <w:rFonts w:hint="eastAsia"/>
        </w:rPr>
        <w:t>（五）综合整治</w:t>
      </w:r>
      <w:bookmarkEnd w:id="72"/>
      <w:bookmarkEnd w:id="73"/>
    </w:p>
    <w:p>
      <w:pPr>
        <w:ind w:firstLine="560"/>
      </w:pPr>
      <w:r>
        <w:rPr>
          <w:rFonts w:hint="eastAsia"/>
        </w:rPr>
        <w:t>德宏州地质灾害具有点多面广、单点规模小、突发性强的特点，一些相对集中连片的区域也基本完成搬迁避让和工程治理，所以全州境内暂无适合进行综合治理的小流域，“十四五”期间暂不规划综合整治项目。</w:t>
      </w:r>
    </w:p>
    <w:p>
      <w:pPr>
        <w:pStyle w:val="4"/>
        <w:spacing w:before="240" w:after="120"/>
      </w:pPr>
      <w:bookmarkStart w:id="74" w:name="_Toc88832978"/>
      <w:bookmarkStart w:id="75" w:name="_Toc88662545"/>
      <w:r>
        <w:rPr>
          <w:rFonts w:hint="eastAsia"/>
        </w:rPr>
        <w:t>（六）完善技术支撑网络体系</w:t>
      </w:r>
      <w:bookmarkEnd w:id="74"/>
      <w:bookmarkEnd w:id="75"/>
    </w:p>
    <w:p>
      <w:pPr>
        <w:ind w:firstLine="560"/>
        <w:rPr>
          <w:szCs w:val="28"/>
        </w:rPr>
      </w:pPr>
      <w:r>
        <w:rPr>
          <w:szCs w:val="28"/>
        </w:rPr>
        <w:t>云南省地质灾害防治管理信息系统已初步建设完成，其主要是在基础地理、地质信息系统的基础上，叠加地质灾害空间信息和防治管理信息专业数据库以及在省、</w:t>
      </w:r>
      <w:r>
        <w:rPr>
          <w:rFonts w:hint="eastAsia"/>
          <w:szCs w:val="28"/>
        </w:rPr>
        <w:t>州</w:t>
      </w:r>
      <w:r>
        <w:rPr>
          <w:szCs w:val="28"/>
        </w:rPr>
        <w:t>两级地质灾害防治主管部门和</w:t>
      </w:r>
      <w:r>
        <w:rPr>
          <w:rFonts w:hint="eastAsia"/>
          <w:szCs w:val="28"/>
        </w:rPr>
        <w:t>云南省</w:t>
      </w:r>
      <w:r>
        <w:rPr>
          <w:szCs w:val="28"/>
        </w:rPr>
        <w:t>地质环境监测</w:t>
      </w:r>
      <w:r>
        <w:rPr>
          <w:rFonts w:hint="eastAsia"/>
          <w:szCs w:val="28"/>
        </w:rPr>
        <w:t>院</w:t>
      </w:r>
      <w:r>
        <w:rPr>
          <w:szCs w:val="28"/>
        </w:rPr>
        <w:t>之间实现宽带网路联接，以保证应急救灾信息传输渠道的畅通和防灾减灾基础信息的共享。</w:t>
      </w:r>
    </w:p>
    <w:p>
      <w:pPr>
        <w:ind w:firstLine="560"/>
        <w:rPr>
          <w:szCs w:val="28"/>
        </w:rPr>
      </w:pPr>
      <w:r>
        <w:rPr>
          <w:szCs w:val="28"/>
        </w:rPr>
        <w:t>在驻县专业队伍的指导协助下，对境内突发性地质灾害分布和灾情信息的图、数一体化管理与灾害实时速报；驻县队伍按照《云南省地质灾害防治技术支撑体系建设实施方案》要求做好地质灾害隐患“三查”、监测预警与信息平台运行、灾(险)情报送、宣传培训、应急演练、应急值守、应急会商与救援、搬迁避让选址、治理工程项目检查等技术支撑工作。</w:t>
      </w:r>
    </w:p>
    <w:p>
      <w:pPr>
        <w:pStyle w:val="4"/>
        <w:spacing w:before="240" w:after="120"/>
      </w:pPr>
      <w:bookmarkStart w:id="76" w:name="_Toc88662546"/>
      <w:bookmarkStart w:id="77" w:name="_Toc88832979"/>
      <w:r>
        <w:rPr>
          <w:rFonts w:hint="eastAsia"/>
        </w:rPr>
        <w:t>（七）地质灾害防治宣教与演练</w:t>
      </w:r>
      <w:bookmarkEnd w:id="76"/>
      <w:bookmarkEnd w:id="77"/>
    </w:p>
    <w:p>
      <w:pPr>
        <w:ind w:firstLine="560"/>
      </w:pPr>
      <w:r>
        <w:rPr>
          <w:rFonts w:hint="eastAsia"/>
        </w:rPr>
        <w:t>地质灾害防治宣传、培训和应急演练制度已基本建成，并在不断完善。“十四五”期间，仍然以各县（市）人民政府为主导，自然资源局组织相关的巡查排查、应急调查、宣传培训、应急演练等工作，积极探索和推进落实基层组织、学校、新闻媒体等开展宣传教育和演练的运行机制。</w:t>
      </w:r>
    </w:p>
    <w:p>
      <w:pPr>
        <w:ind w:firstLine="560"/>
      </w:pPr>
      <w:r>
        <w:rPr>
          <w:rFonts w:hint="eastAsia"/>
        </w:rPr>
        <w:t>各县（市）每年集中进行专业培训2次，县（市）级应急演练1次，各乡镇应急演练1次，地质灾害基础防治知识的宣传教育则视情况不定期、不定点、向全民进行，利用电视、广播、网络、通讯等手段全民识灾、防灾、减灾、避灾的意识与自救、互救能力。</w:t>
      </w:r>
    </w:p>
    <w:p>
      <w:pPr>
        <w:pStyle w:val="4"/>
        <w:spacing w:before="240" w:after="120"/>
      </w:pPr>
      <w:bookmarkStart w:id="78" w:name="_Toc88832980"/>
      <w:bookmarkStart w:id="79" w:name="_Toc88662547"/>
      <w:r>
        <w:rPr>
          <w:rFonts w:hint="eastAsia"/>
        </w:rPr>
        <w:t>（八）地质灾害防治法制化建设</w:t>
      </w:r>
      <w:bookmarkEnd w:id="78"/>
      <w:bookmarkEnd w:id="79"/>
    </w:p>
    <w:p>
      <w:pPr>
        <w:ind w:firstLine="560"/>
        <w:rPr>
          <w:szCs w:val="28"/>
        </w:rPr>
      </w:pPr>
      <w:r>
        <w:rPr>
          <w:rFonts w:hint="eastAsia"/>
        </w:rPr>
        <w:t>“十四五”期间，德宏州将根据当地实际情况，在云南省相关法律法规的基础上，尽快完善</w:t>
      </w:r>
      <w:r>
        <w:rPr>
          <w:szCs w:val="28"/>
        </w:rPr>
        <w:t>中小型地质灾害治理工程项目、避险移民搬迁项目管理办法，地质灾害群测群防监测人员管理考核办法，制定地质灾害综合整治项目管理办法</w:t>
      </w:r>
      <w:r>
        <w:rPr>
          <w:rFonts w:hint="eastAsia"/>
          <w:szCs w:val="28"/>
        </w:rPr>
        <w:t>。进一步</w:t>
      </w:r>
      <w:r>
        <w:rPr>
          <w:szCs w:val="28"/>
        </w:rPr>
        <w:t>完善地质灾害调查、危险性评估，预警预报，防灾预案、灾情速报、应急反应，险情巡查、汛期值班、专项资金管理等各项制度，并严格监督执行，实现地质灾害防治法制化、规范化。</w:t>
      </w:r>
    </w:p>
    <w:p>
      <w:pPr>
        <w:ind w:firstLine="560"/>
        <w:rPr>
          <w:szCs w:val="28"/>
        </w:rPr>
      </w:pPr>
      <w:r>
        <w:rPr>
          <w:rFonts w:hint="eastAsia"/>
          <w:szCs w:val="28"/>
        </w:rPr>
        <w:t>此外还需联合农业农村局，制定与切坡建房等相关的用地申报、审批等制度，从制度上遏制建设开挖引起的地质灾害隐患。</w:t>
      </w:r>
    </w:p>
    <w:p>
      <w:pPr>
        <w:pStyle w:val="4"/>
        <w:spacing w:before="240" w:after="120"/>
      </w:pPr>
      <w:bookmarkStart w:id="80" w:name="_Toc88662548"/>
      <w:bookmarkStart w:id="81" w:name="_Toc88832981"/>
      <w:r>
        <w:rPr>
          <w:rFonts w:hint="eastAsia"/>
        </w:rPr>
        <w:t>（九）依法依规履行职责</w:t>
      </w:r>
      <w:bookmarkEnd w:id="80"/>
      <w:bookmarkEnd w:id="81"/>
    </w:p>
    <w:p>
      <w:pPr>
        <w:ind w:firstLine="560"/>
        <w:rPr>
          <w:szCs w:val="28"/>
        </w:rPr>
      </w:pPr>
      <w:r>
        <w:rPr>
          <w:rFonts w:hint="eastAsia"/>
          <w:szCs w:val="28"/>
        </w:rPr>
        <w:t>德宏州及各县（市）自然资源主管部门，依据规划区内地质灾害相关调查评价结果，在当地的国土空间规划、乡村规划与用途管制中，落实地质灾害的管控措施与要求；工程建设、资源开发、生产经营等相关行业主管部门和建设单位，依法依规履职，落实防治主体责任。</w:t>
      </w:r>
    </w:p>
    <w:p>
      <w:pPr>
        <w:pStyle w:val="4"/>
        <w:spacing w:before="240" w:after="120"/>
      </w:pPr>
      <w:bookmarkStart w:id="82" w:name="_Toc88662549"/>
      <w:bookmarkStart w:id="83" w:name="_Toc88832982"/>
      <w:r>
        <w:rPr>
          <w:rFonts w:hint="eastAsia"/>
        </w:rPr>
        <w:t>（十）防灾减灾机制建设</w:t>
      </w:r>
      <w:bookmarkEnd w:id="82"/>
      <w:bookmarkEnd w:id="83"/>
    </w:p>
    <w:p>
      <w:pPr>
        <w:ind w:firstLine="560"/>
      </w:pPr>
      <w:r>
        <w:rPr>
          <w:rFonts w:hint="eastAsia"/>
        </w:rPr>
        <w:t>目前，各级党委政府、各级自然资源主管部门和驻县技术支撑单位的常态化地质灾害防范工作机制已基本建成，联同各行业主管部门的防灾机制也在不断建设和完善。</w:t>
      </w:r>
    </w:p>
    <w:p>
      <w:pPr>
        <w:ind w:firstLine="560"/>
        <w:rPr>
          <w:rFonts w:hAnsi="宋体"/>
          <w:szCs w:val="28"/>
        </w:rPr>
        <w:sectPr>
          <w:pgSz w:w="11907" w:h="16840"/>
          <w:pgMar w:top="1134" w:right="1134" w:bottom="1134" w:left="1418" w:header="851" w:footer="992" w:gutter="0"/>
          <w:cols w:space="425" w:num="1"/>
          <w:docGrid w:linePitch="312" w:charSpace="0"/>
        </w:sectPr>
      </w:pPr>
      <w:r>
        <w:rPr>
          <w:rFonts w:hint="eastAsia"/>
        </w:rPr>
        <w:t>“十四五”规划期间，仍须坚持执行“分级负责、属地管理”制度，进一步</w:t>
      </w:r>
      <w:r>
        <w:rPr>
          <w:rFonts w:hint="eastAsia" w:hAnsi="宋体"/>
          <w:szCs w:val="28"/>
        </w:rPr>
        <w:t>建立健全“党委领导、政府主导、部门协同、社会参与、法制保障”的社会化、扁平化防治工作新格局，强化上下统一、分级负责的政府责任体系，全面落实政府主导、行业共治、全民参与的防治管理机制。</w:t>
      </w:r>
    </w:p>
    <w:p>
      <w:pPr>
        <w:pStyle w:val="3"/>
      </w:pPr>
      <w:bookmarkStart w:id="84" w:name="_Toc88832983"/>
      <w:bookmarkStart w:id="85" w:name="_Toc88662550"/>
      <w:r>
        <w:rPr>
          <w:rFonts w:hint="eastAsia"/>
        </w:rPr>
        <w:t>五、资金筹措</w:t>
      </w:r>
      <w:bookmarkEnd w:id="84"/>
      <w:bookmarkEnd w:id="85"/>
    </w:p>
    <w:p>
      <w:pPr>
        <w:pStyle w:val="4"/>
        <w:spacing w:before="240" w:after="120"/>
      </w:pPr>
      <w:bookmarkStart w:id="86" w:name="_Toc88662551"/>
      <w:bookmarkStart w:id="87" w:name="_Toc88832984"/>
      <w:r>
        <w:rPr>
          <w:rFonts w:hint="eastAsia"/>
        </w:rPr>
        <w:t>（一）地质灾害防治规划资金匡算结果</w:t>
      </w:r>
      <w:bookmarkEnd w:id="86"/>
      <w:bookmarkEnd w:id="87"/>
    </w:p>
    <w:p>
      <w:pPr>
        <w:ind w:firstLine="560"/>
      </w:pPr>
      <w:r>
        <w:rPr>
          <w:rFonts w:hint="eastAsia"/>
        </w:rPr>
        <w:t>根据各县（市）地质灾害防治规划措施及资金匡算，德宏州“十四五”期间共投入地质灾害防治资金30546.4万元，各项防治措施及预计资金投入情况如下（表5-1）：</w:t>
      </w:r>
    </w:p>
    <w:p>
      <w:pPr>
        <w:pStyle w:val="5"/>
      </w:pPr>
      <w:bookmarkStart w:id="88" w:name="_Toc88662552"/>
      <w:bookmarkStart w:id="89" w:name="_Toc88832985"/>
      <w:r>
        <w:rPr>
          <w:rFonts w:hint="eastAsia"/>
        </w:rPr>
        <w:t>1、调查评价</w:t>
      </w:r>
      <w:bookmarkEnd w:id="88"/>
      <w:bookmarkEnd w:id="89"/>
    </w:p>
    <w:p>
      <w:pPr>
        <w:ind w:firstLine="560"/>
      </w:pPr>
      <w:r>
        <w:rPr>
          <w:rFonts w:hint="eastAsia"/>
        </w:rPr>
        <w:t>主要包含制度化的“三查”、应急调查，以及精细化调查和风险评价工作。其中：“三查”和应急调查工作属驻县联乡工作范畴，不再单独列支费用；精细化调查和风险评价共匡算资金1830万元。遥感识别隐患现场核验相关工作由省技术指导中心负责，费用编制纳入省级方案中。</w:t>
      </w:r>
    </w:p>
    <w:p>
      <w:pPr>
        <w:pStyle w:val="5"/>
      </w:pPr>
      <w:bookmarkStart w:id="90" w:name="_Toc88662553"/>
      <w:bookmarkStart w:id="91" w:name="_Toc88832986"/>
      <w:r>
        <w:rPr>
          <w:rFonts w:hint="eastAsia"/>
        </w:rPr>
        <w:t>2、监测预警</w:t>
      </w:r>
      <w:bookmarkEnd w:id="90"/>
      <w:bookmarkEnd w:id="91"/>
    </w:p>
    <w:p>
      <w:pPr>
        <w:ind w:firstLine="560"/>
      </w:pPr>
      <w:r>
        <w:rPr>
          <w:rFonts w:hint="eastAsia"/>
        </w:rPr>
        <w:t>主要包括：群测群防、普适型（专业）监测及后期维护、气象风险预警、隐患点和风险区“双控”，匡算资金共约99138万元。其中：</w:t>
      </w:r>
    </w:p>
    <w:p>
      <w:pPr>
        <w:pStyle w:val="5"/>
      </w:pPr>
      <w:bookmarkStart w:id="92" w:name="_Toc88832987"/>
      <w:bookmarkStart w:id="93" w:name="_Toc88662554"/>
      <w:r>
        <w:rPr>
          <w:rFonts w:hint="eastAsia"/>
        </w:rPr>
        <w:t>3、工程治理</w:t>
      </w:r>
      <w:bookmarkEnd w:id="92"/>
      <w:bookmarkEnd w:id="93"/>
    </w:p>
    <w:p>
      <w:pPr>
        <w:ind w:firstLine="560"/>
      </w:pPr>
      <w:r>
        <w:rPr>
          <w:rFonts w:hint="eastAsia"/>
        </w:rPr>
        <w:t>包括规划立项工程治理项目、延续配套治理项目和已建治理工程运行管护、突发性应急治理工程四个方面。各县（市）根据野外调查初步估算工程量，按当前物价及相关概（预）标准，进行投资匡算，最终预计工程治理资金约15211万元。</w:t>
      </w:r>
    </w:p>
    <w:p>
      <w:pPr>
        <w:pStyle w:val="5"/>
      </w:pPr>
      <w:bookmarkStart w:id="94" w:name="_Toc88832988"/>
      <w:bookmarkStart w:id="95" w:name="_Toc88662555"/>
      <w:r>
        <w:rPr>
          <w:rFonts w:hint="eastAsia"/>
        </w:rPr>
        <w:t>4、避险搬迁</w:t>
      </w:r>
      <w:bookmarkEnd w:id="94"/>
      <w:bookmarkEnd w:id="95"/>
    </w:p>
    <w:p>
      <w:pPr>
        <w:ind w:firstLine="560"/>
      </w:pPr>
      <w:r>
        <w:rPr>
          <w:rFonts w:hint="eastAsia"/>
        </w:rPr>
        <w:t>全州 “十四五”期间规划因灾搬迁836户3263人，预计投入资金约2676万元。</w:t>
      </w:r>
    </w:p>
    <w:p>
      <w:pPr>
        <w:pStyle w:val="5"/>
      </w:pPr>
      <w:bookmarkStart w:id="96" w:name="_Toc88832989"/>
      <w:bookmarkStart w:id="97" w:name="_Toc88662556"/>
      <w:r>
        <w:rPr>
          <w:rFonts w:hint="eastAsia"/>
        </w:rPr>
        <w:t>5、完善技术支撑网络体系</w:t>
      </w:r>
      <w:bookmarkEnd w:id="96"/>
      <w:bookmarkEnd w:id="97"/>
    </w:p>
    <w:p>
      <w:pPr>
        <w:ind w:firstLine="560"/>
      </w:pPr>
      <w:r>
        <w:rPr>
          <w:rFonts w:hint="eastAsia"/>
        </w:rPr>
        <w:t>根据《云南省地质灾害防治技术支撑体系建设实施方案》，德宏州五县（市）第一期驻县联乡工作经费为177.23万元/年，州级指导中心工作经费21.05万元/年，规划期预计总投入991.4万元。</w:t>
      </w:r>
    </w:p>
    <w:p>
      <w:pPr>
        <w:pStyle w:val="5"/>
      </w:pPr>
      <w:bookmarkStart w:id="98" w:name="_Toc88832990"/>
      <w:bookmarkStart w:id="99" w:name="_Toc88662557"/>
      <w:r>
        <w:rPr>
          <w:rFonts w:hint="eastAsia"/>
        </w:rPr>
        <w:t>6、地质灾害防治宣教与演练</w:t>
      </w:r>
      <w:bookmarkEnd w:id="98"/>
      <w:bookmarkEnd w:id="99"/>
    </w:p>
    <w:p>
      <w:pPr>
        <w:ind w:firstLine="560"/>
      </w:pPr>
      <w:r>
        <w:rPr>
          <w:rFonts w:hint="eastAsia"/>
        </w:rPr>
        <w:t>各县（市）每年集中进行专业培训2次，县（市）级应急演练1次，各乡镇应急演练1次，规划期预计总投入700万元。</w:t>
      </w:r>
    </w:p>
    <w:p>
      <w:pPr>
        <w:pStyle w:val="4"/>
        <w:spacing w:before="240" w:after="120"/>
      </w:pPr>
      <w:bookmarkStart w:id="100" w:name="_Toc88662558"/>
      <w:bookmarkStart w:id="101" w:name="_Toc88832991"/>
      <w:r>
        <w:rPr>
          <w:rFonts w:hint="eastAsia"/>
        </w:rPr>
        <w:t>（二）资金来源</w:t>
      </w:r>
      <w:bookmarkEnd w:id="100"/>
      <w:bookmarkEnd w:id="101"/>
    </w:p>
    <w:p>
      <w:pPr>
        <w:ind w:firstLine="560"/>
      </w:pPr>
      <w:r>
        <w:rPr>
          <w:rFonts w:hint="eastAsia"/>
        </w:rPr>
        <w:t>地质灾害防治资金的落实是实现规划目标的重要条件，地质灾害防治公益性强，本规划的地质灾害防治经费均来源于各级财政专项资金。根据《地质灾害防治条例》、《云南省地质灾害防治专项资金管理暂行办法》、《云南省自然资源领域财政事权和支出责任划分改革实施方案》、《德宏州自然资源领域财政事权和支出责任划分改革实施方案（征求意见稿）》等有关政策的规定，规划投入资金主要来源于中央、省、州、县（市）四级财政下发专项资金，同时可协调整合乡村振兴等相关资金的参与，多举筹措经费。</w:t>
      </w:r>
    </w:p>
    <w:p>
      <w:pPr>
        <w:pStyle w:val="5"/>
      </w:pPr>
      <w:bookmarkStart w:id="102" w:name="_Toc88662559"/>
      <w:bookmarkStart w:id="103" w:name="_Toc88832992"/>
      <w:r>
        <w:rPr>
          <w:rFonts w:hint="eastAsia"/>
        </w:rPr>
        <w:t>1、财政事权与支出责任</w:t>
      </w:r>
      <w:bookmarkEnd w:id="102"/>
      <w:bookmarkEnd w:id="103"/>
    </w:p>
    <w:p>
      <w:pPr>
        <w:ind w:firstLine="560"/>
      </w:pPr>
      <w:r>
        <w:rPr>
          <w:rFonts w:hint="eastAsia"/>
        </w:rPr>
        <w:t>①将因自然因素造成的特大型地质灾害综合治理,重点区域地质灾害调查评价、监测预警等综合防治体系和防治能力建设,地质灾害应急救援的技术支撑及应急测绘保障等工作,确认为中央、省以及省以下三级共同财政事权,共同承担支出责任。</w:t>
      </w:r>
    </w:p>
    <w:p>
      <w:pPr>
        <w:ind w:firstLine="560"/>
        <w:rPr>
          <w:rFonts w:hAnsi="宋体" w:cs="宋体"/>
        </w:rPr>
      </w:pPr>
      <w:r>
        <w:rPr>
          <w:rFonts w:hint="eastAsia" w:hAnsi="宋体" w:cs="宋体"/>
        </w:rPr>
        <w:t>②将全省地质灾害防治的组织、协调、指导和监督,确认为省级财政事权,由省级承担支出责任。</w:t>
      </w:r>
    </w:p>
    <w:p>
      <w:pPr>
        <w:ind w:firstLine="560"/>
        <w:rPr>
          <w:rFonts w:hAnsi="宋体" w:cs="宋体"/>
        </w:rPr>
      </w:pPr>
      <w:r>
        <w:rPr>
          <w:rFonts w:hint="eastAsia"/>
        </w:rPr>
        <w:t>③</w:t>
      </w:r>
      <w:r>
        <w:t>因自然因素造成的其他地质灾害</w:t>
      </w:r>
      <w:r>
        <w:rPr>
          <w:rFonts w:hint="eastAsia"/>
        </w:rPr>
        <w:t>（大型、中型及小型）</w:t>
      </w:r>
      <w:r>
        <w:t>综合治理</w:t>
      </w:r>
      <w:r>
        <w:rPr>
          <w:position w:val="1"/>
        </w:rPr>
        <w:t>、</w:t>
      </w:r>
      <w:r>
        <w:t>搬迁避让</w:t>
      </w:r>
      <w:r>
        <w:rPr>
          <w:rFonts w:hint="eastAsia"/>
        </w:rPr>
        <w:t>，</w:t>
      </w:r>
      <w:r>
        <w:t>全省地质灾害调查与风险评价</w:t>
      </w:r>
      <w:r>
        <w:rPr>
          <w:position w:val="1"/>
        </w:rPr>
        <w:t>、</w:t>
      </w:r>
      <w:r>
        <w:t>隐患排查巡查核查</w:t>
      </w:r>
      <w:r>
        <w:rPr>
          <w:position w:val="1"/>
        </w:rPr>
        <w:t>、</w:t>
      </w:r>
      <w:r>
        <w:t>应急救援技术支撑体系建设</w:t>
      </w:r>
      <w:r>
        <w:rPr>
          <w:rFonts w:hint="eastAsia"/>
        </w:rPr>
        <w:t>，</w:t>
      </w:r>
      <w:r>
        <w:t>地质灾害群测群防、监测预警、气象风险预报预警的建设与监督管理,</w:t>
      </w:r>
      <w:r>
        <w:rPr>
          <w:rFonts w:hint="eastAsia"/>
        </w:rPr>
        <w:t>确认由省、市、县共同承担支出责任。</w:t>
      </w:r>
    </w:p>
    <w:p>
      <w:pPr>
        <w:ind w:firstLine="560"/>
      </w:pPr>
    </w:p>
    <w:p>
      <w:pPr>
        <w:ind w:firstLine="482"/>
        <w:jc w:val="center"/>
        <w:rPr>
          <w:b/>
          <w:sz w:val="24"/>
          <w:szCs w:val="24"/>
        </w:rPr>
        <w:sectPr>
          <w:pgSz w:w="11907" w:h="16840"/>
          <w:pgMar w:top="1134" w:right="1134" w:bottom="1134" w:left="1418" w:header="851" w:footer="992" w:gutter="0"/>
          <w:cols w:space="425" w:num="1"/>
          <w:docGrid w:linePitch="312" w:charSpace="0"/>
        </w:sectPr>
      </w:pPr>
    </w:p>
    <w:p>
      <w:pPr>
        <w:ind w:firstLine="482"/>
        <w:jc w:val="center"/>
        <w:rPr>
          <w:b/>
          <w:sz w:val="24"/>
          <w:szCs w:val="24"/>
        </w:rPr>
      </w:pPr>
      <w:r>
        <w:rPr>
          <w:rFonts w:hint="eastAsia"/>
          <w:b/>
          <w:sz w:val="24"/>
          <w:szCs w:val="24"/>
        </w:rPr>
        <w:t>表5-1  德宏州地质灾害防治“十四五”规划措施及年度经费匡算统计表</w:t>
      </w:r>
    </w:p>
    <w:tbl>
      <w:tblPr>
        <w:tblStyle w:val="35"/>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21"/>
        <w:gridCol w:w="523"/>
        <w:gridCol w:w="1447"/>
        <w:gridCol w:w="918"/>
        <w:gridCol w:w="1288"/>
        <w:gridCol w:w="1271"/>
        <w:gridCol w:w="71"/>
        <w:gridCol w:w="1076"/>
        <w:gridCol w:w="1209"/>
        <w:gridCol w:w="106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blHeader/>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序号</w:t>
            </w:r>
          </w:p>
        </w:tc>
        <w:tc>
          <w:tcPr>
            <w:tcW w:w="1050" w:type="pct"/>
            <w:gridSpan w:val="2"/>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 xml:space="preserve">项 </w:t>
            </w:r>
            <w:r>
              <w:rPr>
                <w:rStyle w:val="93"/>
                <w:rFonts w:hint="default"/>
                <w:color w:val="auto"/>
                <w:sz w:val="21"/>
                <w:szCs w:val="21"/>
              </w:rPr>
              <w:t xml:space="preserve"> 目</w:t>
            </w:r>
          </w:p>
        </w:tc>
        <w:tc>
          <w:tcPr>
            <w:tcW w:w="3673" w:type="pct"/>
            <w:gridSpan w:val="7"/>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经 费（万元）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blHeader/>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b/>
                <w:sz w:val="21"/>
              </w:rPr>
            </w:pPr>
          </w:p>
        </w:tc>
        <w:tc>
          <w:tcPr>
            <w:tcW w:w="1050" w:type="pct"/>
            <w:gridSpan w:val="2"/>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b/>
                <w:sz w:val="21"/>
              </w:rPr>
            </w:pP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合 计</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2021年</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2022年</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2023年</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2024年</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2025年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1</w:t>
            </w:r>
          </w:p>
        </w:tc>
        <w:tc>
          <w:tcPr>
            <w:tcW w:w="279" w:type="pct"/>
            <w:vMerge w:val="restart"/>
            <w:tcMar>
              <w:top w:w="15" w:type="dxa"/>
              <w:left w:w="15" w:type="dxa"/>
              <w:right w:w="15" w:type="dxa"/>
            </w:tcMar>
            <w:vAlign w:val="center"/>
          </w:tcPr>
          <w:p>
            <w:pPr>
              <w:widowControl/>
              <w:adjustRightInd w:val="0"/>
              <w:snapToGrid w:val="0"/>
              <w:spacing w:line="240" w:lineRule="auto"/>
              <w:ind w:firstLine="0" w:firstLineChars="0"/>
              <w:textAlignment w:val="center"/>
              <w:rPr>
                <w:rFonts w:hAnsi="宋体" w:cs="宋体"/>
                <w:sz w:val="21"/>
              </w:rPr>
            </w:pPr>
            <w:r>
              <w:rPr>
                <w:rFonts w:hint="eastAsia" w:hAnsi="宋体" w:cs="宋体"/>
                <w:kern w:val="0"/>
                <w:sz w:val="21"/>
              </w:rPr>
              <w:t>调查评价</w:t>
            </w: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自然地质灾害隐患点排查</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sz w:val="21"/>
              </w:rPr>
              <w:t>0.0</w:t>
            </w:r>
          </w:p>
        </w:tc>
        <w:tc>
          <w:tcPr>
            <w:tcW w:w="3184" w:type="pct"/>
            <w:gridSpan w:val="6"/>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各县（区）独立开展，经费计入技术支撑网络体系经费。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非自然地质灾害隐患点排查</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sz w:val="21"/>
              </w:rPr>
              <w:t>0.0</w:t>
            </w:r>
          </w:p>
        </w:tc>
        <w:tc>
          <w:tcPr>
            <w:tcW w:w="3184" w:type="pct"/>
            <w:gridSpan w:val="6"/>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由相关主管部门督促责任单位完成，经费由责任单位予以保障。</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遥感识别疑似隐患点核验</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0.0</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0</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0</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0</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0</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本次仅提出初步工作方案，相关工作由省技术指导中心负责，费用编制纳入省级方案中，本次不做费用匡算。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重点区域精细化调查与风险评价</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1830</w:t>
            </w: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盈江县及梁河县的调查预算经费共约700万元，已由省自然资源厅予以保障。</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2</w:t>
            </w:r>
          </w:p>
        </w:tc>
        <w:tc>
          <w:tcPr>
            <w:tcW w:w="279" w:type="pct"/>
            <w:vMerge w:val="restart"/>
            <w:tcMar>
              <w:top w:w="15" w:type="dxa"/>
              <w:left w:w="15" w:type="dxa"/>
              <w:right w:w="15" w:type="dxa"/>
            </w:tcMar>
            <w:vAlign w:val="center"/>
          </w:tcPr>
          <w:p>
            <w:pPr>
              <w:widowControl/>
              <w:adjustRightInd w:val="0"/>
              <w:snapToGrid w:val="0"/>
              <w:spacing w:line="240" w:lineRule="auto"/>
              <w:ind w:firstLine="0" w:firstLineChars="0"/>
              <w:textAlignment w:val="center"/>
              <w:rPr>
                <w:rFonts w:hAnsi="宋体" w:cs="宋体"/>
                <w:sz w:val="21"/>
              </w:rPr>
            </w:pPr>
            <w:r>
              <w:rPr>
                <w:rFonts w:hint="eastAsia" w:hAnsi="宋体" w:cs="宋体"/>
                <w:kern w:val="0"/>
                <w:sz w:val="21"/>
              </w:rPr>
              <w:t>监测预警</w:t>
            </w: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群测群防</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1597</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319.4</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319.4</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319.4</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319.4</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319.4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群测群防员每人按1500/年，更换设备费简易监测设备各县根据实际情况匡算。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3</w:t>
            </w: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普适型监测</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6481</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1950</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720</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944</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896</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792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restart"/>
            <w:tcMar>
              <w:top w:w="15" w:type="dxa"/>
              <w:left w:w="15" w:type="dxa"/>
              <w:right w:w="15" w:type="dxa"/>
            </w:tcMar>
            <w:vAlign w:val="center"/>
          </w:tcPr>
          <w:p>
            <w:pPr>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维护</w:t>
            </w:r>
            <w:r>
              <w:rPr>
                <w:rFonts w:hAnsi="宋体" w:cs="宋体"/>
                <w:kern w:val="0"/>
                <w:sz w:val="21"/>
              </w:rPr>
              <w:t>费用</w:t>
            </w:r>
          </w:p>
        </w:tc>
        <w:tc>
          <w:tcPr>
            <w:tcW w:w="489" w:type="pct"/>
            <w:vMerge w:val="continue"/>
            <w:tcMar>
              <w:top w:w="15" w:type="dxa"/>
              <w:left w:w="15" w:type="dxa"/>
              <w:right w:w="15" w:type="dxa"/>
            </w:tcMar>
            <w:vAlign w:val="center"/>
          </w:tcPr>
          <w:p>
            <w:pPr>
              <w:adjustRightInd w:val="0"/>
              <w:snapToGrid w:val="0"/>
              <w:spacing w:line="240" w:lineRule="auto"/>
              <w:ind w:firstLine="0" w:firstLineChars="0"/>
              <w:jc w:val="center"/>
              <w:textAlignment w:val="center"/>
              <w:rPr>
                <w:rFonts w:hAnsi="宋体" w:cs="宋体"/>
                <w:kern w:val="0"/>
                <w:sz w:val="21"/>
              </w:rPr>
            </w:pP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54</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54</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126</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418.5</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526.5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专业监测工程维护根据已实施方案，每个点按3万元匡算，普适型监测工程后期运行维护费按建设投资的15%进行匡算。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4</w:t>
            </w: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气象风险预警</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175</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35</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35</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35</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35</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州级年度经费为10万元/年，各县（市）年度经费</w:t>
            </w:r>
            <w:r>
              <w:rPr>
                <w:rFonts w:hAnsi="宋体" w:cs="宋体"/>
                <w:kern w:val="0"/>
                <w:sz w:val="21"/>
              </w:rPr>
              <w:t>5</w:t>
            </w:r>
            <w:r>
              <w:rPr>
                <w:rFonts w:hint="eastAsia" w:hAnsi="宋体" w:cs="宋体"/>
                <w:kern w:val="0"/>
                <w:sz w:val="21"/>
              </w:rPr>
              <w:t>万元/年，费用由各级地方财政筹备。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5</w:t>
            </w:r>
          </w:p>
        </w:tc>
        <w:tc>
          <w:tcPr>
            <w:tcW w:w="279" w:type="pct"/>
            <w:vMerge w:val="restart"/>
            <w:tcMar>
              <w:top w:w="15" w:type="dxa"/>
              <w:left w:w="15" w:type="dxa"/>
              <w:right w:w="15" w:type="dxa"/>
            </w:tcMar>
            <w:vAlign w:val="center"/>
          </w:tcPr>
          <w:p>
            <w:pPr>
              <w:widowControl/>
              <w:adjustRightInd w:val="0"/>
              <w:snapToGrid w:val="0"/>
              <w:spacing w:line="240" w:lineRule="auto"/>
              <w:ind w:firstLine="0" w:firstLineChars="0"/>
              <w:textAlignment w:val="center"/>
              <w:rPr>
                <w:rFonts w:hAnsi="宋体" w:cs="宋体"/>
                <w:sz w:val="21"/>
              </w:rPr>
            </w:pPr>
            <w:r>
              <w:rPr>
                <w:rFonts w:hint="eastAsia" w:hAnsi="宋体" w:cs="宋体"/>
                <w:kern w:val="0"/>
                <w:sz w:val="21"/>
              </w:rPr>
              <w:t>监测预警</w:t>
            </w: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隐患和风险“双控”</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885</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177</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177</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177</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177</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177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盈江已完成试点全面推广，各县、市根据盈江经验进行规划及资金匡算。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6</w:t>
            </w:r>
          </w:p>
        </w:tc>
        <w:tc>
          <w:tcPr>
            <w:tcW w:w="279" w:type="pct"/>
            <w:vMerge w:val="restart"/>
            <w:tcMar>
              <w:top w:w="15" w:type="dxa"/>
              <w:left w:w="15" w:type="dxa"/>
              <w:right w:w="15" w:type="dxa"/>
            </w:tcMar>
            <w:vAlign w:val="center"/>
          </w:tcPr>
          <w:p>
            <w:pPr>
              <w:widowControl/>
              <w:adjustRightInd w:val="0"/>
              <w:snapToGrid w:val="0"/>
              <w:spacing w:line="240" w:lineRule="auto"/>
              <w:ind w:firstLine="0" w:firstLineChars="0"/>
              <w:textAlignment w:val="center"/>
              <w:rPr>
                <w:rFonts w:hAnsi="宋体" w:cs="宋体"/>
                <w:sz w:val="21"/>
              </w:rPr>
            </w:pPr>
            <w:r>
              <w:rPr>
                <w:rFonts w:hint="eastAsia" w:hAnsi="宋体" w:cs="宋体"/>
                <w:kern w:val="0"/>
                <w:sz w:val="21"/>
              </w:rPr>
              <w:t>工程治理</w:t>
            </w: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工程治理</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12577</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1970</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4194.5</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3592.6</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1276</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1544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kern w:val="0"/>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根据各县年度经费按照项目规划表（附表2</w:t>
            </w:r>
            <w:r>
              <w:rPr>
                <w:rFonts w:hAnsi="宋体" w:cs="宋体"/>
                <w:kern w:val="0"/>
                <w:sz w:val="21"/>
              </w:rPr>
              <w:t>）</w:t>
            </w:r>
            <w:r>
              <w:rPr>
                <w:rFonts w:hint="eastAsia" w:hAnsi="宋体" w:cs="宋体"/>
                <w:kern w:val="0"/>
                <w:sz w:val="21"/>
              </w:rPr>
              <w:t>计算。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kern w:val="0"/>
                <w:sz w:val="21"/>
              </w:rPr>
            </w:pPr>
            <w:r>
              <w:rPr>
                <w:rFonts w:hint="eastAsia" w:asciiTheme="minorEastAsia" w:hAnsiTheme="minorEastAsia" w:eastAsiaTheme="minorEastAsia"/>
                <w:sz w:val="21"/>
              </w:rPr>
              <w:t>延续配套治理</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r>
              <w:rPr>
                <w:rFonts w:hint="eastAsia" w:hAnsi="宋体" w:cs="宋体"/>
                <w:sz w:val="21"/>
              </w:rPr>
              <w:t>284</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677" w:type="pct"/>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82</w:t>
            </w:r>
          </w:p>
        </w:tc>
        <w:tc>
          <w:tcPr>
            <w:tcW w:w="611" w:type="pct"/>
            <w:gridSpan w:val="2"/>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202</w:t>
            </w:r>
          </w:p>
        </w:tc>
        <w:tc>
          <w:tcPr>
            <w:tcW w:w="644" w:type="pct"/>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565" w:type="pct"/>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工程管护</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1200</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677"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300</w:t>
            </w:r>
          </w:p>
        </w:tc>
        <w:tc>
          <w:tcPr>
            <w:tcW w:w="611"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300</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300</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300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县（市）年度经费按照完成的工程治理项目台账计算，费用由各级政府配备，分三年完成工程管护经费的下发。</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突发性应急工程治理</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1150</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230</w:t>
            </w:r>
          </w:p>
        </w:tc>
        <w:tc>
          <w:tcPr>
            <w:tcW w:w="677" w:type="pct"/>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230</w:t>
            </w:r>
          </w:p>
        </w:tc>
        <w:tc>
          <w:tcPr>
            <w:tcW w:w="611" w:type="pct"/>
            <w:gridSpan w:val="2"/>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230</w:t>
            </w:r>
          </w:p>
        </w:tc>
        <w:tc>
          <w:tcPr>
            <w:tcW w:w="644" w:type="pct"/>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230</w:t>
            </w:r>
          </w:p>
        </w:tc>
        <w:tc>
          <w:tcPr>
            <w:tcW w:w="565" w:type="pct"/>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279"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771" w:type="pct"/>
            <w:vMerge w:val="continue"/>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根据各县以往情况，初步按芒市、梁河每年50万元，盈江每年80万元，陇川、瑞丽每年25万元进行匡算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7</w:t>
            </w:r>
          </w:p>
        </w:tc>
        <w:tc>
          <w:tcPr>
            <w:tcW w:w="1050" w:type="pct"/>
            <w:gridSpan w:val="2"/>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避险搬迁</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2676</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258</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525</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660</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642</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591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1050" w:type="pct"/>
            <w:gridSpan w:val="2"/>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根据各县（市）年度经费按照项目规划表（附表4</w:t>
            </w:r>
            <w:r>
              <w:rPr>
                <w:rFonts w:hAnsi="宋体" w:cs="宋体"/>
                <w:kern w:val="0"/>
                <w:sz w:val="21"/>
              </w:rPr>
              <w:t>）</w:t>
            </w:r>
            <w:r>
              <w:rPr>
                <w:rFonts w:hint="eastAsia" w:hAnsi="宋体" w:cs="宋体"/>
                <w:kern w:val="0"/>
                <w:sz w:val="21"/>
              </w:rPr>
              <w:t>计算。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8</w:t>
            </w:r>
          </w:p>
        </w:tc>
        <w:tc>
          <w:tcPr>
            <w:tcW w:w="1050" w:type="pct"/>
            <w:gridSpan w:val="2"/>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综合整治</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0.0</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1050" w:type="pct"/>
            <w:gridSpan w:val="2"/>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各县均无综合整治项目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9</w:t>
            </w:r>
          </w:p>
        </w:tc>
        <w:tc>
          <w:tcPr>
            <w:tcW w:w="1050" w:type="pct"/>
            <w:gridSpan w:val="2"/>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完善技术支撑网络体系</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991.4</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198.28</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198.28</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198.28</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198.28</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198.28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1050" w:type="pct"/>
            <w:gridSpan w:val="2"/>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县（区）年度经费</w:t>
            </w:r>
            <w:r>
              <w:rPr>
                <w:rFonts w:hAnsi="宋体" w:cs="宋体"/>
                <w:kern w:val="0"/>
                <w:sz w:val="21"/>
              </w:rPr>
              <w:t>35.4</w:t>
            </w:r>
            <w:r>
              <w:rPr>
                <w:rFonts w:hint="eastAsia" w:hAnsi="宋体" w:cs="宋体"/>
                <w:kern w:val="0"/>
                <w:sz w:val="21"/>
              </w:rPr>
              <w:t>万元/年。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10</w:t>
            </w:r>
          </w:p>
        </w:tc>
        <w:tc>
          <w:tcPr>
            <w:tcW w:w="1050" w:type="pct"/>
            <w:gridSpan w:val="2"/>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地质灾害防治宣教与演练</w:t>
            </w:r>
          </w:p>
        </w:tc>
        <w:tc>
          <w:tcPr>
            <w:tcW w:w="489" w:type="pct"/>
            <w:vMerge w:val="restar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sz w:val="21"/>
              </w:rPr>
            </w:pPr>
            <w:r>
              <w:rPr>
                <w:rFonts w:hint="eastAsia" w:hAnsi="宋体" w:cs="宋体"/>
                <w:kern w:val="0"/>
                <w:sz w:val="21"/>
              </w:rPr>
              <w:t>700</w:t>
            </w:r>
          </w:p>
        </w:tc>
        <w:tc>
          <w:tcPr>
            <w:tcW w:w="686"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140</w:t>
            </w:r>
          </w:p>
        </w:tc>
        <w:tc>
          <w:tcPr>
            <w:tcW w:w="715" w:type="pct"/>
            <w:gridSpan w:val="2"/>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140</w:t>
            </w:r>
          </w:p>
        </w:tc>
        <w:tc>
          <w:tcPr>
            <w:tcW w:w="573"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140</w:t>
            </w:r>
          </w:p>
        </w:tc>
        <w:tc>
          <w:tcPr>
            <w:tcW w:w="644"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140</w:t>
            </w:r>
          </w:p>
        </w:tc>
        <w:tc>
          <w:tcPr>
            <w:tcW w:w="565"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kern w:val="0"/>
                <w:sz w:val="21"/>
              </w:rPr>
            </w:pPr>
            <w:r>
              <w:rPr>
                <w:rFonts w:hint="eastAsia" w:hAnsi="宋体" w:cs="宋体"/>
                <w:kern w:val="0"/>
                <w:sz w:val="21"/>
              </w:rPr>
              <w:t>140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78" w:type="pct"/>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1050" w:type="pct"/>
            <w:gridSpan w:val="2"/>
            <w:vMerge w:val="continue"/>
            <w:tcMar>
              <w:top w:w="15" w:type="dxa"/>
              <w:left w:w="15" w:type="dxa"/>
              <w:right w:w="15" w:type="dxa"/>
            </w:tcMar>
            <w:vAlign w:val="center"/>
          </w:tcPr>
          <w:p>
            <w:pPr>
              <w:widowControl/>
              <w:adjustRightInd w:val="0"/>
              <w:snapToGrid w:val="0"/>
              <w:spacing w:line="240" w:lineRule="auto"/>
              <w:ind w:firstLine="0" w:firstLineChars="0"/>
              <w:rPr>
                <w:rFonts w:hAnsi="宋体" w:cs="宋体"/>
                <w:sz w:val="21"/>
              </w:rPr>
            </w:pPr>
          </w:p>
        </w:tc>
        <w:tc>
          <w:tcPr>
            <w:tcW w:w="489" w:type="pct"/>
            <w:vMerge w:val="continue"/>
            <w:tcMar>
              <w:top w:w="15" w:type="dxa"/>
              <w:left w:w="15" w:type="dxa"/>
              <w:right w:w="15" w:type="dxa"/>
            </w:tcMar>
            <w:vAlign w:val="center"/>
          </w:tcPr>
          <w:p>
            <w:pPr>
              <w:widowControl/>
              <w:adjustRightInd w:val="0"/>
              <w:snapToGrid w:val="0"/>
              <w:spacing w:line="240" w:lineRule="auto"/>
              <w:ind w:firstLine="0" w:firstLineChars="0"/>
              <w:jc w:val="center"/>
              <w:rPr>
                <w:rFonts w:hAnsi="宋体" w:cs="宋体"/>
                <w:sz w:val="21"/>
              </w:rPr>
            </w:pP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jc w:val="left"/>
              <w:textAlignment w:val="center"/>
              <w:rPr>
                <w:rFonts w:hAnsi="宋体" w:cs="宋体"/>
                <w:kern w:val="0"/>
                <w:sz w:val="21"/>
              </w:rPr>
            </w:pPr>
            <w:r>
              <w:rPr>
                <w:rFonts w:hint="eastAsia" w:hAnsi="宋体" w:cs="宋体"/>
                <w:kern w:val="0"/>
                <w:sz w:val="21"/>
              </w:rPr>
              <w:t>视各县（市）情况差异，年度经费按25-30万元/年匡算。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1327" w:type="pct"/>
            <w:gridSpan w:val="3"/>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kern w:val="0"/>
                <w:sz w:val="21"/>
              </w:rPr>
              <w:t>合计</w:t>
            </w:r>
          </w:p>
        </w:tc>
        <w:tc>
          <w:tcPr>
            <w:tcW w:w="489" w:type="pct"/>
            <w:tcMar>
              <w:top w:w="15" w:type="dxa"/>
              <w:left w:w="15" w:type="dxa"/>
              <w:right w:w="15" w:type="dxa"/>
            </w:tcMar>
            <w:vAlign w:val="center"/>
          </w:tcPr>
          <w:p>
            <w:pPr>
              <w:widowControl/>
              <w:adjustRightInd w:val="0"/>
              <w:snapToGrid w:val="0"/>
              <w:spacing w:line="240" w:lineRule="auto"/>
              <w:ind w:firstLine="0" w:firstLineChars="0"/>
              <w:jc w:val="center"/>
              <w:textAlignment w:val="center"/>
              <w:rPr>
                <w:rFonts w:hAnsi="宋体" w:cs="宋体"/>
                <w:b/>
                <w:sz w:val="21"/>
              </w:rPr>
            </w:pPr>
            <w:r>
              <w:rPr>
                <w:rFonts w:hint="eastAsia" w:hAnsi="宋体" w:cs="宋体"/>
                <w:b/>
                <w:sz w:val="21"/>
              </w:rPr>
              <w:t>30546.4</w:t>
            </w:r>
          </w:p>
        </w:tc>
        <w:tc>
          <w:tcPr>
            <w:tcW w:w="3184" w:type="pct"/>
            <w:gridSpan w:val="6"/>
            <w:tcMar>
              <w:top w:w="15" w:type="dxa"/>
              <w:left w:w="15" w:type="dxa"/>
              <w:right w:w="15" w:type="dxa"/>
            </w:tcMar>
            <w:vAlign w:val="center"/>
          </w:tcPr>
          <w:p>
            <w:pPr>
              <w:widowControl/>
              <w:adjustRightInd w:val="0"/>
              <w:snapToGrid w:val="0"/>
              <w:spacing w:line="240" w:lineRule="auto"/>
              <w:ind w:firstLine="0" w:firstLineChars="0"/>
              <w:textAlignment w:val="center"/>
              <w:rPr>
                <w:rFonts w:hAnsi="宋体" w:cs="宋体"/>
                <w:b/>
                <w:sz w:val="21"/>
              </w:rPr>
            </w:pPr>
            <w:r>
              <w:rPr>
                <w:rFonts w:hint="eastAsia" w:hAnsi="宋体" w:cs="宋体"/>
                <w:b/>
                <w:kern w:val="0"/>
                <w:sz w:val="21"/>
              </w:rPr>
              <w:t>各级发展改革、工信、住建、交通运输、农业农村、水务、 文化旅游、能源等部门和领域工程建设或运营过程中，引发或可能遭受的地质灾害防治及费用投入，由各责任主体负责，不在本次规划费用匡算内。</w:t>
            </w:r>
          </w:p>
        </w:tc>
      </w:tr>
    </w:tbl>
    <w:p>
      <w:pPr>
        <w:ind w:firstLine="560"/>
      </w:pPr>
      <w:r>
        <w:rPr>
          <w:rFonts w:hint="eastAsia"/>
        </w:rPr>
        <w:t>④</w:t>
      </w:r>
      <w:r>
        <w:t>自然因素造成的地质灾害防治经费和地质灾害防治主管部门经常性工作费用，列入县人民政府财政计划；因工程建设、采矿等人为活动诱发的地质灾害治理费用，按照谁引发谁治理的原则，由责任单位或责任人承担。</w:t>
      </w:r>
    </w:p>
    <w:p>
      <w:pPr>
        <w:ind w:firstLine="560"/>
      </w:pPr>
      <w:r>
        <w:rPr>
          <w:rFonts w:hint="eastAsia"/>
        </w:rPr>
        <w:t>⑤</w:t>
      </w:r>
      <w:r>
        <w:t>鼓励社会资金参与地质灾害防治、矿山地质环境恢复等工程项目，按出资比例享受治理成果。</w:t>
      </w:r>
    </w:p>
    <w:p>
      <w:pPr>
        <w:ind w:firstLine="560"/>
      </w:pPr>
      <w:r>
        <w:rPr>
          <w:rFonts w:hint="eastAsia"/>
        </w:rPr>
        <w:t>德宏州各项规划财政事权及支出责任如下（各级财政支出明细见下表5-3）：</w:t>
      </w:r>
    </w:p>
    <w:p>
      <w:pPr>
        <w:ind w:firstLine="560"/>
      </w:pPr>
      <w:r>
        <w:rPr>
          <w:rFonts w:hint="eastAsia"/>
        </w:rPr>
        <w:t>（1）调查评价</w:t>
      </w:r>
    </w:p>
    <w:p>
      <w:pPr>
        <w:ind w:firstLine="560"/>
      </w:pPr>
      <w:r>
        <w:rPr>
          <w:rFonts w:hint="eastAsia"/>
        </w:rPr>
        <w:t>①地质灾害隐患巡查排查、应急调查工作</w:t>
      </w:r>
      <w:bookmarkStart w:id="135" w:name="_GoBack"/>
      <w:bookmarkEnd w:id="135"/>
      <w:r>
        <w:rPr>
          <w:rFonts w:hint="eastAsia"/>
        </w:rPr>
        <w:t>属驻县联乡工作范畴，经费来源于省、州两级财政资金；</w:t>
      </w:r>
    </w:p>
    <w:p>
      <w:pPr>
        <w:ind w:firstLine="560"/>
      </w:pPr>
      <w:r>
        <w:rPr>
          <w:rFonts w:hint="eastAsia"/>
        </w:rPr>
        <w:t>②精细化调查和风险评价工作有省厅统一组织实施，经费由中央和省级财政安排，各分摊50%。</w:t>
      </w:r>
    </w:p>
    <w:p>
      <w:pPr>
        <w:ind w:firstLine="560"/>
      </w:pPr>
      <w:r>
        <w:rPr>
          <w:rFonts w:hint="eastAsia"/>
        </w:rPr>
        <w:t>（2）监测预警</w:t>
      </w:r>
    </w:p>
    <w:p>
      <w:pPr>
        <w:ind w:firstLine="560"/>
      </w:pPr>
      <w:r>
        <w:rPr>
          <w:rFonts w:hint="eastAsia"/>
        </w:rPr>
        <w:t>①群测群防工作资金由省、州、县（市）三级财政专项资金保障，分摊比例为50%、25%、25%；</w:t>
      </w:r>
    </w:p>
    <w:p>
      <w:pPr>
        <w:ind w:firstLine="560"/>
      </w:pPr>
      <w:r>
        <w:rPr>
          <w:rFonts w:hint="eastAsia"/>
        </w:rPr>
        <w:t>②普适型监测工程建设资金由中央财政专项资金全额保障，后期运行维护资金由中央和省财政共同承担，各分摊50%；</w:t>
      </w:r>
    </w:p>
    <w:p>
      <w:pPr>
        <w:ind w:firstLine="560"/>
      </w:pPr>
      <w:r>
        <w:rPr>
          <w:rFonts w:hint="eastAsia"/>
        </w:rPr>
        <w:t>③气象风险预警工程由州、县（市）各级财政资金保障各级预警工程；</w:t>
      </w:r>
    </w:p>
    <w:p>
      <w:pPr>
        <w:ind w:firstLine="560"/>
      </w:pPr>
      <w:r>
        <w:rPr>
          <w:rFonts w:hint="eastAsia"/>
        </w:rPr>
        <w:t>④隐患点和风险区“双控”实施资金来源于中央及省级财政专项资金，各分摊50%。</w:t>
      </w:r>
    </w:p>
    <w:p>
      <w:pPr>
        <w:ind w:firstLine="560"/>
      </w:pPr>
      <w:r>
        <w:rPr>
          <w:rFonts w:hint="eastAsia"/>
        </w:rPr>
        <w:t>（3）工程治理</w:t>
      </w:r>
    </w:p>
    <w:p>
      <w:pPr>
        <w:ind w:firstLine="560"/>
      </w:pPr>
      <w:r>
        <w:rPr>
          <w:rFonts w:hint="eastAsia"/>
        </w:rPr>
        <w:t>①规划立项的大、中、小型地质灾害综合治理项目资金由省、州、县（市）三级财政专项资金共同承担，分摊比例为50%、25%、25%；</w:t>
      </w:r>
    </w:p>
    <w:p>
      <w:pPr>
        <w:ind w:firstLine="560"/>
      </w:pPr>
      <w:r>
        <w:rPr>
          <w:rFonts w:hint="eastAsia"/>
        </w:rPr>
        <w:t>②延续配套治理项目资金原则上按上述规划立项的项目等级进行财政事权层级和比例的划分，省级50%、州级25%、县级25%；</w:t>
      </w:r>
    </w:p>
    <w:p>
      <w:pPr>
        <w:ind w:firstLine="560"/>
      </w:pPr>
      <w:r>
        <w:rPr>
          <w:rFonts w:hint="eastAsia"/>
        </w:rPr>
        <w:t>③已建项目后期运行管护资金按省级50%、州级25%、县级25%的比例划分。</w:t>
      </w:r>
    </w:p>
    <w:p>
      <w:pPr>
        <w:ind w:firstLine="560"/>
      </w:pPr>
      <w:r>
        <w:rPr>
          <w:rFonts w:hint="eastAsia"/>
        </w:rPr>
        <w:t>④突发性地质灾害应急排险、抢险治理工程资金按省级50%、州级25%、县级25%的比例划分。</w:t>
      </w:r>
    </w:p>
    <w:p>
      <w:pPr>
        <w:ind w:firstLine="560"/>
      </w:pPr>
      <w:r>
        <w:rPr>
          <w:rFonts w:hint="eastAsia"/>
        </w:rPr>
        <w:t>（4）避险搬迁</w:t>
      </w:r>
    </w:p>
    <w:p>
      <w:pPr>
        <w:ind w:firstLine="560"/>
      </w:pPr>
      <w:r>
        <w:rPr>
          <w:rFonts w:hint="eastAsia"/>
        </w:rPr>
        <w:t>避险搬迁项目可整合乡村振兴等相关工程资金进行，属自然资源领域地质灾害防治财政事权资金由省、州、县（市）三级财政专项资金共同承担，分摊比例为50%、25%、25%。</w:t>
      </w:r>
    </w:p>
    <w:p>
      <w:pPr>
        <w:ind w:firstLine="560"/>
      </w:pPr>
      <w:r>
        <w:rPr>
          <w:rFonts w:hint="eastAsia"/>
        </w:rPr>
        <w:t>（5）完善技术支撑网络体系</w:t>
      </w:r>
    </w:p>
    <w:p>
      <w:pPr>
        <w:ind w:firstLine="560"/>
      </w:pPr>
      <w:r>
        <w:rPr>
          <w:rFonts w:hint="eastAsia"/>
        </w:rPr>
        <w:t>该项工程已在有序实施，按目前财政事权层级的划分，该项费用由省、州两级财政资金保障，具体按《云南省地质灾害防治技术支撑体系建设实施方案》实施。州级技术支撑费用由省级财政全额保障，县级技术支撑费用由省、州两级财政资金保障，各占比50%。</w:t>
      </w:r>
    </w:p>
    <w:p>
      <w:pPr>
        <w:ind w:firstLine="560"/>
      </w:pPr>
      <w:r>
        <w:rPr>
          <w:rFonts w:hint="eastAsia"/>
        </w:rPr>
        <w:t>（6）地质灾害防治宣教与演练</w:t>
      </w:r>
    </w:p>
    <w:p>
      <w:pPr>
        <w:ind w:firstLine="560"/>
      </w:pPr>
      <w:r>
        <w:rPr>
          <w:rFonts w:hint="eastAsia"/>
        </w:rPr>
        <w:t>地质灾害防治宣教与应急演练工作资金均为县级财政自筹。</w:t>
      </w:r>
    </w:p>
    <w:p>
      <w:pPr>
        <w:pStyle w:val="5"/>
      </w:pPr>
      <w:bookmarkStart w:id="104" w:name="_Toc88662560"/>
      <w:bookmarkStart w:id="105" w:name="_Toc88832993"/>
      <w:r>
        <w:rPr>
          <w:rFonts w:hint="eastAsia"/>
        </w:rPr>
        <w:t>2、资金构成及使用</w:t>
      </w:r>
      <w:bookmarkEnd w:id="104"/>
      <w:bookmarkEnd w:id="105"/>
    </w:p>
    <w:p>
      <w:pPr>
        <w:ind w:firstLine="560"/>
      </w:pPr>
      <w:r>
        <w:rPr>
          <w:rFonts w:hint="eastAsia"/>
        </w:rPr>
        <w:t>①资金模块的组成</w:t>
      </w:r>
    </w:p>
    <w:p>
      <w:pPr>
        <w:ind w:firstLine="560"/>
      </w:pPr>
      <w:r>
        <w:rPr>
          <w:rFonts w:hint="eastAsia"/>
          <w:lang w:eastAsia="zh-CN"/>
        </w:rPr>
        <w:t>“</w:t>
      </w:r>
      <w:r>
        <w:t>十四五</w:t>
      </w:r>
      <w:r>
        <w:rPr>
          <w:rFonts w:hint="eastAsia"/>
          <w:lang w:eastAsia="zh-CN"/>
        </w:rPr>
        <w:t>”</w:t>
      </w:r>
      <w:r>
        <w:t>期间，地质灾害防治资金将由三</w:t>
      </w:r>
      <w:r>
        <w:rPr>
          <w:rFonts w:hint="eastAsia"/>
        </w:rPr>
        <w:t>部分</w:t>
      </w:r>
      <w:r>
        <w:t>构成，第一</w:t>
      </w:r>
      <w:r>
        <w:rPr>
          <w:rFonts w:hint="eastAsia"/>
        </w:rPr>
        <w:t>部分</w:t>
      </w:r>
      <w:r>
        <w:t>是中央财政专项补助资金，第二</w:t>
      </w:r>
      <w:r>
        <w:rPr>
          <w:rFonts w:hint="eastAsia"/>
        </w:rPr>
        <w:t>部分</w:t>
      </w:r>
      <w:r>
        <w:t>是省级地质灾害防治专项资金，第三</w:t>
      </w:r>
      <w:r>
        <w:rPr>
          <w:rFonts w:hint="eastAsia"/>
        </w:rPr>
        <w:t>部分</w:t>
      </w:r>
      <w:r>
        <w:t>是市、县区的自筹资金。原本由切块资金支持的事项，现在全部转变为按照项目法申报专项资金，其列支渠道调整到省级专项与地方自筹资金中。</w:t>
      </w:r>
    </w:p>
    <w:p>
      <w:pPr>
        <w:ind w:firstLine="560"/>
      </w:pPr>
      <w:r>
        <w:rPr>
          <w:rFonts w:hint="eastAsia"/>
        </w:rPr>
        <w:t>②资金使用</w:t>
      </w:r>
    </w:p>
    <w:p>
      <w:pPr>
        <w:ind w:firstLine="560"/>
      </w:pPr>
      <w:r>
        <w:t>中央专项资金、省级专项资金由省级统筹使用，主要用于配套大型及以上地质灾害工程治理项目、补助中小型地质灾害工程治理项目、因地质灾害搬迁避让和本级负责的区域性基础性调查评价、支持地质灾害监测预警项目、能力建设、防治科研等。</w:t>
      </w:r>
    </w:p>
    <w:p>
      <w:pPr>
        <w:ind w:firstLine="560"/>
      </w:pPr>
    </w:p>
    <w:p>
      <w:pPr>
        <w:ind w:firstLine="0" w:firstLineChars="0"/>
        <w:jc w:val="center"/>
        <w:rPr>
          <w:b/>
          <w:sz w:val="24"/>
          <w:szCs w:val="24"/>
        </w:rPr>
      </w:pPr>
      <w:r>
        <w:rPr>
          <w:rFonts w:hint="eastAsia"/>
          <w:b/>
          <w:sz w:val="24"/>
          <w:szCs w:val="24"/>
        </w:rPr>
        <w:t>表5-3  德宏州地质灾害防治“十四五”规划期各级财政支出明细表</w:t>
      </w:r>
    </w:p>
    <w:tbl>
      <w:tblPr>
        <w:tblStyle w:val="36"/>
        <w:tblW w:w="9464"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566"/>
        <w:gridCol w:w="512"/>
        <w:gridCol w:w="703"/>
        <w:gridCol w:w="2025"/>
        <w:gridCol w:w="1270"/>
        <w:gridCol w:w="933"/>
        <w:gridCol w:w="1162"/>
        <w:gridCol w:w="1200"/>
        <w:gridCol w:w="1093"/>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078" w:type="dxa"/>
            <w:gridSpan w:val="2"/>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序号</w:t>
            </w:r>
          </w:p>
        </w:tc>
        <w:tc>
          <w:tcPr>
            <w:tcW w:w="2728" w:type="dxa"/>
            <w:gridSpan w:val="2"/>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规划措施</w:t>
            </w:r>
          </w:p>
        </w:tc>
        <w:tc>
          <w:tcPr>
            <w:tcW w:w="1270"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匡算经费（万元）</w:t>
            </w:r>
          </w:p>
        </w:tc>
        <w:tc>
          <w:tcPr>
            <w:tcW w:w="4388" w:type="dxa"/>
            <w:gridSpan w:val="4"/>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各级财政支出（万元）</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1078" w:type="dxa"/>
            <w:gridSpan w:val="2"/>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728" w:type="dxa"/>
            <w:gridSpan w:val="2"/>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270"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中央</w:t>
            </w: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省级</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州级</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县级（五县、市）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一</w:t>
            </w: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w:t>
            </w:r>
          </w:p>
        </w:tc>
        <w:tc>
          <w:tcPr>
            <w:tcW w:w="703"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调查评价</w:t>
            </w: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巡查排查</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不再单独计列费用</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w:t>
            </w:r>
          </w:p>
        </w:tc>
        <w:tc>
          <w:tcPr>
            <w:tcW w:w="703"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精细化调查和风险评价</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1830</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915</w:t>
            </w: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915</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二</w:t>
            </w: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w:t>
            </w:r>
          </w:p>
        </w:tc>
        <w:tc>
          <w:tcPr>
            <w:tcW w:w="703"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监测预警</w:t>
            </w: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群测群防</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1597</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798.5</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399.25</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399.25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w:t>
            </w:r>
          </w:p>
        </w:tc>
        <w:tc>
          <w:tcPr>
            <w:tcW w:w="703"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普适型监测工程建设</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5302</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5302</w:t>
            </w: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703"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监测工程后期维护</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1179</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589.5</w:t>
            </w: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589.5</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w:t>
            </w:r>
          </w:p>
        </w:tc>
        <w:tc>
          <w:tcPr>
            <w:tcW w:w="703"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气象风险预警</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175</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50</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125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w:t>
            </w:r>
          </w:p>
        </w:tc>
        <w:tc>
          <w:tcPr>
            <w:tcW w:w="703"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隐患点和风险区“双控”</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885</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442.5</w:t>
            </w: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442.5</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三</w:t>
            </w: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w:t>
            </w:r>
          </w:p>
        </w:tc>
        <w:tc>
          <w:tcPr>
            <w:tcW w:w="703" w:type="dxa"/>
            <w:vMerge w:val="restart"/>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工程治理</w:t>
            </w: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规划立项工程治理项目</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12577</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6288.5</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1257.7</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1257.7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w:t>
            </w:r>
          </w:p>
        </w:tc>
        <w:tc>
          <w:tcPr>
            <w:tcW w:w="703"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延续配套治理项目</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284</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142</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71</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w:t>
            </w:r>
          </w:p>
        </w:tc>
        <w:tc>
          <w:tcPr>
            <w:tcW w:w="703"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已建治理工程运行管护</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1200</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600</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300</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w:t>
            </w:r>
          </w:p>
        </w:tc>
        <w:tc>
          <w:tcPr>
            <w:tcW w:w="703" w:type="dxa"/>
            <w:vMerge w:val="continue"/>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025"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突发性应急治理工程</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1150</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575</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287.5</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287.5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四</w:t>
            </w: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728" w:type="dxa"/>
            <w:gridSpan w:val="2"/>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避险搬迁</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2676</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1338</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669</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669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五</w:t>
            </w: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728" w:type="dxa"/>
            <w:gridSpan w:val="2"/>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完善技术支撑网络体系</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991.4</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548.325</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443.075</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566"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六</w:t>
            </w:r>
          </w:p>
        </w:tc>
        <w:tc>
          <w:tcPr>
            <w:tcW w:w="512"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2728" w:type="dxa"/>
            <w:gridSpan w:val="2"/>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地质灾害防治宣教与演练</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700</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7" w:hRule="atLeast"/>
          <w:jc w:val="center"/>
        </w:trPr>
        <w:tc>
          <w:tcPr>
            <w:tcW w:w="3806" w:type="dxa"/>
            <w:gridSpan w:val="4"/>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合计</w:t>
            </w:r>
          </w:p>
        </w:tc>
        <w:tc>
          <w:tcPr>
            <w:tcW w:w="127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30546.4</w:t>
            </w:r>
          </w:p>
        </w:tc>
        <w:tc>
          <w:tcPr>
            <w:tcW w:w="93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7249</w:t>
            </w:r>
          </w:p>
        </w:tc>
        <w:tc>
          <w:tcPr>
            <w:tcW w:w="1162"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12237.325</w:t>
            </w:r>
          </w:p>
        </w:tc>
        <w:tc>
          <w:tcPr>
            <w:tcW w:w="1200"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3477.525</w:t>
            </w:r>
          </w:p>
        </w:tc>
        <w:tc>
          <w:tcPr>
            <w:tcW w:w="1093" w:type="dxa"/>
            <w:vAlign w:val="center"/>
          </w:tcPr>
          <w:p>
            <w:pPr>
              <w:adjustRightInd w:val="0"/>
              <w:snapToGrid w:val="0"/>
              <w:spacing w:line="240" w:lineRule="auto"/>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3809.45</w:t>
            </w:r>
          </w:p>
        </w:tc>
      </w:tr>
    </w:tbl>
    <w:p>
      <w:pPr>
        <w:ind w:firstLine="0" w:firstLineChars="0"/>
        <w:jc w:val="center"/>
        <w:rPr>
          <w:b/>
          <w:sz w:val="24"/>
          <w:szCs w:val="24"/>
        </w:rPr>
      </w:pPr>
    </w:p>
    <w:p>
      <w:pPr>
        <w:ind w:firstLine="560"/>
      </w:pPr>
    </w:p>
    <w:p>
      <w:pPr>
        <w:ind w:firstLine="560"/>
        <w:sectPr>
          <w:pgSz w:w="11907" w:h="16840"/>
          <w:pgMar w:top="1134" w:right="1134" w:bottom="1134" w:left="1418" w:header="851" w:footer="992" w:gutter="0"/>
          <w:cols w:space="425" w:num="1"/>
          <w:docGrid w:linePitch="312" w:charSpace="0"/>
        </w:sectPr>
      </w:pPr>
    </w:p>
    <w:p>
      <w:pPr>
        <w:pStyle w:val="3"/>
      </w:pPr>
      <w:bookmarkStart w:id="106" w:name="_Toc88832994"/>
      <w:bookmarkStart w:id="107" w:name="_Toc88662561"/>
      <w:r>
        <w:rPr>
          <w:rFonts w:hint="eastAsia"/>
        </w:rPr>
        <w:t>六、防治效益</w:t>
      </w:r>
      <w:bookmarkEnd w:id="106"/>
      <w:bookmarkEnd w:id="107"/>
    </w:p>
    <w:p>
      <w:pPr>
        <w:pStyle w:val="4"/>
        <w:spacing w:before="240" w:after="120"/>
      </w:pPr>
      <w:bookmarkStart w:id="108" w:name="_Toc88832995"/>
      <w:bookmarkStart w:id="109" w:name="_Toc88662562"/>
      <w:r>
        <w:rPr>
          <w:rFonts w:hint="eastAsia"/>
        </w:rPr>
        <w:t>（一）社会效益</w:t>
      </w:r>
      <w:bookmarkEnd w:id="108"/>
      <w:bookmarkEnd w:id="109"/>
    </w:p>
    <w:p>
      <w:pPr>
        <w:ind w:firstLine="560"/>
      </w:pPr>
      <w:r>
        <w:rPr>
          <w:rFonts w:hint="eastAsia"/>
        </w:rPr>
        <w:t>《规划》的实施，可不断强化全民识灾、防灾、减灾、避灾的意识与自救、互救能力，通过工程治理和搬迁避让并减缓和消除部分地质灾害威胁和危害，从主观和客观上均能有效保障隐患点和风险区群众的生命安全和重要财产安全，为全州社会和谐、经济社会发展、</w:t>
      </w:r>
      <w:r>
        <w:rPr>
          <w:rFonts w:hint="eastAsia"/>
          <w:lang w:eastAsia="zh-CN"/>
        </w:rPr>
        <w:t>民族</w:t>
      </w:r>
      <w:r>
        <w:rPr>
          <w:rFonts w:hint="eastAsia"/>
        </w:rPr>
        <w:t>团结奋进提供地质安全保障；也进一步体现了党和各级政府“执政为民”、“人民至上、生命至上”理念。</w:t>
      </w:r>
    </w:p>
    <w:p>
      <w:pPr>
        <w:pStyle w:val="4"/>
        <w:spacing w:before="240" w:after="120"/>
      </w:pPr>
      <w:bookmarkStart w:id="110" w:name="_Toc88662563"/>
      <w:bookmarkStart w:id="111" w:name="_Toc88832996"/>
      <w:r>
        <w:rPr>
          <w:rFonts w:hint="eastAsia"/>
        </w:rPr>
        <w:t>（二）经济效益</w:t>
      </w:r>
      <w:bookmarkEnd w:id="110"/>
      <w:bookmarkEnd w:id="111"/>
    </w:p>
    <w:p>
      <w:pPr>
        <w:ind w:firstLine="560"/>
      </w:pPr>
      <w:r>
        <w:rPr>
          <w:rFonts w:hint="eastAsia"/>
        </w:rPr>
        <w:t>《规划》实施后，至2025年底，通过30546.4万元防治资金的投入，可有效保护122728人的生命财产完全，避免直接经济损失约369675万元，其投保比较为可观。通过工程治理，还可</w:t>
      </w:r>
      <w:r>
        <w:rPr>
          <w:rFonts w:hint="eastAsia" w:hAnsi="宋体"/>
        </w:rPr>
        <w:t>控制住危害性大的、破坏严重的地质灾害隐患点</w:t>
      </w:r>
      <w:r>
        <w:rPr>
          <w:rFonts w:hAnsi="宋体"/>
        </w:rPr>
        <w:t>，</w:t>
      </w:r>
      <w:r>
        <w:rPr>
          <w:rFonts w:hint="eastAsia" w:hAnsi="宋体"/>
        </w:rPr>
        <w:t>避免</w:t>
      </w:r>
      <w:r>
        <w:rPr>
          <w:rFonts w:hAnsi="宋体"/>
        </w:rPr>
        <w:t>地质灾害带来</w:t>
      </w:r>
      <w:r>
        <w:rPr>
          <w:rFonts w:hint="eastAsia" w:hAnsi="宋体"/>
        </w:rPr>
        <w:t>不良</w:t>
      </w:r>
      <w:r>
        <w:rPr>
          <w:rFonts w:hAnsi="宋体"/>
        </w:rPr>
        <w:t>影响而造成间接经济损失</w:t>
      </w:r>
      <w:r>
        <w:rPr>
          <w:rFonts w:hint="eastAsia" w:hAnsi="宋体"/>
        </w:rPr>
        <w:t>，为居民的</w:t>
      </w:r>
      <w:r>
        <w:rPr>
          <w:rFonts w:hAnsi="宋体"/>
        </w:rPr>
        <w:t>安居乐业</w:t>
      </w:r>
      <w:r>
        <w:rPr>
          <w:rFonts w:hint="eastAsia" w:hAnsi="宋体"/>
        </w:rPr>
        <w:t>提供安全</w:t>
      </w:r>
      <w:r>
        <w:rPr>
          <w:rFonts w:hAnsi="宋体"/>
        </w:rPr>
        <w:t>保障</w:t>
      </w:r>
      <w:r>
        <w:rPr>
          <w:rFonts w:hint="eastAsia" w:hAnsi="宋体"/>
        </w:rPr>
        <w:t>，保证</w:t>
      </w:r>
      <w:r>
        <w:rPr>
          <w:rFonts w:hAnsi="宋体"/>
        </w:rPr>
        <w:t>当地的经济</w:t>
      </w:r>
      <w:r>
        <w:rPr>
          <w:rFonts w:hint="eastAsia" w:hAnsi="宋体"/>
        </w:rPr>
        <w:t>开发建设正常进行。</w:t>
      </w:r>
    </w:p>
    <w:p>
      <w:pPr>
        <w:pStyle w:val="4"/>
        <w:spacing w:before="240" w:after="120"/>
      </w:pPr>
      <w:bookmarkStart w:id="112" w:name="_Toc88662564"/>
      <w:bookmarkStart w:id="113" w:name="_Toc88832997"/>
      <w:r>
        <w:rPr>
          <w:rFonts w:hint="eastAsia"/>
        </w:rPr>
        <w:t>（三）生态环境效益</w:t>
      </w:r>
      <w:bookmarkEnd w:id="112"/>
      <w:bookmarkEnd w:id="113"/>
    </w:p>
    <w:p>
      <w:pPr>
        <w:ind w:firstLine="560"/>
      </w:pPr>
      <w:r>
        <w:rPr>
          <w:rFonts w:hint="eastAsia"/>
        </w:rPr>
        <w:t>地质灾害是一种自然的地质破坏现象，其发生除会对人民生命财产安全造成危害，同样会对自然生态环境造成破坏。实施工程治理，可对已发生的地质灾害区生态环境进行恢复治理，或防止地质灾害发生而产生破坏作用；实施搬迁避让，可减少人类活动对隐患点的影响，降低灾害发生的风险，或增加灾害发生后的自然恢复能力。总而言之，《规划》的实施，对生态环境具有积极的保护作用。</w:t>
      </w:r>
    </w:p>
    <w:p>
      <w:pPr>
        <w:ind w:firstLine="560"/>
        <w:sectPr>
          <w:pgSz w:w="11907" w:h="16840"/>
          <w:pgMar w:top="1134" w:right="1134" w:bottom="1134" w:left="1418" w:header="851" w:footer="992" w:gutter="0"/>
          <w:cols w:space="425" w:num="1"/>
          <w:docGrid w:linePitch="312" w:charSpace="0"/>
        </w:sectPr>
      </w:pPr>
    </w:p>
    <w:p>
      <w:pPr>
        <w:pStyle w:val="3"/>
        <w:spacing w:line="360" w:lineRule="auto"/>
      </w:pPr>
      <w:bookmarkStart w:id="114" w:name="_Toc88832998"/>
      <w:bookmarkStart w:id="115" w:name="_Toc88662565"/>
      <w:r>
        <w:rPr>
          <w:rFonts w:hint="eastAsia"/>
        </w:rPr>
        <w:t>七、保障措施</w:t>
      </w:r>
      <w:bookmarkEnd w:id="114"/>
      <w:bookmarkEnd w:id="115"/>
    </w:p>
    <w:p>
      <w:pPr>
        <w:ind w:firstLine="560"/>
      </w:pPr>
      <w:r>
        <w:rPr>
          <w:rFonts w:hint="eastAsia"/>
        </w:rPr>
        <w:t>地质灾害防治工作系统性强，涉及面广，组织、协调、管理难度大，仅仅依靠政府或主管部门是很难将地质灾害防治工作全面、高效地完成的，</w:t>
      </w:r>
      <w:r>
        <w:rPr>
          <w:szCs w:val="28"/>
        </w:rPr>
        <w:t>必须通过制度制约，从统一领导、加强协调，整合资源、部门联动，明确责任、严肃惩处，保证投入、追踪问责等方面加以保障，才能保证</w:t>
      </w:r>
      <w:r>
        <w:rPr>
          <w:rFonts w:hint="eastAsia"/>
          <w:szCs w:val="28"/>
        </w:rPr>
        <w:t>全州</w:t>
      </w:r>
      <w:r>
        <w:rPr>
          <w:szCs w:val="28"/>
        </w:rPr>
        <w:t>地质灾害防治规划顺利实施。</w:t>
      </w:r>
    </w:p>
    <w:p>
      <w:pPr>
        <w:pStyle w:val="4"/>
        <w:spacing w:before="240" w:after="120"/>
      </w:pPr>
      <w:bookmarkStart w:id="116" w:name="_Toc88662566"/>
      <w:bookmarkStart w:id="117" w:name="_Toc88832999"/>
      <w:r>
        <w:rPr>
          <w:rFonts w:hint="eastAsia"/>
        </w:rPr>
        <w:t>（一）完善法规体系</w:t>
      </w:r>
      <w:bookmarkEnd w:id="116"/>
      <w:bookmarkEnd w:id="117"/>
    </w:p>
    <w:p>
      <w:pPr>
        <w:ind w:firstLine="560"/>
        <w:rPr>
          <w:szCs w:val="28"/>
        </w:rPr>
      </w:pPr>
      <w:r>
        <w:rPr>
          <w:szCs w:val="28"/>
        </w:rPr>
        <w:t>进一步健全完善与《地质灾害防治条例》配套的相关地方性法规体系，尽快出台</w:t>
      </w:r>
      <w:r>
        <w:rPr>
          <w:rFonts w:hint="eastAsia"/>
          <w:szCs w:val="28"/>
        </w:rPr>
        <w:t>符合德宏州实际</w:t>
      </w:r>
      <w:r>
        <w:rPr>
          <w:szCs w:val="28"/>
        </w:rPr>
        <w:t>的地方专项管理规章、制度或实施细则，使地质灾害防治工作有法可依、有章可循。完善地质灾害调查、危险性评估、预警预报、防灾预案、灾情速报、应急反应、险情巡查、汛期值班、专项资金等各项制度，并严格监督执行，实现地质灾害防治法制化、规范化。</w:t>
      </w:r>
    </w:p>
    <w:p>
      <w:pPr>
        <w:pStyle w:val="4"/>
        <w:spacing w:before="240" w:after="120"/>
      </w:pPr>
      <w:bookmarkStart w:id="118" w:name="_Toc88833000"/>
      <w:bookmarkStart w:id="119" w:name="_Toc88662567"/>
      <w:r>
        <w:rPr>
          <w:rFonts w:hint="eastAsia"/>
        </w:rPr>
        <w:t>（二）统一领导、加强协调</w:t>
      </w:r>
      <w:bookmarkEnd w:id="118"/>
      <w:bookmarkEnd w:id="119"/>
    </w:p>
    <w:p>
      <w:pPr>
        <w:ind w:firstLine="560"/>
      </w:pPr>
      <w:r>
        <w:rPr>
          <w:rFonts w:hint="eastAsia"/>
        </w:rPr>
        <w:t>坚持自上而下的高效有序管理体系，德宏州州长为全州地质灾害防治工作的第一责任人，各县（市）县（市）长为各县（市）地质灾害防治工作的第一责任人，分管领导负具体责任。德宏州政府主导，州自然资源和规划局负责全州地质灾害防治工作的组织、协调、指导和监督；各县（市）人民政府主导，各县（市）自然资源局具体负责本县的地质灾害防治工作。各县之间加强经验交流和学习。</w:t>
      </w:r>
    </w:p>
    <w:p>
      <w:pPr>
        <w:ind w:firstLine="560"/>
        <w:rPr>
          <w:szCs w:val="28"/>
        </w:rPr>
      </w:pPr>
      <w:r>
        <w:rPr>
          <w:rFonts w:hint="eastAsia"/>
        </w:rPr>
        <w:t>德宏州自然资源和规划局国土空间生态修复科及各县（市）自然资源局国土空间修复股要加强队伍建设，根据工作增加</w:t>
      </w:r>
      <w:r>
        <w:rPr>
          <w:szCs w:val="28"/>
        </w:rPr>
        <w:t>人员配置，做到定人、定岗、定责，鼓励在岗人员开拓创新，认真落实各项方针、政策，切实做好地质灾害防治工作。</w:t>
      </w:r>
    </w:p>
    <w:p>
      <w:pPr>
        <w:pStyle w:val="4"/>
        <w:spacing w:before="240" w:after="120"/>
      </w:pPr>
      <w:bookmarkStart w:id="120" w:name="_Toc88662568"/>
      <w:bookmarkStart w:id="121" w:name="_Toc88833001"/>
      <w:r>
        <w:rPr>
          <w:rFonts w:hint="eastAsia"/>
        </w:rPr>
        <w:t>（三）整合资源、部门联动</w:t>
      </w:r>
      <w:bookmarkEnd w:id="120"/>
      <w:bookmarkEnd w:id="121"/>
    </w:p>
    <w:p>
      <w:pPr>
        <w:ind w:firstLine="560"/>
        <w:rPr>
          <w:szCs w:val="28"/>
        </w:rPr>
      </w:pPr>
      <w:r>
        <w:rPr>
          <w:rFonts w:hint="eastAsia"/>
          <w:szCs w:val="28"/>
        </w:rPr>
        <w:t>各级</w:t>
      </w:r>
      <w:r>
        <w:rPr>
          <w:szCs w:val="28"/>
        </w:rPr>
        <w:t>自然资源</w:t>
      </w:r>
      <w:r>
        <w:rPr>
          <w:rFonts w:hint="eastAsia"/>
          <w:szCs w:val="28"/>
        </w:rPr>
        <w:t>主管部门</w:t>
      </w:r>
      <w:r>
        <w:rPr>
          <w:szCs w:val="28"/>
        </w:rPr>
        <w:t>要与地质灾害防治专业队伍、科研机构、专家及相关专业院校建立良好稳定的合作关系，依靠专家和工程技术人员，大力提升芒市地质灾害防治科技水平。</w:t>
      </w:r>
    </w:p>
    <w:p>
      <w:pPr>
        <w:ind w:firstLine="560"/>
        <w:rPr>
          <w:szCs w:val="28"/>
        </w:rPr>
      </w:pPr>
      <w:r>
        <w:rPr>
          <w:szCs w:val="28"/>
        </w:rPr>
        <w:t>加强与水利、防震减灾、气象、广播电视和通信部门的沟通与联系，整合相关资金、资料和设备资源，确保地质灾害防治做到统筹兼顾、科学合理。</w:t>
      </w:r>
    </w:p>
    <w:p>
      <w:pPr>
        <w:ind w:firstLine="560"/>
        <w:rPr>
          <w:szCs w:val="28"/>
        </w:rPr>
      </w:pPr>
      <w:r>
        <w:rPr>
          <w:szCs w:val="28"/>
        </w:rPr>
        <w:t>发改、工信、水务、交运、住建、林草、教体、卫健、文旅等其他相关部门按照职责分工，组织指导本行业内单位和项目业主，切实做好地质灾害调查评估、监测预警、工程治理、搬迁避让等工作，不断加强行业内工程施工、生产经营的组织管理，有效减少人类工程活动对地质环境的影响。</w:t>
      </w:r>
    </w:p>
    <w:p>
      <w:pPr>
        <w:ind w:firstLine="560"/>
        <w:rPr>
          <w:szCs w:val="28"/>
        </w:rPr>
      </w:pPr>
      <w:r>
        <w:rPr>
          <w:szCs w:val="28"/>
        </w:rPr>
        <w:t>农村民居地表安全工程、新农村建设、土地开发整理、农业产业结构调整等项目，建设前与</w:t>
      </w:r>
      <w:r>
        <w:rPr>
          <w:rFonts w:hint="eastAsia"/>
          <w:szCs w:val="28"/>
        </w:rPr>
        <w:t>县（市）</w:t>
      </w:r>
      <w:r>
        <w:rPr>
          <w:szCs w:val="28"/>
        </w:rPr>
        <w:t>自然资源局协商，尽可能避免因工程建设引发新的地质灾害。</w:t>
      </w:r>
    </w:p>
    <w:p>
      <w:pPr>
        <w:pStyle w:val="4"/>
        <w:spacing w:before="240" w:after="120"/>
      </w:pPr>
      <w:bookmarkStart w:id="122" w:name="_Toc88833002"/>
      <w:bookmarkStart w:id="123" w:name="_Toc88662569"/>
      <w:r>
        <w:rPr>
          <w:rFonts w:hint="eastAsia"/>
        </w:rPr>
        <w:t>（四）保证投入、追踪问效</w:t>
      </w:r>
      <w:bookmarkEnd w:id="122"/>
      <w:bookmarkEnd w:id="123"/>
    </w:p>
    <w:p>
      <w:pPr>
        <w:ind w:firstLine="560"/>
        <w:rPr>
          <w:szCs w:val="28"/>
        </w:rPr>
      </w:pPr>
      <w:r>
        <w:rPr>
          <w:szCs w:val="28"/>
        </w:rPr>
        <w:t>严格按照《地质灾害防治条例》规定的“谁引发、谁治理”原则，对人为活动引发的地质灾害，由引发者出资治理；对于自然产生的或引发责任主体难以明确的地质灾害，坚持国家财政、地方财政共同出资，合理分担的原则，筹集治理资金。</w:t>
      </w:r>
    </w:p>
    <w:p>
      <w:pPr>
        <w:ind w:firstLine="560"/>
        <w:rPr>
          <w:szCs w:val="28"/>
        </w:rPr>
      </w:pPr>
      <w:r>
        <w:rPr>
          <w:rFonts w:hint="eastAsia"/>
          <w:szCs w:val="28"/>
        </w:rPr>
        <w:t>德宏州及各县（市）</w:t>
      </w:r>
      <w:r>
        <w:rPr>
          <w:szCs w:val="28"/>
        </w:rPr>
        <w:t>人民政府</w:t>
      </w:r>
      <w:r>
        <w:rPr>
          <w:rFonts w:hint="eastAsia"/>
          <w:szCs w:val="28"/>
        </w:rPr>
        <w:t>应根据各级财政事权层级划分及分担比例，</w:t>
      </w:r>
      <w:r>
        <w:rPr>
          <w:szCs w:val="28"/>
        </w:rPr>
        <w:t>把辖区地质灾害防治工作</w:t>
      </w:r>
      <w:r>
        <w:rPr>
          <w:rFonts w:hint="eastAsia"/>
          <w:szCs w:val="28"/>
        </w:rPr>
        <w:t>专项</w:t>
      </w:r>
      <w:r>
        <w:rPr>
          <w:szCs w:val="28"/>
        </w:rPr>
        <w:t>经费纳入地方经济与社会发展计划和财政预算，</w:t>
      </w:r>
      <w:r>
        <w:rPr>
          <w:rFonts w:hint="eastAsia"/>
          <w:szCs w:val="28"/>
        </w:rPr>
        <w:t>积极筹措</w:t>
      </w:r>
      <w:r>
        <w:rPr>
          <w:szCs w:val="28"/>
        </w:rPr>
        <w:t>地质灾害防治专项资金</w:t>
      </w:r>
      <w:r>
        <w:rPr>
          <w:rFonts w:hint="eastAsia"/>
          <w:szCs w:val="28"/>
        </w:rPr>
        <w:t>，并</w:t>
      </w:r>
      <w:r>
        <w:rPr>
          <w:szCs w:val="28"/>
        </w:rPr>
        <w:t>建立</w:t>
      </w:r>
      <w:r>
        <w:rPr>
          <w:rFonts w:hint="eastAsia"/>
          <w:szCs w:val="28"/>
        </w:rPr>
        <w:t>专</w:t>
      </w:r>
      <w:r>
        <w:rPr>
          <w:szCs w:val="28"/>
        </w:rPr>
        <w:t>户，确保防治资金专款专用。全社会参与监督管理，保证地质灾害防治工作有条不紊</w:t>
      </w:r>
      <w:r>
        <w:rPr>
          <w:rFonts w:hint="eastAsia"/>
          <w:szCs w:val="28"/>
          <w:lang w:val="en-US" w:eastAsia="zh-CN"/>
        </w:rPr>
        <w:t>地</w:t>
      </w:r>
      <w:r>
        <w:rPr>
          <w:szCs w:val="28"/>
        </w:rPr>
        <w:t>进行，对松懈怠慢行为追究相关领导责任，情节严重者交司法机关处理。</w:t>
      </w:r>
    </w:p>
    <w:p>
      <w:pPr>
        <w:pStyle w:val="4"/>
        <w:spacing w:before="240" w:after="120"/>
        <w:rPr>
          <w:kern w:val="0"/>
        </w:rPr>
      </w:pPr>
      <w:bookmarkStart w:id="124" w:name="_Toc88662570"/>
      <w:bookmarkStart w:id="125" w:name="_Toc88833003"/>
      <w:r>
        <w:rPr>
          <w:rFonts w:hint="eastAsia"/>
        </w:rPr>
        <w:t>（五）</w:t>
      </w:r>
      <w:r>
        <w:rPr>
          <w:rFonts w:hint="eastAsia"/>
          <w:kern w:val="0"/>
        </w:rPr>
        <w:t>加强技术保障</w:t>
      </w:r>
      <w:bookmarkEnd w:id="124"/>
      <w:bookmarkEnd w:id="125"/>
    </w:p>
    <w:p>
      <w:pPr>
        <w:ind w:firstLine="560"/>
      </w:pPr>
      <w:r>
        <w:rPr>
          <w:rFonts w:hint="eastAsia"/>
        </w:rPr>
        <w:t>1、地质灾害调查评价、监测预警、工程治理、避险搬迁等项目的实施，离不开具有相关资质的技术单位的支持，各项（类）工作在委托资质单位时应充分考虑资质单位在地质灾害防治方面的综合技术能力、地方工作经验、同类项目业绩、行业信用等，合理选择合作队伍是确保各类项目按时、按质完成的前提。</w:t>
      </w:r>
    </w:p>
    <w:p>
      <w:pPr>
        <w:ind w:firstLine="560"/>
      </w:pPr>
      <w:r>
        <w:rPr>
          <w:rFonts w:hint="eastAsia"/>
        </w:rPr>
        <w:t>2、严格执行相关项目的相关审批手续，对于须进行地质灾害危险性评估的项目必须由相关资质单位完成评估工作，对于需事前规划的项目，相关部门须加强对规划及后期工程建设实施的监管，以尽量减少建设工程遭受、诱发或加剧地质灾害的风险。</w:t>
      </w:r>
    </w:p>
    <w:p>
      <w:pPr>
        <w:ind w:firstLine="560"/>
      </w:pPr>
      <w:r>
        <w:rPr>
          <w:rFonts w:hint="eastAsia"/>
        </w:rPr>
        <w:t>3、德宏州及各县（市）自然资源局在条件允许的情况下，可优先引进具备地质灾害防治工作专业技术和经验的人才，增强强州、县地质灾害防治队伍的技术能力和专业素质，为全州地质灾害防治工作提供更有力的技术保障。</w:t>
      </w:r>
    </w:p>
    <w:p>
      <w:pPr>
        <w:ind w:firstLine="560"/>
        <w:rPr>
          <w:szCs w:val="28"/>
        </w:rPr>
      </w:pPr>
      <w:r>
        <w:rPr>
          <w:rFonts w:hint="eastAsia"/>
        </w:rPr>
        <w:t>4、加强与技术单位的合作，将科技创新作为推动地质灾害防治工作更好更快发展的新动力，</w:t>
      </w:r>
      <w:r>
        <w:rPr>
          <w:rFonts w:hint="eastAsia"/>
          <w:szCs w:val="28"/>
        </w:rPr>
        <w:t>建立知识创新和技术创新紧密结合科技创新体系。逐步将地质灾害调查、预报、监测以及防治的新理论、新技术、新方法、新设备引用到实际工作中，应用现代科学技术和手段，作为提高地质灾害防治水平的动力。</w:t>
      </w:r>
    </w:p>
    <w:p>
      <w:pPr>
        <w:pStyle w:val="4"/>
        <w:spacing w:before="240" w:after="120"/>
      </w:pPr>
      <w:bookmarkStart w:id="126" w:name="_Toc88833004"/>
      <w:bookmarkStart w:id="127" w:name="_Toc88662571"/>
      <w:r>
        <w:rPr>
          <w:rFonts w:hint="eastAsia"/>
        </w:rPr>
        <w:t>（六）加强宣传教育</w:t>
      </w:r>
      <w:bookmarkEnd w:id="126"/>
      <w:bookmarkEnd w:id="127"/>
    </w:p>
    <w:p>
      <w:pPr>
        <w:ind w:firstLine="560"/>
      </w:pPr>
      <w:r>
        <w:rPr>
          <w:rFonts w:hint="eastAsia"/>
        </w:rPr>
        <w:t>地质灾害防治宣传教育工作已有序、有组织的开展了多年，对县、乡及监测员的培训教育已取得很好的效果，但是，由于宣教形式的单一和呆板，容易让部分人产生一种“走过场”的形式化心态。德宏州作为少数民族自治州，在山区，群众交流基本以少数民族语言为主，基层的宣传教育工作应突破乡、村、组各级，培养一批能在普通群众，特别是受威胁群众间产生良好宣讲、示范作用的带头人，他们能用当地的民族语言与大众通畅地交流，同时可在地方电视台采用公益广告的形式向广大群众宣传。</w:t>
      </w:r>
      <w:bookmarkStart w:id="128" w:name="_Toc88662572"/>
      <w:bookmarkStart w:id="129" w:name="_Toc78278230"/>
      <w:bookmarkStart w:id="130" w:name="_Toc77834670"/>
      <w:bookmarkStart w:id="131" w:name="_Toc303782733"/>
      <w:bookmarkStart w:id="132" w:name="_Toc20740"/>
      <w:bookmarkStart w:id="133" w:name="_Toc18399"/>
    </w:p>
    <w:p>
      <w:pPr>
        <w:ind w:firstLine="560"/>
      </w:pPr>
    </w:p>
    <w:p>
      <w:pPr>
        <w:ind w:firstLine="560"/>
      </w:pPr>
    </w:p>
    <w:p>
      <w:pPr>
        <w:ind w:firstLine="560"/>
      </w:pPr>
    </w:p>
    <w:p>
      <w:pPr>
        <w:ind w:firstLine="560"/>
      </w:pPr>
    </w:p>
    <w:p>
      <w:pPr>
        <w:ind w:firstLine="560"/>
      </w:pPr>
    </w:p>
    <w:p>
      <w:pPr>
        <w:ind w:firstLine="560"/>
      </w:pPr>
    </w:p>
    <w:p>
      <w:pPr>
        <w:ind w:firstLine="560"/>
      </w:pPr>
    </w:p>
    <w:p>
      <w:pPr>
        <w:ind w:firstLine="560"/>
      </w:pPr>
    </w:p>
    <w:p>
      <w:pPr>
        <w:pStyle w:val="3"/>
        <w:spacing w:line="360" w:lineRule="auto"/>
      </w:pPr>
      <w:bookmarkStart w:id="134" w:name="_Toc88833005"/>
      <w:r>
        <w:t>附  则</w:t>
      </w:r>
      <w:bookmarkEnd w:id="128"/>
      <w:bookmarkEnd w:id="129"/>
      <w:bookmarkEnd w:id="130"/>
      <w:bookmarkEnd w:id="131"/>
      <w:bookmarkEnd w:id="132"/>
      <w:bookmarkEnd w:id="133"/>
      <w:bookmarkEnd w:id="134"/>
    </w:p>
    <w:p>
      <w:pPr>
        <w:ind w:firstLine="560"/>
      </w:pPr>
      <w:r>
        <w:t>本《规划》经</w:t>
      </w:r>
      <w:r>
        <w:rPr>
          <w:rFonts w:hint="eastAsia"/>
        </w:rPr>
        <w:t>德宏州</w:t>
      </w:r>
      <w:r>
        <w:t>人民政府批准后颁布实施。</w:t>
      </w:r>
    </w:p>
    <w:p>
      <w:pPr>
        <w:ind w:firstLine="560"/>
      </w:pPr>
      <w:r>
        <w:t>本《规划》由</w:t>
      </w:r>
      <w:r>
        <w:rPr>
          <w:rFonts w:hint="eastAsia"/>
        </w:rPr>
        <w:t>德宏州</w:t>
      </w:r>
      <w:r>
        <w:t>人民政府负责解释。</w:t>
      </w:r>
    </w:p>
    <w:p>
      <w:pPr>
        <w:ind w:firstLine="560"/>
      </w:pPr>
    </w:p>
    <w:p>
      <w:pPr>
        <w:ind w:firstLine="560"/>
      </w:pPr>
    </w:p>
    <w:p>
      <w:pPr>
        <w:pStyle w:val="3"/>
        <w:spacing w:line="360" w:lineRule="auto"/>
      </w:pPr>
    </w:p>
    <w:sectPr>
      <w:pgSz w:w="11907" w:h="16840"/>
      <w:pgMar w:top="1134" w:right="1134" w:bottom="1134" w:left="1418" w:header="851" w:footer="992" w:gutter="0"/>
      <w:cols w:space="425"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楷体简体">
    <w:altName w:val="宋体"/>
    <w:panose1 w:val="00000000000000000000"/>
    <w:charset w:val="86"/>
    <w:family w:val="auto"/>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0"/>
      <w:jc w:val="center"/>
    </w:pPr>
  </w:p>
  <w:p>
    <w:pPr>
      <w:pStyle w:val="2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554175"/>
      <w:docPartObj>
        <w:docPartGallery w:val="autotext"/>
      </w:docPartObj>
    </w:sdtPr>
    <w:sdtContent>
      <w:p>
        <w:pPr>
          <w:pStyle w:val="24"/>
          <w:ind w:firstLine="0" w:firstLineChars="0"/>
          <w:jc w:val="center"/>
        </w:pPr>
        <w:r>
          <w:fldChar w:fldCharType="begin"/>
        </w:r>
        <w:r>
          <w:instrText xml:space="preserve"> PAGE   \* MERGEFORMAT </w:instrText>
        </w:r>
        <w:r>
          <w:fldChar w:fldCharType="separate"/>
        </w:r>
        <w:r>
          <w:rPr>
            <w:lang w:val="zh-CN"/>
          </w:rPr>
          <w:t>40</w:t>
        </w:r>
        <w:r>
          <w:fldChar w:fldCharType="end"/>
        </w:r>
      </w:p>
    </w:sdtContent>
  </w:sdt>
  <w:p>
    <w:pPr>
      <w:pStyle w:val="2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hideSpellingErrors/>
  <w:documentProtection w:enforcement="0"/>
  <w:defaultTabStop w:val="420"/>
  <w:drawingGridHorizontalSpacing w:val="14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OWNmN2Q4YjA1MzE1Yjc2Y2Y4NGQ1MTFiNzJmNTgyNjYifQ=="/>
  </w:docVars>
  <w:rsids>
    <w:rsidRoot w:val="001108F8"/>
    <w:rsid w:val="000010B4"/>
    <w:rsid w:val="000013C5"/>
    <w:rsid w:val="00002FE4"/>
    <w:rsid w:val="00004071"/>
    <w:rsid w:val="000058FE"/>
    <w:rsid w:val="00006F83"/>
    <w:rsid w:val="0000720B"/>
    <w:rsid w:val="000078BA"/>
    <w:rsid w:val="00007B0D"/>
    <w:rsid w:val="00007ED0"/>
    <w:rsid w:val="0001274C"/>
    <w:rsid w:val="00013EAF"/>
    <w:rsid w:val="000170F3"/>
    <w:rsid w:val="000178B9"/>
    <w:rsid w:val="00021D27"/>
    <w:rsid w:val="00021F4E"/>
    <w:rsid w:val="000223CC"/>
    <w:rsid w:val="000225E7"/>
    <w:rsid w:val="00023D33"/>
    <w:rsid w:val="00024630"/>
    <w:rsid w:val="00024A6E"/>
    <w:rsid w:val="0002565C"/>
    <w:rsid w:val="0002588D"/>
    <w:rsid w:val="00030330"/>
    <w:rsid w:val="000317DB"/>
    <w:rsid w:val="00033067"/>
    <w:rsid w:val="000355C2"/>
    <w:rsid w:val="00035BBE"/>
    <w:rsid w:val="000377A4"/>
    <w:rsid w:val="0003780E"/>
    <w:rsid w:val="0004036A"/>
    <w:rsid w:val="00042371"/>
    <w:rsid w:val="0004251E"/>
    <w:rsid w:val="00042FE5"/>
    <w:rsid w:val="0004315D"/>
    <w:rsid w:val="00043BA1"/>
    <w:rsid w:val="00043BCF"/>
    <w:rsid w:val="0004445E"/>
    <w:rsid w:val="00044869"/>
    <w:rsid w:val="000449DA"/>
    <w:rsid w:val="000476FA"/>
    <w:rsid w:val="00047765"/>
    <w:rsid w:val="00047AF5"/>
    <w:rsid w:val="00050A75"/>
    <w:rsid w:val="00052B6E"/>
    <w:rsid w:val="0005448F"/>
    <w:rsid w:val="00054C70"/>
    <w:rsid w:val="00055DA4"/>
    <w:rsid w:val="00056645"/>
    <w:rsid w:val="00057526"/>
    <w:rsid w:val="00060780"/>
    <w:rsid w:val="00062B31"/>
    <w:rsid w:val="00062C1D"/>
    <w:rsid w:val="00062D3D"/>
    <w:rsid w:val="00063208"/>
    <w:rsid w:val="000645ED"/>
    <w:rsid w:val="00065BB6"/>
    <w:rsid w:val="00065BBD"/>
    <w:rsid w:val="000717E0"/>
    <w:rsid w:val="00071B71"/>
    <w:rsid w:val="000756F5"/>
    <w:rsid w:val="00075979"/>
    <w:rsid w:val="00081154"/>
    <w:rsid w:val="00081F0B"/>
    <w:rsid w:val="00084379"/>
    <w:rsid w:val="00085B16"/>
    <w:rsid w:val="00085F1D"/>
    <w:rsid w:val="00086184"/>
    <w:rsid w:val="000867FB"/>
    <w:rsid w:val="0009320E"/>
    <w:rsid w:val="00094060"/>
    <w:rsid w:val="000947D6"/>
    <w:rsid w:val="000960D0"/>
    <w:rsid w:val="00097296"/>
    <w:rsid w:val="00097435"/>
    <w:rsid w:val="0009786C"/>
    <w:rsid w:val="000979AE"/>
    <w:rsid w:val="000A45D6"/>
    <w:rsid w:val="000A5D58"/>
    <w:rsid w:val="000A7AC5"/>
    <w:rsid w:val="000A7DBC"/>
    <w:rsid w:val="000A7E42"/>
    <w:rsid w:val="000B03A6"/>
    <w:rsid w:val="000B1DCB"/>
    <w:rsid w:val="000B2CE3"/>
    <w:rsid w:val="000B2D72"/>
    <w:rsid w:val="000B2EC2"/>
    <w:rsid w:val="000B4AB4"/>
    <w:rsid w:val="000B5B05"/>
    <w:rsid w:val="000B5BD4"/>
    <w:rsid w:val="000B6D2F"/>
    <w:rsid w:val="000B7CD8"/>
    <w:rsid w:val="000C04AE"/>
    <w:rsid w:val="000C1631"/>
    <w:rsid w:val="000C1A92"/>
    <w:rsid w:val="000C3B4D"/>
    <w:rsid w:val="000C4831"/>
    <w:rsid w:val="000C5C70"/>
    <w:rsid w:val="000C6514"/>
    <w:rsid w:val="000D020C"/>
    <w:rsid w:val="000D10EE"/>
    <w:rsid w:val="000D1852"/>
    <w:rsid w:val="000D2D93"/>
    <w:rsid w:val="000D44DB"/>
    <w:rsid w:val="000D4DE9"/>
    <w:rsid w:val="000D4E59"/>
    <w:rsid w:val="000D6433"/>
    <w:rsid w:val="000D69FA"/>
    <w:rsid w:val="000D7DFD"/>
    <w:rsid w:val="000E06B0"/>
    <w:rsid w:val="000E16AE"/>
    <w:rsid w:val="000E1888"/>
    <w:rsid w:val="000E189B"/>
    <w:rsid w:val="000E1A47"/>
    <w:rsid w:val="000E51C2"/>
    <w:rsid w:val="000E558D"/>
    <w:rsid w:val="000F24F6"/>
    <w:rsid w:val="000F4EA1"/>
    <w:rsid w:val="000F5021"/>
    <w:rsid w:val="000F5074"/>
    <w:rsid w:val="000F5247"/>
    <w:rsid w:val="00100503"/>
    <w:rsid w:val="00100A0F"/>
    <w:rsid w:val="00101948"/>
    <w:rsid w:val="0010247F"/>
    <w:rsid w:val="00105E8A"/>
    <w:rsid w:val="001060F7"/>
    <w:rsid w:val="0011021D"/>
    <w:rsid w:val="001105B0"/>
    <w:rsid w:val="001108F8"/>
    <w:rsid w:val="00113DBC"/>
    <w:rsid w:val="00114798"/>
    <w:rsid w:val="00116E15"/>
    <w:rsid w:val="001177D5"/>
    <w:rsid w:val="001205EB"/>
    <w:rsid w:val="0012068E"/>
    <w:rsid w:val="00120D76"/>
    <w:rsid w:val="00120D84"/>
    <w:rsid w:val="00121EF3"/>
    <w:rsid w:val="001229CE"/>
    <w:rsid w:val="00122E7F"/>
    <w:rsid w:val="00124470"/>
    <w:rsid w:val="001255C1"/>
    <w:rsid w:val="001258C1"/>
    <w:rsid w:val="00130A93"/>
    <w:rsid w:val="00132338"/>
    <w:rsid w:val="00133027"/>
    <w:rsid w:val="00134835"/>
    <w:rsid w:val="0013561B"/>
    <w:rsid w:val="00136102"/>
    <w:rsid w:val="00136A34"/>
    <w:rsid w:val="00136BBF"/>
    <w:rsid w:val="00136D6E"/>
    <w:rsid w:val="00140C2E"/>
    <w:rsid w:val="00141848"/>
    <w:rsid w:val="00143797"/>
    <w:rsid w:val="00144D6E"/>
    <w:rsid w:val="00145238"/>
    <w:rsid w:val="001452F6"/>
    <w:rsid w:val="0014544D"/>
    <w:rsid w:val="00145E73"/>
    <w:rsid w:val="001469A1"/>
    <w:rsid w:val="00150686"/>
    <w:rsid w:val="001509B7"/>
    <w:rsid w:val="0015297A"/>
    <w:rsid w:val="00155C0F"/>
    <w:rsid w:val="0015702B"/>
    <w:rsid w:val="00157546"/>
    <w:rsid w:val="00160441"/>
    <w:rsid w:val="0016186A"/>
    <w:rsid w:val="001651A2"/>
    <w:rsid w:val="00165A7A"/>
    <w:rsid w:val="00165E56"/>
    <w:rsid w:val="0016621B"/>
    <w:rsid w:val="0016795E"/>
    <w:rsid w:val="0017069A"/>
    <w:rsid w:val="00170C32"/>
    <w:rsid w:val="001747AE"/>
    <w:rsid w:val="00176C6E"/>
    <w:rsid w:val="00180A9E"/>
    <w:rsid w:val="00181842"/>
    <w:rsid w:val="00182664"/>
    <w:rsid w:val="0018266C"/>
    <w:rsid w:val="0018368F"/>
    <w:rsid w:val="001836BC"/>
    <w:rsid w:val="00184584"/>
    <w:rsid w:val="001900FF"/>
    <w:rsid w:val="00190F6C"/>
    <w:rsid w:val="00192B8A"/>
    <w:rsid w:val="00195A3E"/>
    <w:rsid w:val="001A12D8"/>
    <w:rsid w:val="001A55FB"/>
    <w:rsid w:val="001A683B"/>
    <w:rsid w:val="001B0378"/>
    <w:rsid w:val="001B0652"/>
    <w:rsid w:val="001B0966"/>
    <w:rsid w:val="001B49A1"/>
    <w:rsid w:val="001B4C52"/>
    <w:rsid w:val="001B510E"/>
    <w:rsid w:val="001B57C9"/>
    <w:rsid w:val="001B5941"/>
    <w:rsid w:val="001B5ACB"/>
    <w:rsid w:val="001B7250"/>
    <w:rsid w:val="001B7E1A"/>
    <w:rsid w:val="001C0A48"/>
    <w:rsid w:val="001C3EB5"/>
    <w:rsid w:val="001C566B"/>
    <w:rsid w:val="001C5E46"/>
    <w:rsid w:val="001C5FFB"/>
    <w:rsid w:val="001C7801"/>
    <w:rsid w:val="001D05CB"/>
    <w:rsid w:val="001D0AF7"/>
    <w:rsid w:val="001D1975"/>
    <w:rsid w:val="001D30C6"/>
    <w:rsid w:val="001D41F0"/>
    <w:rsid w:val="001D477A"/>
    <w:rsid w:val="001D59D9"/>
    <w:rsid w:val="001D606C"/>
    <w:rsid w:val="001D66DC"/>
    <w:rsid w:val="001D71ED"/>
    <w:rsid w:val="001E3BCA"/>
    <w:rsid w:val="001E48AF"/>
    <w:rsid w:val="001E54C7"/>
    <w:rsid w:val="001E5F1C"/>
    <w:rsid w:val="001E6663"/>
    <w:rsid w:val="001E694A"/>
    <w:rsid w:val="001E70BD"/>
    <w:rsid w:val="001F0734"/>
    <w:rsid w:val="001F23D3"/>
    <w:rsid w:val="001F3495"/>
    <w:rsid w:val="001F3CD6"/>
    <w:rsid w:val="001F4792"/>
    <w:rsid w:val="001F4EB4"/>
    <w:rsid w:val="001F6073"/>
    <w:rsid w:val="001F69CF"/>
    <w:rsid w:val="001F7A7E"/>
    <w:rsid w:val="001F7E19"/>
    <w:rsid w:val="00201D38"/>
    <w:rsid w:val="00202441"/>
    <w:rsid w:val="00203E67"/>
    <w:rsid w:val="002108F5"/>
    <w:rsid w:val="0021094D"/>
    <w:rsid w:val="00211D4B"/>
    <w:rsid w:val="0021406D"/>
    <w:rsid w:val="0021574D"/>
    <w:rsid w:val="00217B71"/>
    <w:rsid w:val="002207B2"/>
    <w:rsid w:val="0022135C"/>
    <w:rsid w:val="0022219E"/>
    <w:rsid w:val="00224847"/>
    <w:rsid w:val="00225D36"/>
    <w:rsid w:val="00226879"/>
    <w:rsid w:val="00226E41"/>
    <w:rsid w:val="00237BBB"/>
    <w:rsid w:val="002409BB"/>
    <w:rsid w:val="00240F97"/>
    <w:rsid w:val="00241153"/>
    <w:rsid w:val="002418F3"/>
    <w:rsid w:val="002458BF"/>
    <w:rsid w:val="00247D71"/>
    <w:rsid w:val="00250421"/>
    <w:rsid w:val="00252E3C"/>
    <w:rsid w:val="002561A2"/>
    <w:rsid w:val="00256A13"/>
    <w:rsid w:val="00260436"/>
    <w:rsid w:val="002607D5"/>
    <w:rsid w:val="00262FA4"/>
    <w:rsid w:val="00263BE8"/>
    <w:rsid w:val="00263FDF"/>
    <w:rsid w:val="002646C6"/>
    <w:rsid w:val="002667FD"/>
    <w:rsid w:val="00267E23"/>
    <w:rsid w:val="00270B17"/>
    <w:rsid w:val="00270EA8"/>
    <w:rsid w:val="002717B6"/>
    <w:rsid w:val="0027354A"/>
    <w:rsid w:val="00274487"/>
    <w:rsid w:val="002749F6"/>
    <w:rsid w:val="00275074"/>
    <w:rsid w:val="00276241"/>
    <w:rsid w:val="0028122A"/>
    <w:rsid w:val="00281E6E"/>
    <w:rsid w:val="002829F8"/>
    <w:rsid w:val="00285189"/>
    <w:rsid w:val="002861DE"/>
    <w:rsid w:val="00290305"/>
    <w:rsid w:val="0029198E"/>
    <w:rsid w:val="00291CC0"/>
    <w:rsid w:val="002921B2"/>
    <w:rsid w:val="002928A2"/>
    <w:rsid w:val="002936F4"/>
    <w:rsid w:val="00294CB6"/>
    <w:rsid w:val="002A1D94"/>
    <w:rsid w:val="002A2BB1"/>
    <w:rsid w:val="002A3667"/>
    <w:rsid w:val="002A478C"/>
    <w:rsid w:val="002A6027"/>
    <w:rsid w:val="002B02FC"/>
    <w:rsid w:val="002B2134"/>
    <w:rsid w:val="002B3E1D"/>
    <w:rsid w:val="002B6444"/>
    <w:rsid w:val="002B7469"/>
    <w:rsid w:val="002C29CB"/>
    <w:rsid w:val="002C3691"/>
    <w:rsid w:val="002C67DC"/>
    <w:rsid w:val="002C7AB5"/>
    <w:rsid w:val="002D0B21"/>
    <w:rsid w:val="002D136B"/>
    <w:rsid w:val="002D2493"/>
    <w:rsid w:val="002D5A70"/>
    <w:rsid w:val="002D5ED6"/>
    <w:rsid w:val="002D70F1"/>
    <w:rsid w:val="002E126D"/>
    <w:rsid w:val="002E22CB"/>
    <w:rsid w:val="002E320D"/>
    <w:rsid w:val="002E5DE4"/>
    <w:rsid w:val="002E6FE3"/>
    <w:rsid w:val="002E7619"/>
    <w:rsid w:val="002F0D3A"/>
    <w:rsid w:val="002F4131"/>
    <w:rsid w:val="002F4B4D"/>
    <w:rsid w:val="002F57F1"/>
    <w:rsid w:val="002F6BCF"/>
    <w:rsid w:val="0030111A"/>
    <w:rsid w:val="0030170C"/>
    <w:rsid w:val="00303469"/>
    <w:rsid w:val="003052DF"/>
    <w:rsid w:val="00305F54"/>
    <w:rsid w:val="003103C5"/>
    <w:rsid w:val="00310DB5"/>
    <w:rsid w:val="003129F0"/>
    <w:rsid w:val="003135A8"/>
    <w:rsid w:val="00315C29"/>
    <w:rsid w:val="00316613"/>
    <w:rsid w:val="003168A3"/>
    <w:rsid w:val="00317E69"/>
    <w:rsid w:val="00320A8A"/>
    <w:rsid w:val="00321F9D"/>
    <w:rsid w:val="00324301"/>
    <w:rsid w:val="00325D41"/>
    <w:rsid w:val="0032727E"/>
    <w:rsid w:val="0032742B"/>
    <w:rsid w:val="00327CD4"/>
    <w:rsid w:val="00327D58"/>
    <w:rsid w:val="00330F7B"/>
    <w:rsid w:val="0033185D"/>
    <w:rsid w:val="00331EC1"/>
    <w:rsid w:val="003331F5"/>
    <w:rsid w:val="00333EF6"/>
    <w:rsid w:val="0033543A"/>
    <w:rsid w:val="00335B37"/>
    <w:rsid w:val="00336FFA"/>
    <w:rsid w:val="003406F3"/>
    <w:rsid w:val="00340E8F"/>
    <w:rsid w:val="00340EE5"/>
    <w:rsid w:val="00343FB3"/>
    <w:rsid w:val="00344134"/>
    <w:rsid w:val="00344273"/>
    <w:rsid w:val="0034531F"/>
    <w:rsid w:val="00345530"/>
    <w:rsid w:val="00345B4C"/>
    <w:rsid w:val="00345EA7"/>
    <w:rsid w:val="003469C0"/>
    <w:rsid w:val="00346D9D"/>
    <w:rsid w:val="003476B1"/>
    <w:rsid w:val="00350806"/>
    <w:rsid w:val="00350D17"/>
    <w:rsid w:val="003525DD"/>
    <w:rsid w:val="00353297"/>
    <w:rsid w:val="003539DB"/>
    <w:rsid w:val="00360CD3"/>
    <w:rsid w:val="00361208"/>
    <w:rsid w:val="00361C5E"/>
    <w:rsid w:val="00362E0A"/>
    <w:rsid w:val="00365F77"/>
    <w:rsid w:val="00366628"/>
    <w:rsid w:val="00372316"/>
    <w:rsid w:val="003726DF"/>
    <w:rsid w:val="003729C1"/>
    <w:rsid w:val="00372B9B"/>
    <w:rsid w:val="00374133"/>
    <w:rsid w:val="00375016"/>
    <w:rsid w:val="00375A06"/>
    <w:rsid w:val="00376429"/>
    <w:rsid w:val="00377445"/>
    <w:rsid w:val="00380979"/>
    <w:rsid w:val="00381A80"/>
    <w:rsid w:val="00382DF2"/>
    <w:rsid w:val="00383585"/>
    <w:rsid w:val="00383F11"/>
    <w:rsid w:val="0038463C"/>
    <w:rsid w:val="0038558B"/>
    <w:rsid w:val="00387DBF"/>
    <w:rsid w:val="00390B4C"/>
    <w:rsid w:val="00390C51"/>
    <w:rsid w:val="003949E1"/>
    <w:rsid w:val="00395382"/>
    <w:rsid w:val="003960EA"/>
    <w:rsid w:val="00397CC6"/>
    <w:rsid w:val="003A02CC"/>
    <w:rsid w:val="003A0AE6"/>
    <w:rsid w:val="003A1312"/>
    <w:rsid w:val="003A285E"/>
    <w:rsid w:val="003A427D"/>
    <w:rsid w:val="003A4B6D"/>
    <w:rsid w:val="003A5C17"/>
    <w:rsid w:val="003A72EA"/>
    <w:rsid w:val="003B0663"/>
    <w:rsid w:val="003B4CB9"/>
    <w:rsid w:val="003B549E"/>
    <w:rsid w:val="003B5A85"/>
    <w:rsid w:val="003B5E4A"/>
    <w:rsid w:val="003B6409"/>
    <w:rsid w:val="003C0168"/>
    <w:rsid w:val="003C0BB1"/>
    <w:rsid w:val="003C1AF9"/>
    <w:rsid w:val="003C29CA"/>
    <w:rsid w:val="003C2F2C"/>
    <w:rsid w:val="003C4CD4"/>
    <w:rsid w:val="003D10C5"/>
    <w:rsid w:val="003D1452"/>
    <w:rsid w:val="003D199D"/>
    <w:rsid w:val="003D3056"/>
    <w:rsid w:val="003D30B7"/>
    <w:rsid w:val="003D34FF"/>
    <w:rsid w:val="003D44D2"/>
    <w:rsid w:val="003D4E59"/>
    <w:rsid w:val="003E1E85"/>
    <w:rsid w:val="003E24D0"/>
    <w:rsid w:val="003E2D51"/>
    <w:rsid w:val="003E3946"/>
    <w:rsid w:val="003E4405"/>
    <w:rsid w:val="003E48F3"/>
    <w:rsid w:val="003E6AA8"/>
    <w:rsid w:val="003E7091"/>
    <w:rsid w:val="003E773D"/>
    <w:rsid w:val="003E7849"/>
    <w:rsid w:val="003F57FB"/>
    <w:rsid w:val="003F5F4D"/>
    <w:rsid w:val="003F64A6"/>
    <w:rsid w:val="004011B6"/>
    <w:rsid w:val="00402043"/>
    <w:rsid w:val="00403297"/>
    <w:rsid w:val="00403D3D"/>
    <w:rsid w:val="0040444B"/>
    <w:rsid w:val="00405E70"/>
    <w:rsid w:val="0040634C"/>
    <w:rsid w:val="004114E0"/>
    <w:rsid w:val="0041173E"/>
    <w:rsid w:val="00411F62"/>
    <w:rsid w:val="004124D4"/>
    <w:rsid w:val="00412FE4"/>
    <w:rsid w:val="004132D3"/>
    <w:rsid w:val="00414B9D"/>
    <w:rsid w:val="00415129"/>
    <w:rsid w:val="00415A59"/>
    <w:rsid w:val="00415E2D"/>
    <w:rsid w:val="00420D14"/>
    <w:rsid w:val="00423C3E"/>
    <w:rsid w:val="0042432F"/>
    <w:rsid w:val="00424728"/>
    <w:rsid w:val="00425731"/>
    <w:rsid w:val="00425B99"/>
    <w:rsid w:val="00426D83"/>
    <w:rsid w:val="0042705E"/>
    <w:rsid w:val="004272C2"/>
    <w:rsid w:val="0043163B"/>
    <w:rsid w:val="00431C4A"/>
    <w:rsid w:val="00431F69"/>
    <w:rsid w:val="0043236A"/>
    <w:rsid w:val="00441E71"/>
    <w:rsid w:val="00442CCB"/>
    <w:rsid w:val="00445A2A"/>
    <w:rsid w:val="00445FF4"/>
    <w:rsid w:val="0045019F"/>
    <w:rsid w:val="00452534"/>
    <w:rsid w:val="00453885"/>
    <w:rsid w:val="00454142"/>
    <w:rsid w:val="00455252"/>
    <w:rsid w:val="0045618A"/>
    <w:rsid w:val="004609B4"/>
    <w:rsid w:val="0046107D"/>
    <w:rsid w:val="0046176F"/>
    <w:rsid w:val="004620BF"/>
    <w:rsid w:val="00464CBE"/>
    <w:rsid w:val="0046700F"/>
    <w:rsid w:val="004673E6"/>
    <w:rsid w:val="00470454"/>
    <w:rsid w:val="00471402"/>
    <w:rsid w:val="00472CB6"/>
    <w:rsid w:val="00473203"/>
    <w:rsid w:val="00473E8E"/>
    <w:rsid w:val="00475AEC"/>
    <w:rsid w:val="004800DC"/>
    <w:rsid w:val="00483E6D"/>
    <w:rsid w:val="004858F7"/>
    <w:rsid w:val="00485ED3"/>
    <w:rsid w:val="0048635E"/>
    <w:rsid w:val="004863AA"/>
    <w:rsid w:val="004870BD"/>
    <w:rsid w:val="00490C20"/>
    <w:rsid w:val="00492AEB"/>
    <w:rsid w:val="00493238"/>
    <w:rsid w:val="00494284"/>
    <w:rsid w:val="004943E5"/>
    <w:rsid w:val="00497532"/>
    <w:rsid w:val="004A0622"/>
    <w:rsid w:val="004A0A57"/>
    <w:rsid w:val="004A0C14"/>
    <w:rsid w:val="004A0E21"/>
    <w:rsid w:val="004A19ED"/>
    <w:rsid w:val="004A203B"/>
    <w:rsid w:val="004A452C"/>
    <w:rsid w:val="004A4A31"/>
    <w:rsid w:val="004A5896"/>
    <w:rsid w:val="004A5902"/>
    <w:rsid w:val="004A6762"/>
    <w:rsid w:val="004B245E"/>
    <w:rsid w:val="004B254A"/>
    <w:rsid w:val="004B3627"/>
    <w:rsid w:val="004B4140"/>
    <w:rsid w:val="004B4A95"/>
    <w:rsid w:val="004B5992"/>
    <w:rsid w:val="004B5F04"/>
    <w:rsid w:val="004B76DD"/>
    <w:rsid w:val="004C1356"/>
    <w:rsid w:val="004C23DB"/>
    <w:rsid w:val="004C3A4D"/>
    <w:rsid w:val="004C4AF4"/>
    <w:rsid w:val="004C6C9A"/>
    <w:rsid w:val="004D0EC2"/>
    <w:rsid w:val="004D1537"/>
    <w:rsid w:val="004D192A"/>
    <w:rsid w:val="004D193A"/>
    <w:rsid w:val="004D2464"/>
    <w:rsid w:val="004D42D8"/>
    <w:rsid w:val="004D4B20"/>
    <w:rsid w:val="004D5636"/>
    <w:rsid w:val="004D5E94"/>
    <w:rsid w:val="004D671F"/>
    <w:rsid w:val="004D6C4A"/>
    <w:rsid w:val="004D6D38"/>
    <w:rsid w:val="004D6F57"/>
    <w:rsid w:val="004E1830"/>
    <w:rsid w:val="004E2EDA"/>
    <w:rsid w:val="004E5476"/>
    <w:rsid w:val="004E68AC"/>
    <w:rsid w:val="004E6AEE"/>
    <w:rsid w:val="004E7F32"/>
    <w:rsid w:val="004F0C7C"/>
    <w:rsid w:val="004F1480"/>
    <w:rsid w:val="004F214F"/>
    <w:rsid w:val="004F2CE5"/>
    <w:rsid w:val="004F37F1"/>
    <w:rsid w:val="004F5B82"/>
    <w:rsid w:val="004F5F86"/>
    <w:rsid w:val="004F6D66"/>
    <w:rsid w:val="004F6FC7"/>
    <w:rsid w:val="00500A71"/>
    <w:rsid w:val="00502846"/>
    <w:rsid w:val="00505D19"/>
    <w:rsid w:val="00505E93"/>
    <w:rsid w:val="00510C35"/>
    <w:rsid w:val="00512984"/>
    <w:rsid w:val="005133B5"/>
    <w:rsid w:val="005138B6"/>
    <w:rsid w:val="00513FC9"/>
    <w:rsid w:val="00514055"/>
    <w:rsid w:val="0051559F"/>
    <w:rsid w:val="00515C0B"/>
    <w:rsid w:val="00515D62"/>
    <w:rsid w:val="005178E8"/>
    <w:rsid w:val="005215FB"/>
    <w:rsid w:val="005223D9"/>
    <w:rsid w:val="00523041"/>
    <w:rsid w:val="005241C7"/>
    <w:rsid w:val="00524DD9"/>
    <w:rsid w:val="00526078"/>
    <w:rsid w:val="00530366"/>
    <w:rsid w:val="005305F9"/>
    <w:rsid w:val="00530FA5"/>
    <w:rsid w:val="005319B8"/>
    <w:rsid w:val="0053613D"/>
    <w:rsid w:val="00540644"/>
    <w:rsid w:val="00542092"/>
    <w:rsid w:val="00542CB3"/>
    <w:rsid w:val="005435A3"/>
    <w:rsid w:val="005435E9"/>
    <w:rsid w:val="00544902"/>
    <w:rsid w:val="005452BC"/>
    <w:rsid w:val="0054572F"/>
    <w:rsid w:val="00545F9E"/>
    <w:rsid w:val="005462BD"/>
    <w:rsid w:val="0055149D"/>
    <w:rsid w:val="00553DAB"/>
    <w:rsid w:val="0055757C"/>
    <w:rsid w:val="0056068D"/>
    <w:rsid w:val="00562210"/>
    <w:rsid w:val="0056357B"/>
    <w:rsid w:val="00563D19"/>
    <w:rsid w:val="005654C3"/>
    <w:rsid w:val="00567425"/>
    <w:rsid w:val="0057006C"/>
    <w:rsid w:val="00573282"/>
    <w:rsid w:val="005737F6"/>
    <w:rsid w:val="00573993"/>
    <w:rsid w:val="005740FA"/>
    <w:rsid w:val="00574C0B"/>
    <w:rsid w:val="00575A24"/>
    <w:rsid w:val="00575A7F"/>
    <w:rsid w:val="005763C9"/>
    <w:rsid w:val="00576A87"/>
    <w:rsid w:val="005770A9"/>
    <w:rsid w:val="0057756C"/>
    <w:rsid w:val="0058094E"/>
    <w:rsid w:val="00580F5B"/>
    <w:rsid w:val="00581502"/>
    <w:rsid w:val="005816F1"/>
    <w:rsid w:val="005818F5"/>
    <w:rsid w:val="00581A79"/>
    <w:rsid w:val="0058226D"/>
    <w:rsid w:val="00582C3C"/>
    <w:rsid w:val="00584086"/>
    <w:rsid w:val="00586287"/>
    <w:rsid w:val="00586BC1"/>
    <w:rsid w:val="005873E4"/>
    <w:rsid w:val="00587880"/>
    <w:rsid w:val="00587B36"/>
    <w:rsid w:val="00590F14"/>
    <w:rsid w:val="00592B9D"/>
    <w:rsid w:val="00593B96"/>
    <w:rsid w:val="00594B82"/>
    <w:rsid w:val="00595051"/>
    <w:rsid w:val="005A0694"/>
    <w:rsid w:val="005A1358"/>
    <w:rsid w:val="005A1B35"/>
    <w:rsid w:val="005A52CB"/>
    <w:rsid w:val="005A55AF"/>
    <w:rsid w:val="005A743D"/>
    <w:rsid w:val="005B024A"/>
    <w:rsid w:val="005B0E10"/>
    <w:rsid w:val="005B10D2"/>
    <w:rsid w:val="005B18C4"/>
    <w:rsid w:val="005B20FA"/>
    <w:rsid w:val="005B2E33"/>
    <w:rsid w:val="005B2F9C"/>
    <w:rsid w:val="005B5932"/>
    <w:rsid w:val="005B76B3"/>
    <w:rsid w:val="005B7766"/>
    <w:rsid w:val="005B7A97"/>
    <w:rsid w:val="005C0251"/>
    <w:rsid w:val="005C0486"/>
    <w:rsid w:val="005C10CB"/>
    <w:rsid w:val="005C2971"/>
    <w:rsid w:val="005C330E"/>
    <w:rsid w:val="005C5697"/>
    <w:rsid w:val="005C589E"/>
    <w:rsid w:val="005C6AFE"/>
    <w:rsid w:val="005C7A52"/>
    <w:rsid w:val="005D0C2B"/>
    <w:rsid w:val="005D1149"/>
    <w:rsid w:val="005D3BCD"/>
    <w:rsid w:val="005D3D97"/>
    <w:rsid w:val="005D3DD9"/>
    <w:rsid w:val="005D42C4"/>
    <w:rsid w:val="005D53E0"/>
    <w:rsid w:val="005D6E33"/>
    <w:rsid w:val="005D6F53"/>
    <w:rsid w:val="005D77E0"/>
    <w:rsid w:val="005E1BD1"/>
    <w:rsid w:val="005E2A21"/>
    <w:rsid w:val="005E2CA9"/>
    <w:rsid w:val="005E2F17"/>
    <w:rsid w:val="005E3A75"/>
    <w:rsid w:val="005E45CB"/>
    <w:rsid w:val="005E5EFB"/>
    <w:rsid w:val="005E6011"/>
    <w:rsid w:val="005E6CE5"/>
    <w:rsid w:val="005E7715"/>
    <w:rsid w:val="005E7937"/>
    <w:rsid w:val="005F1448"/>
    <w:rsid w:val="005F1A3C"/>
    <w:rsid w:val="005F381F"/>
    <w:rsid w:val="005F424C"/>
    <w:rsid w:val="005F511E"/>
    <w:rsid w:val="005F60F6"/>
    <w:rsid w:val="005F6C69"/>
    <w:rsid w:val="00604A0D"/>
    <w:rsid w:val="006058BC"/>
    <w:rsid w:val="00605C14"/>
    <w:rsid w:val="006062DD"/>
    <w:rsid w:val="00606F87"/>
    <w:rsid w:val="006106EC"/>
    <w:rsid w:val="00610752"/>
    <w:rsid w:val="006113B0"/>
    <w:rsid w:val="006118BB"/>
    <w:rsid w:val="00611C21"/>
    <w:rsid w:val="00613AC6"/>
    <w:rsid w:val="00614B5A"/>
    <w:rsid w:val="00615515"/>
    <w:rsid w:val="00616843"/>
    <w:rsid w:val="00617836"/>
    <w:rsid w:val="006205D7"/>
    <w:rsid w:val="00622510"/>
    <w:rsid w:val="006226D5"/>
    <w:rsid w:val="00622B57"/>
    <w:rsid w:val="00623464"/>
    <w:rsid w:val="0062399B"/>
    <w:rsid w:val="00623E8C"/>
    <w:rsid w:val="00626C2D"/>
    <w:rsid w:val="00626F2B"/>
    <w:rsid w:val="006272D8"/>
    <w:rsid w:val="00627DB1"/>
    <w:rsid w:val="00632470"/>
    <w:rsid w:val="00632A96"/>
    <w:rsid w:val="0063342F"/>
    <w:rsid w:val="006359A1"/>
    <w:rsid w:val="00636BCA"/>
    <w:rsid w:val="00636C42"/>
    <w:rsid w:val="00636D1C"/>
    <w:rsid w:val="00640D5B"/>
    <w:rsid w:val="00640EED"/>
    <w:rsid w:val="006411F4"/>
    <w:rsid w:val="0064168D"/>
    <w:rsid w:val="0064370F"/>
    <w:rsid w:val="00643776"/>
    <w:rsid w:val="00643B9D"/>
    <w:rsid w:val="0064515F"/>
    <w:rsid w:val="00650598"/>
    <w:rsid w:val="00650FD2"/>
    <w:rsid w:val="00651157"/>
    <w:rsid w:val="006530E2"/>
    <w:rsid w:val="0065327D"/>
    <w:rsid w:val="00653CD4"/>
    <w:rsid w:val="006561CB"/>
    <w:rsid w:val="00657976"/>
    <w:rsid w:val="006618ED"/>
    <w:rsid w:val="0066452B"/>
    <w:rsid w:val="0066507D"/>
    <w:rsid w:val="00665CCF"/>
    <w:rsid w:val="00665DB6"/>
    <w:rsid w:val="00673D41"/>
    <w:rsid w:val="00673F6C"/>
    <w:rsid w:val="006741B7"/>
    <w:rsid w:val="0067495A"/>
    <w:rsid w:val="00676851"/>
    <w:rsid w:val="00682A18"/>
    <w:rsid w:val="00683CC0"/>
    <w:rsid w:val="00685925"/>
    <w:rsid w:val="00685E81"/>
    <w:rsid w:val="006910CC"/>
    <w:rsid w:val="00692CEF"/>
    <w:rsid w:val="0069372D"/>
    <w:rsid w:val="00693B02"/>
    <w:rsid w:val="00695827"/>
    <w:rsid w:val="00695BB0"/>
    <w:rsid w:val="006A0C0E"/>
    <w:rsid w:val="006A188A"/>
    <w:rsid w:val="006A3661"/>
    <w:rsid w:val="006A3717"/>
    <w:rsid w:val="006A432F"/>
    <w:rsid w:val="006A4E18"/>
    <w:rsid w:val="006A605D"/>
    <w:rsid w:val="006A60C5"/>
    <w:rsid w:val="006A625F"/>
    <w:rsid w:val="006A64D7"/>
    <w:rsid w:val="006B0F4B"/>
    <w:rsid w:val="006B5D58"/>
    <w:rsid w:val="006B5E03"/>
    <w:rsid w:val="006B6942"/>
    <w:rsid w:val="006B74CD"/>
    <w:rsid w:val="006C05E1"/>
    <w:rsid w:val="006C1EC3"/>
    <w:rsid w:val="006C7AD4"/>
    <w:rsid w:val="006D033C"/>
    <w:rsid w:val="006D091E"/>
    <w:rsid w:val="006D2EB0"/>
    <w:rsid w:val="006D31CE"/>
    <w:rsid w:val="006D3526"/>
    <w:rsid w:val="006D44D8"/>
    <w:rsid w:val="006D7D04"/>
    <w:rsid w:val="006E0029"/>
    <w:rsid w:val="006E1079"/>
    <w:rsid w:val="006E39DE"/>
    <w:rsid w:val="006E3C85"/>
    <w:rsid w:val="006E44C8"/>
    <w:rsid w:val="006E4E49"/>
    <w:rsid w:val="006E586D"/>
    <w:rsid w:val="006E6E1F"/>
    <w:rsid w:val="006F036E"/>
    <w:rsid w:val="006F18D3"/>
    <w:rsid w:val="006F1E14"/>
    <w:rsid w:val="006F2BAF"/>
    <w:rsid w:val="006F3165"/>
    <w:rsid w:val="006F5038"/>
    <w:rsid w:val="006F5BE9"/>
    <w:rsid w:val="006F5F69"/>
    <w:rsid w:val="006F5F80"/>
    <w:rsid w:val="00701B55"/>
    <w:rsid w:val="00703ED2"/>
    <w:rsid w:val="0070424F"/>
    <w:rsid w:val="00704CD5"/>
    <w:rsid w:val="0070556C"/>
    <w:rsid w:val="007055F3"/>
    <w:rsid w:val="0071074A"/>
    <w:rsid w:val="0071281E"/>
    <w:rsid w:val="00712DBE"/>
    <w:rsid w:val="00713B23"/>
    <w:rsid w:val="007147CF"/>
    <w:rsid w:val="0071533F"/>
    <w:rsid w:val="00721E72"/>
    <w:rsid w:val="0072324C"/>
    <w:rsid w:val="00723558"/>
    <w:rsid w:val="0072377E"/>
    <w:rsid w:val="00724A28"/>
    <w:rsid w:val="00725E7A"/>
    <w:rsid w:val="0072686A"/>
    <w:rsid w:val="00726893"/>
    <w:rsid w:val="00727F8A"/>
    <w:rsid w:val="00730CC3"/>
    <w:rsid w:val="007340E5"/>
    <w:rsid w:val="00734FCC"/>
    <w:rsid w:val="007356D5"/>
    <w:rsid w:val="00736778"/>
    <w:rsid w:val="00736B3A"/>
    <w:rsid w:val="00736E06"/>
    <w:rsid w:val="00740217"/>
    <w:rsid w:val="007413BA"/>
    <w:rsid w:val="00741FC4"/>
    <w:rsid w:val="0074385B"/>
    <w:rsid w:val="00745975"/>
    <w:rsid w:val="007506A3"/>
    <w:rsid w:val="00751F46"/>
    <w:rsid w:val="007527AA"/>
    <w:rsid w:val="00752BFD"/>
    <w:rsid w:val="00752EA9"/>
    <w:rsid w:val="00757B07"/>
    <w:rsid w:val="00757B0D"/>
    <w:rsid w:val="007604BB"/>
    <w:rsid w:val="007605B6"/>
    <w:rsid w:val="0076126F"/>
    <w:rsid w:val="00762788"/>
    <w:rsid w:val="00762A84"/>
    <w:rsid w:val="00763C88"/>
    <w:rsid w:val="00764A3D"/>
    <w:rsid w:val="00767034"/>
    <w:rsid w:val="007677C7"/>
    <w:rsid w:val="00770E3C"/>
    <w:rsid w:val="0077196A"/>
    <w:rsid w:val="00772844"/>
    <w:rsid w:val="00773C24"/>
    <w:rsid w:val="00775E51"/>
    <w:rsid w:val="00775F46"/>
    <w:rsid w:val="00776F5F"/>
    <w:rsid w:val="0077725D"/>
    <w:rsid w:val="00777600"/>
    <w:rsid w:val="00781C30"/>
    <w:rsid w:val="00783076"/>
    <w:rsid w:val="0078322C"/>
    <w:rsid w:val="007837F2"/>
    <w:rsid w:val="007846A6"/>
    <w:rsid w:val="00785168"/>
    <w:rsid w:val="007855E4"/>
    <w:rsid w:val="00785F7C"/>
    <w:rsid w:val="00786518"/>
    <w:rsid w:val="00787113"/>
    <w:rsid w:val="007918BB"/>
    <w:rsid w:val="007939E3"/>
    <w:rsid w:val="0079521B"/>
    <w:rsid w:val="00795EB8"/>
    <w:rsid w:val="00796247"/>
    <w:rsid w:val="00796F33"/>
    <w:rsid w:val="007A0423"/>
    <w:rsid w:val="007A115C"/>
    <w:rsid w:val="007A1E6A"/>
    <w:rsid w:val="007A270F"/>
    <w:rsid w:val="007A2FCE"/>
    <w:rsid w:val="007A4EBF"/>
    <w:rsid w:val="007A68B1"/>
    <w:rsid w:val="007B1069"/>
    <w:rsid w:val="007B1CCB"/>
    <w:rsid w:val="007B2A34"/>
    <w:rsid w:val="007B3006"/>
    <w:rsid w:val="007B4F87"/>
    <w:rsid w:val="007B5B4A"/>
    <w:rsid w:val="007C3739"/>
    <w:rsid w:val="007C42E5"/>
    <w:rsid w:val="007C63D2"/>
    <w:rsid w:val="007C774B"/>
    <w:rsid w:val="007D0589"/>
    <w:rsid w:val="007D0CC7"/>
    <w:rsid w:val="007D1FFE"/>
    <w:rsid w:val="007D3DE3"/>
    <w:rsid w:val="007D50CD"/>
    <w:rsid w:val="007D63DB"/>
    <w:rsid w:val="007D7915"/>
    <w:rsid w:val="007E0A63"/>
    <w:rsid w:val="007E0F45"/>
    <w:rsid w:val="007E1825"/>
    <w:rsid w:val="007E1CE4"/>
    <w:rsid w:val="007E2424"/>
    <w:rsid w:val="007E277B"/>
    <w:rsid w:val="007E28AE"/>
    <w:rsid w:val="007E32C1"/>
    <w:rsid w:val="007E43BC"/>
    <w:rsid w:val="007E44BE"/>
    <w:rsid w:val="007F123C"/>
    <w:rsid w:val="007F2832"/>
    <w:rsid w:val="007F2DAE"/>
    <w:rsid w:val="007F386A"/>
    <w:rsid w:val="007F4E08"/>
    <w:rsid w:val="007F6E3B"/>
    <w:rsid w:val="007F6F3B"/>
    <w:rsid w:val="008002A1"/>
    <w:rsid w:val="00801D0E"/>
    <w:rsid w:val="008039E8"/>
    <w:rsid w:val="00805A8E"/>
    <w:rsid w:val="008075AA"/>
    <w:rsid w:val="00807CF5"/>
    <w:rsid w:val="00810792"/>
    <w:rsid w:val="00810CEC"/>
    <w:rsid w:val="00812B4F"/>
    <w:rsid w:val="008158C4"/>
    <w:rsid w:val="00815D44"/>
    <w:rsid w:val="00815E1C"/>
    <w:rsid w:val="0081606D"/>
    <w:rsid w:val="00817C04"/>
    <w:rsid w:val="00820D95"/>
    <w:rsid w:val="00820D9B"/>
    <w:rsid w:val="00820EE7"/>
    <w:rsid w:val="008221E5"/>
    <w:rsid w:val="00822462"/>
    <w:rsid w:val="008225FD"/>
    <w:rsid w:val="00823D4F"/>
    <w:rsid w:val="008241C3"/>
    <w:rsid w:val="00825D98"/>
    <w:rsid w:val="008262C4"/>
    <w:rsid w:val="00826ECD"/>
    <w:rsid w:val="00827466"/>
    <w:rsid w:val="00830701"/>
    <w:rsid w:val="00831FC9"/>
    <w:rsid w:val="0083516A"/>
    <w:rsid w:val="008357F9"/>
    <w:rsid w:val="0083620A"/>
    <w:rsid w:val="008369D7"/>
    <w:rsid w:val="00837EC4"/>
    <w:rsid w:val="0084005C"/>
    <w:rsid w:val="00840EE6"/>
    <w:rsid w:val="00842C93"/>
    <w:rsid w:val="00845C48"/>
    <w:rsid w:val="008500D1"/>
    <w:rsid w:val="008508BE"/>
    <w:rsid w:val="00850BED"/>
    <w:rsid w:val="00850C7C"/>
    <w:rsid w:val="0085161C"/>
    <w:rsid w:val="00852525"/>
    <w:rsid w:val="00853C83"/>
    <w:rsid w:val="008549DD"/>
    <w:rsid w:val="008553E8"/>
    <w:rsid w:val="008559D4"/>
    <w:rsid w:val="00860D67"/>
    <w:rsid w:val="00860F4F"/>
    <w:rsid w:val="00861D5A"/>
    <w:rsid w:val="008642DA"/>
    <w:rsid w:val="00864585"/>
    <w:rsid w:val="00866203"/>
    <w:rsid w:val="0086641A"/>
    <w:rsid w:val="00867204"/>
    <w:rsid w:val="00867D11"/>
    <w:rsid w:val="0087086C"/>
    <w:rsid w:val="008730DA"/>
    <w:rsid w:val="00873AC0"/>
    <w:rsid w:val="00874004"/>
    <w:rsid w:val="00874C54"/>
    <w:rsid w:val="008758A1"/>
    <w:rsid w:val="00875A85"/>
    <w:rsid w:val="00876447"/>
    <w:rsid w:val="00880107"/>
    <w:rsid w:val="008859B0"/>
    <w:rsid w:val="008868C5"/>
    <w:rsid w:val="00886A17"/>
    <w:rsid w:val="00886BEB"/>
    <w:rsid w:val="0088785E"/>
    <w:rsid w:val="00891798"/>
    <w:rsid w:val="00895B62"/>
    <w:rsid w:val="008962B8"/>
    <w:rsid w:val="00897452"/>
    <w:rsid w:val="00897BBA"/>
    <w:rsid w:val="008A149B"/>
    <w:rsid w:val="008A15A1"/>
    <w:rsid w:val="008A4230"/>
    <w:rsid w:val="008A490D"/>
    <w:rsid w:val="008A5228"/>
    <w:rsid w:val="008A7231"/>
    <w:rsid w:val="008A7274"/>
    <w:rsid w:val="008B03D7"/>
    <w:rsid w:val="008B195B"/>
    <w:rsid w:val="008B1A5F"/>
    <w:rsid w:val="008B2252"/>
    <w:rsid w:val="008B3E43"/>
    <w:rsid w:val="008B48F4"/>
    <w:rsid w:val="008B6070"/>
    <w:rsid w:val="008C1783"/>
    <w:rsid w:val="008C24F2"/>
    <w:rsid w:val="008C5DDA"/>
    <w:rsid w:val="008C72B5"/>
    <w:rsid w:val="008D167B"/>
    <w:rsid w:val="008D2D84"/>
    <w:rsid w:val="008D2F63"/>
    <w:rsid w:val="008D4864"/>
    <w:rsid w:val="008D497C"/>
    <w:rsid w:val="008D4A2B"/>
    <w:rsid w:val="008D58B2"/>
    <w:rsid w:val="008D595D"/>
    <w:rsid w:val="008D5D75"/>
    <w:rsid w:val="008E0BE7"/>
    <w:rsid w:val="008E1CB2"/>
    <w:rsid w:val="008E5396"/>
    <w:rsid w:val="008E5773"/>
    <w:rsid w:val="008E5863"/>
    <w:rsid w:val="008E5BEE"/>
    <w:rsid w:val="008E64A0"/>
    <w:rsid w:val="008F09B8"/>
    <w:rsid w:val="008F1277"/>
    <w:rsid w:val="008F1444"/>
    <w:rsid w:val="008F2BC6"/>
    <w:rsid w:val="008F3095"/>
    <w:rsid w:val="00900ECF"/>
    <w:rsid w:val="00900F5F"/>
    <w:rsid w:val="00901018"/>
    <w:rsid w:val="00902074"/>
    <w:rsid w:val="009023B2"/>
    <w:rsid w:val="0090398F"/>
    <w:rsid w:val="00904E64"/>
    <w:rsid w:val="00905B8C"/>
    <w:rsid w:val="00910704"/>
    <w:rsid w:val="009108C6"/>
    <w:rsid w:val="00910C76"/>
    <w:rsid w:val="00912220"/>
    <w:rsid w:val="00912B11"/>
    <w:rsid w:val="00912FCF"/>
    <w:rsid w:val="00913714"/>
    <w:rsid w:val="00913D82"/>
    <w:rsid w:val="00914B6D"/>
    <w:rsid w:val="00914DB4"/>
    <w:rsid w:val="00916294"/>
    <w:rsid w:val="009173C2"/>
    <w:rsid w:val="00917726"/>
    <w:rsid w:val="00920A6B"/>
    <w:rsid w:val="00921D2A"/>
    <w:rsid w:val="009221DC"/>
    <w:rsid w:val="00923685"/>
    <w:rsid w:val="0092497F"/>
    <w:rsid w:val="009254B3"/>
    <w:rsid w:val="0093037D"/>
    <w:rsid w:val="009307B2"/>
    <w:rsid w:val="00930EDA"/>
    <w:rsid w:val="00932923"/>
    <w:rsid w:val="009345FF"/>
    <w:rsid w:val="0093498A"/>
    <w:rsid w:val="00934A50"/>
    <w:rsid w:val="00934A6C"/>
    <w:rsid w:val="00934F2C"/>
    <w:rsid w:val="0093584F"/>
    <w:rsid w:val="00940E63"/>
    <w:rsid w:val="00941439"/>
    <w:rsid w:val="009414EE"/>
    <w:rsid w:val="00942B6E"/>
    <w:rsid w:val="00944B5D"/>
    <w:rsid w:val="00944DA0"/>
    <w:rsid w:val="00946378"/>
    <w:rsid w:val="00946647"/>
    <w:rsid w:val="0095098D"/>
    <w:rsid w:val="0095334D"/>
    <w:rsid w:val="00953F23"/>
    <w:rsid w:val="00954499"/>
    <w:rsid w:val="0095531C"/>
    <w:rsid w:val="00956E6C"/>
    <w:rsid w:val="00956EEF"/>
    <w:rsid w:val="00960208"/>
    <w:rsid w:val="00960AB7"/>
    <w:rsid w:val="0096148D"/>
    <w:rsid w:val="0096163F"/>
    <w:rsid w:val="00961B37"/>
    <w:rsid w:val="00964DD9"/>
    <w:rsid w:val="009667DA"/>
    <w:rsid w:val="00967EA9"/>
    <w:rsid w:val="009705FD"/>
    <w:rsid w:val="00972121"/>
    <w:rsid w:val="00973C3A"/>
    <w:rsid w:val="00974D36"/>
    <w:rsid w:val="00977660"/>
    <w:rsid w:val="00980542"/>
    <w:rsid w:val="00981C16"/>
    <w:rsid w:val="00984143"/>
    <w:rsid w:val="00987914"/>
    <w:rsid w:val="00990197"/>
    <w:rsid w:val="00990720"/>
    <w:rsid w:val="0099081F"/>
    <w:rsid w:val="00991CB8"/>
    <w:rsid w:val="00992A98"/>
    <w:rsid w:val="00992D11"/>
    <w:rsid w:val="00993494"/>
    <w:rsid w:val="00993716"/>
    <w:rsid w:val="009946EE"/>
    <w:rsid w:val="009A366C"/>
    <w:rsid w:val="009A36E7"/>
    <w:rsid w:val="009A3F9F"/>
    <w:rsid w:val="009A571A"/>
    <w:rsid w:val="009A65B2"/>
    <w:rsid w:val="009A6DC1"/>
    <w:rsid w:val="009A6E78"/>
    <w:rsid w:val="009B20CA"/>
    <w:rsid w:val="009B46A2"/>
    <w:rsid w:val="009B5116"/>
    <w:rsid w:val="009B51A6"/>
    <w:rsid w:val="009B56B7"/>
    <w:rsid w:val="009B6BE9"/>
    <w:rsid w:val="009B6C0F"/>
    <w:rsid w:val="009B6F07"/>
    <w:rsid w:val="009B71B5"/>
    <w:rsid w:val="009C060A"/>
    <w:rsid w:val="009C19F1"/>
    <w:rsid w:val="009C20F3"/>
    <w:rsid w:val="009C3798"/>
    <w:rsid w:val="009C481B"/>
    <w:rsid w:val="009C5145"/>
    <w:rsid w:val="009C5226"/>
    <w:rsid w:val="009C622A"/>
    <w:rsid w:val="009C722A"/>
    <w:rsid w:val="009C74F2"/>
    <w:rsid w:val="009D1193"/>
    <w:rsid w:val="009D197A"/>
    <w:rsid w:val="009D1EB0"/>
    <w:rsid w:val="009D2705"/>
    <w:rsid w:val="009D2CAD"/>
    <w:rsid w:val="009D2FC7"/>
    <w:rsid w:val="009D33C8"/>
    <w:rsid w:val="009D42E1"/>
    <w:rsid w:val="009D4A77"/>
    <w:rsid w:val="009D5232"/>
    <w:rsid w:val="009D55A7"/>
    <w:rsid w:val="009D68F1"/>
    <w:rsid w:val="009E0BD7"/>
    <w:rsid w:val="009E2DAD"/>
    <w:rsid w:val="009E2DE1"/>
    <w:rsid w:val="009E40A3"/>
    <w:rsid w:val="009E6A97"/>
    <w:rsid w:val="009E7C7A"/>
    <w:rsid w:val="009F0414"/>
    <w:rsid w:val="009F1111"/>
    <w:rsid w:val="009F1C7F"/>
    <w:rsid w:val="009F374D"/>
    <w:rsid w:val="009F4284"/>
    <w:rsid w:val="009F4A23"/>
    <w:rsid w:val="009F4EFE"/>
    <w:rsid w:val="009F63E8"/>
    <w:rsid w:val="009F6833"/>
    <w:rsid w:val="009F696E"/>
    <w:rsid w:val="009F6FC8"/>
    <w:rsid w:val="009F71FD"/>
    <w:rsid w:val="00A00615"/>
    <w:rsid w:val="00A00E7A"/>
    <w:rsid w:val="00A0153E"/>
    <w:rsid w:val="00A01F9A"/>
    <w:rsid w:val="00A02DB1"/>
    <w:rsid w:val="00A05349"/>
    <w:rsid w:val="00A06652"/>
    <w:rsid w:val="00A10AEB"/>
    <w:rsid w:val="00A10F96"/>
    <w:rsid w:val="00A11940"/>
    <w:rsid w:val="00A14619"/>
    <w:rsid w:val="00A14EA0"/>
    <w:rsid w:val="00A1539C"/>
    <w:rsid w:val="00A156F2"/>
    <w:rsid w:val="00A20259"/>
    <w:rsid w:val="00A20345"/>
    <w:rsid w:val="00A2134C"/>
    <w:rsid w:val="00A21B16"/>
    <w:rsid w:val="00A24333"/>
    <w:rsid w:val="00A257F5"/>
    <w:rsid w:val="00A27107"/>
    <w:rsid w:val="00A2789B"/>
    <w:rsid w:val="00A346D6"/>
    <w:rsid w:val="00A35761"/>
    <w:rsid w:val="00A3588B"/>
    <w:rsid w:val="00A35927"/>
    <w:rsid w:val="00A377C2"/>
    <w:rsid w:val="00A40BEA"/>
    <w:rsid w:val="00A42200"/>
    <w:rsid w:val="00A42A68"/>
    <w:rsid w:val="00A443EC"/>
    <w:rsid w:val="00A45515"/>
    <w:rsid w:val="00A460F4"/>
    <w:rsid w:val="00A46877"/>
    <w:rsid w:val="00A46FCD"/>
    <w:rsid w:val="00A5111A"/>
    <w:rsid w:val="00A52A10"/>
    <w:rsid w:val="00A53118"/>
    <w:rsid w:val="00A53449"/>
    <w:rsid w:val="00A5418B"/>
    <w:rsid w:val="00A548CF"/>
    <w:rsid w:val="00A554C1"/>
    <w:rsid w:val="00A55B2E"/>
    <w:rsid w:val="00A563C5"/>
    <w:rsid w:val="00A57BE3"/>
    <w:rsid w:val="00A61371"/>
    <w:rsid w:val="00A61420"/>
    <w:rsid w:val="00A62C8C"/>
    <w:rsid w:val="00A632BC"/>
    <w:rsid w:val="00A6340D"/>
    <w:rsid w:val="00A64602"/>
    <w:rsid w:val="00A650EB"/>
    <w:rsid w:val="00A67054"/>
    <w:rsid w:val="00A67D77"/>
    <w:rsid w:val="00A708F0"/>
    <w:rsid w:val="00A71F3A"/>
    <w:rsid w:val="00A72385"/>
    <w:rsid w:val="00A74140"/>
    <w:rsid w:val="00A76167"/>
    <w:rsid w:val="00A7637B"/>
    <w:rsid w:val="00A77564"/>
    <w:rsid w:val="00A81602"/>
    <w:rsid w:val="00A83711"/>
    <w:rsid w:val="00A83CBB"/>
    <w:rsid w:val="00A8641D"/>
    <w:rsid w:val="00A86518"/>
    <w:rsid w:val="00A905AB"/>
    <w:rsid w:val="00A93118"/>
    <w:rsid w:val="00A93A82"/>
    <w:rsid w:val="00A9416F"/>
    <w:rsid w:val="00A944BF"/>
    <w:rsid w:val="00A9481B"/>
    <w:rsid w:val="00A94AAD"/>
    <w:rsid w:val="00A96ABE"/>
    <w:rsid w:val="00AA084B"/>
    <w:rsid w:val="00AA1732"/>
    <w:rsid w:val="00AA1909"/>
    <w:rsid w:val="00AA46DB"/>
    <w:rsid w:val="00AB1FC9"/>
    <w:rsid w:val="00AB6727"/>
    <w:rsid w:val="00AC58E1"/>
    <w:rsid w:val="00AC785E"/>
    <w:rsid w:val="00AD0A57"/>
    <w:rsid w:val="00AD1C3D"/>
    <w:rsid w:val="00AD5711"/>
    <w:rsid w:val="00AD61BA"/>
    <w:rsid w:val="00AD701C"/>
    <w:rsid w:val="00AE0BDF"/>
    <w:rsid w:val="00AE132F"/>
    <w:rsid w:val="00AE29AE"/>
    <w:rsid w:val="00AE55C6"/>
    <w:rsid w:val="00AE61CF"/>
    <w:rsid w:val="00AE644C"/>
    <w:rsid w:val="00AE651D"/>
    <w:rsid w:val="00AE7B80"/>
    <w:rsid w:val="00AF0BCA"/>
    <w:rsid w:val="00AF1384"/>
    <w:rsid w:val="00AF354B"/>
    <w:rsid w:val="00AF51A0"/>
    <w:rsid w:val="00AF5462"/>
    <w:rsid w:val="00B02E5B"/>
    <w:rsid w:val="00B04C33"/>
    <w:rsid w:val="00B05EBE"/>
    <w:rsid w:val="00B0636E"/>
    <w:rsid w:val="00B0693F"/>
    <w:rsid w:val="00B06F4F"/>
    <w:rsid w:val="00B109D9"/>
    <w:rsid w:val="00B11107"/>
    <w:rsid w:val="00B12072"/>
    <w:rsid w:val="00B14F32"/>
    <w:rsid w:val="00B14F37"/>
    <w:rsid w:val="00B176C1"/>
    <w:rsid w:val="00B20879"/>
    <w:rsid w:val="00B20D33"/>
    <w:rsid w:val="00B21CA6"/>
    <w:rsid w:val="00B247EC"/>
    <w:rsid w:val="00B26D80"/>
    <w:rsid w:val="00B30BEC"/>
    <w:rsid w:val="00B31F28"/>
    <w:rsid w:val="00B32363"/>
    <w:rsid w:val="00B32CE6"/>
    <w:rsid w:val="00B34CD7"/>
    <w:rsid w:val="00B34D57"/>
    <w:rsid w:val="00B34E5A"/>
    <w:rsid w:val="00B35509"/>
    <w:rsid w:val="00B36C09"/>
    <w:rsid w:val="00B37639"/>
    <w:rsid w:val="00B426E8"/>
    <w:rsid w:val="00B42E45"/>
    <w:rsid w:val="00B443BD"/>
    <w:rsid w:val="00B4492C"/>
    <w:rsid w:val="00B46286"/>
    <w:rsid w:val="00B462E9"/>
    <w:rsid w:val="00B47349"/>
    <w:rsid w:val="00B521F4"/>
    <w:rsid w:val="00B529ED"/>
    <w:rsid w:val="00B53413"/>
    <w:rsid w:val="00B534DD"/>
    <w:rsid w:val="00B53546"/>
    <w:rsid w:val="00B55E77"/>
    <w:rsid w:val="00B56CBE"/>
    <w:rsid w:val="00B60397"/>
    <w:rsid w:val="00B619D3"/>
    <w:rsid w:val="00B623F5"/>
    <w:rsid w:val="00B62B77"/>
    <w:rsid w:val="00B62C98"/>
    <w:rsid w:val="00B642AB"/>
    <w:rsid w:val="00B64561"/>
    <w:rsid w:val="00B66B40"/>
    <w:rsid w:val="00B72575"/>
    <w:rsid w:val="00B7730F"/>
    <w:rsid w:val="00B77B29"/>
    <w:rsid w:val="00B815C6"/>
    <w:rsid w:val="00B82049"/>
    <w:rsid w:val="00B82FBF"/>
    <w:rsid w:val="00B84443"/>
    <w:rsid w:val="00B84781"/>
    <w:rsid w:val="00B853BF"/>
    <w:rsid w:val="00B865B1"/>
    <w:rsid w:val="00B86FF3"/>
    <w:rsid w:val="00B87C54"/>
    <w:rsid w:val="00B90BB3"/>
    <w:rsid w:val="00B91860"/>
    <w:rsid w:val="00B91E8A"/>
    <w:rsid w:val="00B922ED"/>
    <w:rsid w:val="00B9315B"/>
    <w:rsid w:val="00B93F9C"/>
    <w:rsid w:val="00B96B4E"/>
    <w:rsid w:val="00BA1644"/>
    <w:rsid w:val="00BA22A9"/>
    <w:rsid w:val="00BA2831"/>
    <w:rsid w:val="00BA2984"/>
    <w:rsid w:val="00BA4149"/>
    <w:rsid w:val="00BA41C5"/>
    <w:rsid w:val="00BA4A2A"/>
    <w:rsid w:val="00BA4E53"/>
    <w:rsid w:val="00BA4E91"/>
    <w:rsid w:val="00BA4EC0"/>
    <w:rsid w:val="00BA6545"/>
    <w:rsid w:val="00BA6E3D"/>
    <w:rsid w:val="00BA781A"/>
    <w:rsid w:val="00BA7E10"/>
    <w:rsid w:val="00BB034A"/>
    <w:rsid w:val="00BB037D"/>
    <w:rsid w:val="00BB0A18"/>
    <w:rsid w:val="00BB338F"/>
    <w:rsid w:val="00BB4988"/>
    <w:rsid w:val="00BB5420"/>
    <w:rsid w:val="00BB5EB9"/>
    <w:rsid w:val="00BB7B1C"/>
    <w:rsid w:val="00BC02F9"/>
    <w:rsid w:val="00BC4A80"/>
    <w:rsid w:val="00BC786A"/>
    <w:rsid w:val="00BC7942"/>
    <w:rsid w:val="00BC7C6B"/>
    <w:rsid w:val="00BC7D05"/>
    <w:rsid w:val="00BD0EE7"/>
    <w:rsid w:val="00BD2F86"/>
    <w:rsid w:val="00BD394B"/>
    <w:rsid w:val="00BD4137"/>
    <w:rsid w:val="00BD4BC2"/>
    <w:rsid w:val="00BD4C3C"/>
    <w:rsid w:val="00BD5464"/>
    <w:rsid w:val="00BD6C23"/>
    <w:rsid w:val="00BE0356"/>
    <w:rsid w:val="00BE1AA8"/>
    <w:rsid w:val="00BE25BC"/>
    <w:rsid w:val="00BE2795"/>
    <w:rsid w:val="00BE2F3A"/>
    <w:rsid w:val="00BE5174"/>
    <w:rsid w:val="00BE5A49"/>
    <w:rsid w:val="00BE67BA"/>
    <w:rsid w:val="00BF2156"/>
    <w:rsid w:val="00BF43E6"/>
    <w:rsid w:val="00BF4899"/>
    <w:rsid w:val="00BF64E3"/>
    <w:rsid w:val="00C04A5C"/>
    <w:rsid w:val="00C04CE2"/>
    <w:rsid w:val="00C059B3"/>
    <w:rsid w:val="00C05E72"/>
    <w:rsid w:val="00C07690"/>
    <w:rsid w:val="00C10C12"/>
    <w:rsid w:val="00C12A03"/>
    <w:rsid w:val="00C12ED5"/>
    <w:rsid w:val="00C140F7"/>
    <w:rsid w:val="00C14301"/>
    <w:rsid w:val="00C15C62"/>
    <w:rsid w:val="00C16EBF"/>
    <w:rsid w:val="00C30B18"/>
    <w:rsid w:val="00C325BB"/>
    <w:rsid w:val="00C341C5"/>
    <w:rsid w:val="00C345A1"/>
    <w:rsid w:val="00C34767"/>
    <w:rsid w:val="00C35113"/>
    <w:rsid w:val="00C36029"/>
    <w:rsid w:val="00C363E6"/>
    <w:rsid w:val="00C36AC2"/>
    <w:rsid w:val="00C42B95"/>
    <w:rsid w:val="00C4316D"/>
    <w:rsid w:val="00C4443B"/>
    <w:rsid w:val="00C444B6"/>
    <w:rsid w:val="00C44530"/>
    <w:rsid w:val="00C44806"/>
    <w:rsid w:val="00C4483E"/>
    <w:rsid w:val="00C44841"/>
    <w:rsid w:val="00C45025"/>
    <w:rsid w:val="00C45104"/>
    <w:rsid w:val="00C45549"/>
    <w:rsid w:val="00C47BF3"/>
    <w:rsid w:val="00C50370"/>
    <w:rsid w:val="00C51057"/>
    <w:rsid w:val="00C541EE"/>
    <w:rsid w:val="00C54A46"/>
    <w:rsid w:val="00C55658"/>
    <w:rsid w:val="00C56128"/>
    <w:rsid w:val="00C5749F"/>
    <w:rsid w:val="00C64BA2"/>
    <w:rsid w:val="00C7075F"/>
    <w:rsid w:val="00C712C6"/>
    <w:rsid w:val="00C71B21"/>
    <w:rsid w:val="00C71E0D"/>
    <w:rsid w:val="00C7233B"/>
    <w:rsid w:val="00C736AC"/>
    <w:rsid w:val="00C7472F"/>
    <w:rsid w:val="00C762B4"/>
    <w:rsid w:val="00C81716"/>
    <w:rsid w:val="00C81C7A"/>
    <w:rsid w:val="00C8258F"/>
    <w:rsid w:val="00C84F30"/>
    <w:rsid w:val="00C852CC"/>
    <w:rsid w:val="00C85EC3"/>
    <w:rsid w:val="00C86974"/>
    <w:rsid w:val="00C86FD1"/>
    <w:rsid w:val="00C90B70"/>
    <w:rsid w:val="00C90D25"/>
    <w:rsid w:val="00C9264C"/>
    <w:rsid w:val="00C92990"/>
    <w:rsid w:val="00C94776"/>
    <w:rsid w:val="00C94E24"/>
    <w:rsid w:val="00CA162C"/>
    <w:rsid w:val="00CA1898"/>
    <w:rsid w:val="00CA2DBD"/>
    <w:rsid w:val="00CA46ED"/>
    <w:rsid w:val="00CA4987"/>
    <w:rsid w:val="00CA5073"/>
    <w:rsid w:val="00CB113C"/>
    <w:rsid w:val="00CB2970"/>
    <w:rsid w:val="00CB2974"/>
    <w:rsid w:val="00CB2B7A"/>
    <w:rsid w:val="00CB3254"/>
    <w:rsid w:val="00CB362C"/>
    <w:rsid w:val="00CB56FA"/>
    <w:rsid w:val="00CB5A62"/>
    <w:rsid w:val="00CB681E"/>
    <w:rsid w:val="00CC0155"/>
    <w:rsid w:val="00CC1374"/>
    <w:rsid w:val="00CC419C"/>
    <w:rsid w:val="00CC4B0B"/>
    <w:rsid w:val="00CC6376"/>
    <w:rsid w:val="00CC65A5"/>
    <w:rsid w:val="00CC6921"/>
    <w:rsid w:val="00CC7666"/>
    <w:rsid w:val="00CD072D"/>
    <w:rsid w:val="00CD13D8"/>
    <w:rsid w:val="00CD176A"/>
    <w:rsid w:val="00CD29DE"/>
    <w:rsid w:val="00CD2C1F"/>
    <w:rsid w:val="00CD3D52"/>
    <w:rsid w:val="00CD3E3E"/>
    <w:rsid w:val="00CD6C16"/>
    <w:rsid w:val="00CD7CB2"/>
    <w:rsid w:val="00CD7E0D"/>
    <w:rsid w:val="00CE10FA"/>
    <w:rsid w:val="00CE13DF"/>
    <w:rsid w:val="00CE1DD5"/>
    <w:rsid w:val="00CE1F78"/>
    <w:rsid w:val="00CE2472"/>
    <w:rsid w:val="00CE2484"/>
    <w:rsid w:val="00CE279A"/>
    <w:rsid w:val="00CE3B67"/>
    <w:rsid w:val="00CE5BCE"/>
    <w:rsid w:val="00CE65A7"/>
    <w:rsid w:val="00CE6EFE"/>
    <w:rsid w:val="00CE79F8"/>
    <w:rsid w:val="00CF12FC"/>
    <w:rsid w:val="00CF3827"/>
    <w:rsid w:val="00CF4D72"/>
    <w:rsid w:val="00CF7BB1"/>
    <w:rsid w:val="00D002F2"/>
    <w:rsid w:val="00D02EED"/>
    <w:rsid w:val="00D06B9C"/>
    <w:rsid w:val="00D079DD"/>
    <w:rsid w:val="00D10251"/>
    <w:rsid w:val="00D11160"/>
    <w:rsid w:val="00D12033"/>
    <w:rsid w:val="00D12CA0"/>
    <w:rsid w:val="00D13A18"/>
    <w:rsid w:val="00D151B0"/>
    <w:rsid w:val="00D21936"/>
    <w:rsid w:val="00D23D44"/>
    <w:rsid w:val="00D2559B"/>
    <w:rsid w:val="00D25CEA"/>
    <w:rsid w:val="00D26224"/>
    <w:rsid w:val="00D264FF"/>
    <w:rsid w:val="00D27635"/>
    <w:rsid w:val="00D325E2"/>
    <w:rsid w:val="00D339E7"/>
    <w:rsid w:val="00D37B0E"/>
    <w:rsid w:val="00D41DD5"/>
    <w:rsid w:val="00D4226A"/>
    <w:rsid w:val="00D42DE6"/>
    <w:rsid w:val="00D439B5"/>
    <w:rsid w:val="00D44777"/>
    <w:rsid w:val="00D44CD8"/>
    <w:rsid w:val="00D45288"/>
    <w:rsid w:val="00D469EE"/>
    <w:rsid w:val="00D46FD3"/>
    <w:rsid w:val="00D472BB"/>
    <w:rsid w:val="00D4784D"/>
    <w:rsid w:val="00D5151F"/>
    <w:rsid w:val="00D517AD"/>
    <w:rsid w:val="00D54007"/>
    <w:rsid w:val="00D54306"/>
    <w:rsid w:val="00D55B7E"/>
    <w:rsid w:val="00D57973"/>
    <w:rsid w:val="00D57986"/>
    <w:rsid w:val="00D60E33"/>
    <w:rsid w:val="00D61500"/>
    <w:rsid w:val="00D61B9F"/>
    <w:rsid w:val="00D61E43"/>
    <w:rsid w:val="00D625D9"/>
    <w:rsid w:val="00D62E0B"/>
    <w:rsid w:val="00D63A40"/>
    <w:rsid w:val="00D65A15"/>
    <w:rsid w:val="00D74150"/>
    <w:rsid w:val="00D74D30"/>
    <w:rsid w:val="00D7746F"/>
    <w:rsid w:val="00D806F3"/>
    <w:rsid w:val="00D8250F"/>
    <w:rsid w:val="00D8279D"/>
    <w:rsid w:val="00D85A36"/>
    <w:rsid w:val="00D85C38"/>
    <w:rsid w:val="00D8614F"/>
    <w:rsid w:val="00D87757"/>
    <w:rsid w:val="00D95A3C"/>
    <w:rsid w:val="00DA0079"/>
    <w:rsid w:val="00DA0270"/>
    <w:rsid w:val="00DA4695"/>
    <w:rsid w:val="00DA4C47"/>
    <w:rsid w:val="00DA5F2E"/>
    <w:rsid w:val="00DA6941"/>
    <w:rsid w:val="00DB2C28"/>
    <w:rsid w:val="00DB321B"/>
    <w:rsid w:val="00DB638E"/>
    <w:rsid w:val="00DB6D25"/>
    <w:rsid w:val="00DB6DE1"/>
    <w:rsid w:val="00DC19AF"/>
    <w:rsid w:val="00DC1C8C"/>
    <w:rsid w:val="00DC2D0E"/>
    <w:rsid w:val="00DC341B"/>
    <w:rsid w:val="00DC34CE"/>
    <w:rsid w:val="00DC4381"/>
    <w:rsid w:val="00DC5082"/>
    <w:rsid w:val="00DD1129"/>
    <w:rsid w:val="00DD54D1"/>
    <w:rsid w:val="00DD5F4C"/>
    <w:rsid w:val="00DD7C0C"/>
    <w:rsid w:val="00DE1A37"/>
    <w:rsid w:val="00DE2B2D"/>
    <w:rsid w:val="00DE3110"/>
    <w:rsid w:val="00DE5B28"/>
    <w:rsid w:val="00DE62EB"/>
    <w:rsid w:val="00DE65B4"/>
    <w:rsid w:val="00DF0087"/>
    <w:rsid w:val="00DF0BF5"/>
    <w:rsid w:val="00DF2273"/>
    <w:rsid w:val="00DF39D5"/>
    <w:rsid w:val="00DF42A5"/>
    <w:rsid w:val="00DF517E"/>
    <w:rsid w:val="00DF6AC2"/>
    <w:rsid w:val="00DF76AF"/>
    <w:rsid w:val="00E00FA2"/>
    <w:rsid w:val="00E015C3"/>
    <w:rsid w:val="00E04184"/>
    <w:rsid w:val="00E07A5B"/>
    <w:rsid w:val="00E10ECB"/>
    <w:rsid w:val="00E111A5"/>
    <w:rsid w:val="00E13914"/>
    <w:rsid w:val="00E13A86"/>
    <w:rsid w:val="00E1429E"/>
    <w:rsid w:val="00E15E02"/>
    <w:rsid w:val="00E178AE"/>
    <w:rsid w:val="00E20627"/>
    <w:rsid w:val="00E216E6"/>
    <w:rsid w:val="00E22404"/>
    <w:rsid w:val="00E2252A"/>
    <w:rsid w:val="00E22A50"/>
    <w:rsid w:val="00E24232"/>
    <w:rsid w:val="00E261B8"/>
    <w:rsid w:val="00E26674"/>
    <w:rsid w:val="00E30448"/>
    <w:rsid w:val="00E310B2"/>
    <w:rsid w:val="00E32EE5"/>
    <w:rsid w:val="00E3448B"/>
    <w:rsid w:val="00E34D8B"/>
    <w:rsid w:val="00E34E5E"/>
    <w:rsid w:val="00E35A4D"/>
    <w:rsid w:val="00E371E6"/>
    <w:rsid w:val="00E4082A"/>
    <w:rsid w:val="00E432A1"/>
    <w:rsid w:val="00E448D0"/>
    <w:rsid w:val="00E46320"/>
    <w:rsid w:val="00E51968"/>
    <w:rsid w:val="00E52F7F"/>
    <w:rsid w:val="00E54115"/>
    <w:rsid w:val="00E54387"/>
    <w:rsid w:val="00E54592"/>
    <w:rsid w:val="00E549E8"/>
    <w:rsid w:val="00E55397"/>
    <w:rsid w:val="00E55D07"/>
    <w:rsid w:val="00E5681E"/>
    <w:rsid w:val="00E577A0"/>
    <w:rsid w:val="00E60053"/>
    <w:rsid w:val="00E62EBA"/>
    <w:rsid w:val="00E638B0"/>
    <w:rsid w:val="00E6412C"/>
    <w:rsid w:val="00E64372"/>
    <w:rsid w:val="00E6489C"/>
    <w:rsid w:val="00E64DF7"/>
    <w:rsid w:val="00E650FC"/>
    <w:rsid w:val="00E6525D"/>
    <w:rsid w:val="00E66773"/>
    <w:rsid w:val="00E7147F"/>
    <w:rsid w:val="00E7254C"/>
    <w:rsid w:val="00E73174"/>
    <w:rsid w:val="00E74606"/>
    <w:rsid w:val="00E750D8"/>
    <w:rsid w:val="00E777C0"/>
    <w:rsid w:val="00E80A59"/>
    <w:rsid w:val="00E867E8"/>
    <w:rsid w:val="00E86826"/>
    <w:rsid w:val="00E90ECA"/>
    <w:rsid w:val="00E95E53"/>
    <w:rsid w:val="00E972BC"/>
    <w:rsid w:val="00EA0E2E"/>
    <w:rsid w:val="00EA2CA8"/>
    <w:rsid w:val="00EA452F"/>
    <w:rsid w:val="00EA4FEC"/>
    <w:rsid w:val="00EB1935"/>
    <w:rsid w:val="00EB6500"/>
    <w:rsid w:val="00EB65DE"/>
    <w:rsid w:val="00EB70D7"/>
    <w:rsid w:val="00EB7468"/>
    <w:rsid w:val="00EC0CC0"/>
    <w:rsid w:val="00EC1A76"/>
    <w:rsid w:val="00EC3BDC"/>
    <w:rsid w:val="00EC4C5B"/>
    <w:rsid w:val="00EC5C9F"/>
    <w:rsid w:val="00EC60DF"/>
    <w:rsid w:val="00EC6428"/>
    <w:rsid w:val="00EC6693"/>
    <w:rsid w:val="00EC762A"/>
    <w:rsid w:val="00ED01CD"/>
    <w:rsid w:val="00ED0AD0"/>
    <w:rsid w:val="00ED11F3"/>
    <w:rsid w:val="00ED1B40"/>
    <w:rsid w:val="00ED3115"/>
    <w:rsid w:val="00ED34E4"/>
    <w:rsid w:val="00ED3C02"/>
    <w:rsid w:val="00ED3C63"/>
    <w:rsid w:val="00ED5124"/>
    <w:rsid w:val="00ED512A"/>
    <w:rsid w:val="00ED69B7"/>
    <w:rsid w:val="00ED7256"/>
    <w:rsid w:val="00ED7C72"/>
    <w:rsid w:val="00EE0BE3"/>
    <w:rsid w:val="00EE172A"/>
    <w:rsid w:val="00EE1A9B"/>
    <w:rsid w:val="00EE1EBD"/>
    <w:rsid w:val="00EE3338"/>
    <w:rsid w:val="00EE3BA5"/>
    <w:rsid w:val="00EE41EE"/>
    <w:rsid w:val="00EE70B4"/>
    <w:rsid w:val="00EE7B9A"/>
    <w:rsid w:val="00EF02B1"/>
    <w:rsid w:val="00EF14FD"/>
    <w:rsid w:val="00EF21BC"/>
    <w:rsid w:val="00EF2227"/>
    <w:rsid w:val="00EF39F9"/>
    <w:rsid w:val="00EF54EF"/>
    <w:rsid w:val="00EF7E48"/>
    <w:rsid w:val="00EF7E89"/>
    <w:rsid w:val="00F0071B"/>
    <w:rsid w:val="00F03B77"/>
    <w:rsid w:val="00F046BB"/>
    <w:rsid w:val="00F051FE"/>
    <w:rsid w:val="00F059AF"/>
    <w:rsid w:val="00F05A75"/>
    <w:rsid w:val="00F07B6C"/>
    <w:rsid w:val="00F104DF"/>
    <w:rsid w:val="00F107D8"/>
    <w:rsid w:val="00F10AD0"/>
    <w:rsid w:val="00F11A46"/>
    <w:rsid w:val="00F11F3C"/>
    <w:rsid w:val="00F13700"/>
    <w:rsid w:val="00F13841"/>
    <w:rsid w:val="00F1386B"/>
    <w:rsid w:val="00F14626"/>
    <w:rsid w:val="00F16229"/>
    <w:rsid w:val="00F21ED9"/>
    <w:rsid w:val="00F21F81"/>
    <w:rsid w:val="00F23292"/>
    <w:rsid w:val="00F239A3"/>
    <w:rsid w:val="00F25496"/>
    <w:rsid w:val="00F30269"/>
    <w:rsid w:val="00F30EBB"/>
    <w:rsid w:val="00F31650"/>
    <w:rsid w:val="00F329E9"/>
    <w:rsid w:val="00F34901"/>
    <w:rsid w:val="00F34EEE"/>
    <w:rsid w:val="00F3509C"/>
    <w:rsid w:val="00F359B6"/>
    <w:rsid w:val="00F368DB"/>
    <w:rsid w:val="00F369AE"/>
    <w:rsid w:val="00F36DB6"/>
    <w:rsid w:val="00F37170"/>
    <w:rsid w:val="00F374A8"/>
    <w:rsid w:val="00F40A20"/>
    <w:rsid w:val="00F44202"/>
    <w:rsid w:val="00F44A56"/>
    <w:rsid w:val="00F46CD2"/>
    <w:rsid w:val="00F47A86"/>
    <w:rsid w:val="00F503C2"/>
    <w:rsid w:val="00F508D3"/>
    <w:rsid w:val="00F523C6"/>
    <w:rsid w:val="00F52466"/>
    <w:rsid w:val="00F5335F"/>
    <w:rsid w:val="00F53821"/>
    <w:rsid w:val="00F55F72"/>
    <w:rsid w:val="00F569E1"/>
    <w:rsid w:val="00F56F5F"/>
    <w:rsid w:val="00F57003"/>
    <w:rsid w:val="00F57550"/>
    <w:rsid w:val="00F6001B"/>
    <w:rsid w:val="00F614E2"/>
    <w:rsid w:val="00F63F85"/>
    <w:rsid w:val="00F640C1"/>
    <w:rsid w:val="00F679D7"/>
    <w:rsid w:val="00F76342"/>
    <w:rsid w:val="00F76EBD"/>
    <w:rsid w:val="00F80051"/>
    <w:rsid w:val="00F819F8"/>
    <w:rsid w:val="00F829C2"/>
    <w:rsid w:val="00F845B5"/>
    <w:rsid w:val="00F8669D"/>
    <w:rsid w:val="00F8709A"/>
    <w:rsid w:val="00F90551"/>
    <w:rsid w:val="00F90681"/>
    <w:rsid w:val="00F910F5"/>
    <w:rsid w:val="00F91D2C"/>
    <w:rsid w:val="00F91F72"/>
    <w:rsid w:val="00F923D2"/>
    <w:rsid w:val="00F93DD6"/>
    <w:rsid w:val="00F96466"/>
    <w:rsid w:val="00F973FE"/>
    <w:rsid w:val="00F9742E"/>
    <w:rsid w:val="00F97451"/>
    <w:rsid w:val="00FA1018"/>
    <w:rsid w:val="00FA119C"/>
    <w:rsid w:val="00FA2EB7"/>
    <w:rsid w:val="00FA40E9"/>
    <w:rsid w:val="00FA5B90"/>
    <w:rsid w:val="00FA77CE"/>
    <w:rsid w:val="00FB0234"/>
    <w:rsid w:val="00FB0DF8"/>
    <w:rsid w:val="00FB0E69"/>
    <w:rsid w:val="00FB354A"/>
    <w:rsid w:val="00FB4537"/>
    <w:rsid w:val="00FB62F9"/>
    <w:rsid w:val="00FB760C"/>
    <w:rsid w:val="00FB7C75"/>
    <w:rsid w:val="00FB7FA3"/>
    <w:rsid w:val="00FC242B"/>
    <w:rsid w:val="00FC38F6"/>
    <w:rsid w:val="00FC4C23"/>
    <w:rsid w:val="00FC62F3"/>
    <w:rsid w:val="00FC64C1"/>
    <w:rsid w:val="00FC64FC"/>
    <w:rsid w:val="00FC66C2"/>
    <w:rsid w:val="00FC6B82"/>
    <w:rsid w:val="00FC7F1F"/>
    <w:rsid w:val="00FD13C9"/>
    <w:rsid w:val="00FD1522"/>
    <w:rsid w:val="00FD31AF"/>
    <w:rsid w:val="00FD3CBF"/>
    <w:rsid w:val="00FD5751"/>
    <w:rsid w:val="00FD7ACB"/>
    <w:rsid w:val="00FD7C6E"/>
    <w:rsid w:val="00FE0D94"/>
    <w:rsid w:val="00FE0E4E"/>
    <w:rsid w:val="00FE154D"/>
    <w:rsid w:val="00FE2D23"/>
    <w:rsid w:val="00FE3030"/>
    <w:rsid w:val="00FE34BC"/>
    <w:rsid w:val="00FE561E"/>
    <w:rsid w:val="00FE63DA"/>
    <w:rsid w:val="00FE67EA"/>
    <w:rsid w:val="00FE6D8C"/>
    <w:rsid w:val="00FE70DB"/>
    <w:rsid w:val="00FE7500"/>
    <w:rsid w:val="00FF071F"/>
    <w:rsid w:val="00FF6587"/>
    <w:rsid w:val="00FF6A4E"/>
    <w:rsid w:val="00FF6CEA"/>
    <w:rsid w:val="00FF7259"/>
    <w:rsid w:val="00FF745F"/>
    <w:rsid w:val="02E76C05"/>
    <w:rsid w:val="122163DC"/>
    <w:rsid w:val="254632F2"/>
    <w:rsid w:val="2EA6073F"/>
    <w:rsid w:val="4A505959"/>
    <w:rsid w:val="6296706C"/>
    <w:rsid w:val="66A42767"/>
    <w:rsid w:val="682664D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qFormat="1" w:unhideWhenUsed="0" w:uiPriority="0"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宋体" w:hAnsi="Calibri" w:eastAsia="宋体" w:cs="Times New Roman"/>
      <w:kern w:val="2"/>
      <w:sz w:val="28"/>
      <w:szCs w:val="21"/>
      <w:lang w:val="en-US" w:eastAsia="zh-CN" w:bidi="ar-SA"/>
    </w:rPr>
  </w:style>
  <w:style w:type="paragraph" w:styleId="3">
    <w:name w:val="heading 1"/>
    <w:basedOn w:val="1"/>
    <w:next w:val="1"/>
    <w:link w:val="43"/>
    <w:qFormat/>
    <w:uiPriority w:val="9"/>
    <w:pPr>
      <w:keepNext/>
      <w:keepLines/>
      <w:adjustRightInd w:val="0"/>
      <w:snapToGrid w:val="0"/>
      <w:spacing w:line="240" w:lineRule="auto"/>
      <w:ind w:firstLine="0" w:firstLineChars="0"/>
      <w:jc w:val="center"/>
      <w:outlineLvl w:val="0"/>
    </w:pPr>
    <w:rPr>
      <w:rFonts w:ascii="黑体" w:eastAsia="黑体"/>
      <w:bCs/>
      <w:kern w:val="44"/>
      <w:sz w:val="32"/>
      <w:szCs w:val="44"/>
    </w:rPr>
  </w:style>
  <w:style w:type="paragraph" w:styleId="4">
    <w:name w:val="heading 2"/>
    <w:basedOn w:val="1"/>
    <w:next w:val="1"/>
    <w:link w:val="44"/>
    <w:unhideWhenUsed/>
    <w:qFormat/>
    <w:uiPriority w:val="9"/>
    <w:pPr>
      <w:keepNext/>
      <w:keepLines/>
      <w:spacing w:beforeLines="100" w:afterLines="50"/>
      <w:ind w:firstLine="0" w:firstLineChars="0"/>
      <w:jc w:val="left"/>
      <w:outlineLvl w:val="1"/>
    </w:pPr>
    <w:rPr>
      <w:rFonts w:ascii="黑体" w:eastAsia="黑体" w:hAnsiTheme="majorHAnsi" w:cstheme="majorBidi"/>
      <w:bCs/>
      <w:sz w:val="30"/>
      <w:szCs w:val="32"/>
    </w:rPr>
  </w:style>
  <w:style w:type="paragraph" w:styleId="5">
    <w:name w:val="heading 3"/>
    <w:basedOn w:val="1"/>
    <w:next w:val="1"/>
    <w:link w:val="45"/>
    <w:unhideWhenUsed/>
    <w:qFormat/>
    <w:uiPriority w:val="9"/>
    <w:pPr>
      <w:keepNext/>
      <w:keepLines/>
      <w:spacing w:after="60"/>
      <w:ind w:firstLine="0" w:firstLineChars="0"/>
      <w:jc w:val="left"/>
      <w:outlineLvl w:val="2"/>
    </w:pPr>
    <w:rPr>
      <w:rFonts w:ascii="黑体" w:eastAsia="黑体"/>
      <w:bCs/>
      <w:szCs w:val="32"/>
    </w:rPr>
  </w:style>
  <w:style w:type="paragraph" w:styleId="6">
    <w:name w:val="heading 4"/>
    <w:basedOn w:val="1"/>
    <w:next w:val="1"/>
    <w:link w:val="46"/>
    <w:qFormat/>
    <w:uiPriority w:val="9"/>
    <w:pPr>
      <w:keepNext/>
      <w:widowControl/>
      <w:spacing w:before="240" w:after="60" w:line="240" w:lineRule="auto"/>
      <w:ind w:firstLine="0" w:firstLineChars="0"/>
      <w:jc w:val="left"/>
      <w:outlineLvl w:val="3"/>
    </w:pPr>
    <w:rPr>
      <w:rFonts w:ascii="Calibri"/>
      <w:b/>
      <w:bCs/>
      <w:kern w:val="0"/>
      <w:szCs w:val="28"/>
      <w:lang w:eastAsia="en-US" w:bidi="en-US"/>
    </w:rPr>
  </w:style>
  <w:style w:type="paragraph" w:styleId="7">
    <w:name w:val="heading 5"/>
    <w:basedOn w:val="1"/>
    <w:next w:val="1"/>
    <w:link w:val="47"/>
    <w:qFormat/>
    <w:uiPriority w:val="9"/>
    <w:pPr>
      <w:widowControl/>
      <w:spacing w:before="240" w:after="60" w:line="240" w:lineRule="auto"/>
      <w:ind w:firstLine="0" w:firstLineChars="0"/>
      <w:jc w:val="left"/>
      <w:outlineLvl w:val="4"/>
    </w:pPr>
    <w:rPr>
      <w:rFonts w:ascii="Calibri"/>
      <w:b/>
      <w:bCs/>
      <w:iCs/>
      <w:kern w:val="0"/>
      <w:szCs w:val="26"/>
      <w:lang w:eastAsia="en-US" w:bidi="en-US"/>
    </w:rPr>
  </w:style>
  <w:style w:type="paragraph" w:styleId="8">
    <w:name w:val="heading 6"/>
    <w:basedOn w:val="1"/>
    <w:next w:val="1"/>
    <w:link w:val="48"/>
    <w:qFormat/>
    <w:uiPriority w:val="9"/>
    <w:pPr>
      <w:widowControl/>
      <w:spacing w:before="240" w:after="60" w:line="240" w:lineRule="auto"/>
      <w:ind w:firstLine="0" w:firstLineChars="0"/>
      <w:jc w:val="left"/>
      <w:outlineLvl w:val="5"/>
    </w:pPr>
    <w:rPr>
      <w:rFonts w:ascii="Calibri"/>
      <w:b/>
      <w:bCs/>
      <w:kern w:val="0"/>
      <w:sz w:val="22"/>
      <w:szCs w:val="22"/>
      <w:lang w:eastAsia="en-US" w:bidi="en-US"/>
    </w:rPr>
  </w:style>
  <w:style w:type="paragraph" w:styleId="9">
    <w:name w:val="heading 7"/>
    <w:basedOn w:val="1"/>
    <w:next w:val="1"/>
    <w:link w:val="49"/>
    <w:qFormat/>
    <w:uiPriority w:val="9"/>
    <w:pPr>
      <w:widowControl/>
      <w:spacing w:before="240" w:after="60" w:line="240" w:lineRule="auto"/>
      <w:ind w:firstLine="0" w:firstLineChars="0"/>
      <w:jc w:val="left"/>
      <w:outlineLvl w:val="6"/>
    </w:pPr>
    <w:rPr>
      <w:rFonts w:ascii="Calibri"/>
      <w:kern w:val="0"/>
      <w:szCs w:val="24"/>
      <w:lang w:eastAsia="en-US" w:bidi="en-US"/>
    </w:rPr>
  </w:style>
  <w:style w:type="paragraph" w:styleId="10">
    <w:name w:val="heading 8"/>
    <w:basedOn w:val="1"/>
    <w:next w:val="1"/>
    <w:link w:val="50"/>
    <w:qFormat/>
    <w:uiPriority w:val="9"/>
    <w:pPr>
      <w:widowControl/>
      <w:spacing w:before="240" w:after="60" w:line="240" w:lineRule="auto"/>
      <w:ind w:firstLine="0" w:firstLineChars="0"/>
      <w:jc w:val="left"/>
      <w:outlineLvl w:val="7"/>
    </w:pPr>
    <w:rPr>
      <w:rFonts w:ascii="Calibri"/>
      <w:i/>
      <w:iCs/>
      <w:kern w:val="0"/>
      <w:szCs w:val="24"/>
      <w:lang w:eastAsia="en-US" w:bidi="en-US"/>
    </w:rPr>
  </w:style>
  <w:style w:type="paragraph" w:styleId="11">
    <w:name w:val="heading 9"/>
    <w:basedOn w:val="1"/>
    <w:next w:val="1"/>
    <w:link w:val="51"/>
    <w:qFormat/>
    <w:uiPriority w:val="9"/>
    <w:pPr>
      <w:widowControl/>
      <w:spacing w:before="240" w:after="60" w:line="240" w:lineRule="auto"/>
      <w:ind w:firstLine="0" w:firstLineChars="0"/>
      <w:jc w:val="left"/>
      <w:outlineLvl w:val="8"/>
    </w:pPr>
    <w:rPr>
      <w:rFonts w:ascii="Cambria" w:hAnsi="Cambria"/>
      <w:kern w:val="0"/>
      <w:sz w:val="22"/>
      <w:szCs w:val="22"/>
      <w:lang w:eastAsia="en-US" w:bidi="en-US"/>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styleId="2">
    <w:name w:val="macro"/>
    <w:link w:val="79"/>
    <w:semiHidden/>
    <w:qFormat/>
    <w:uiPriority w:val="0"/>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0"/>
      <w:sz w:val="24"/>
      <w:szCs w:val="24"/>
      <w:lang w:val="en-US" w:eastAsia="en-US" w:bidi="en-US"/>
    </w:rPr>
  </w:style>
  <w:style w:type="paragraph" w:styleId="12">
    <w:name w:val="toc 7"/>
    <w:basedOn w:val="1"/>
    <w:next w:val="1"/>
    <w:unhideWhenUsed/>
    <w:qFormat/>
    <w:uiPriority w:val="39"/>
    <w:pPr>
      <w:spacing w:line="240" w:lineRule="auto"/>
      <w:ind w:left="2520" w:leftChars="1200" w:firstLine="0" w:firstLineChars="0"/>
    </w:pPr>
    <w:rPr>
      <w:rFonts w:asciiTheme="minorHAnsi" w:hAnsiTheme="minorHAnsi" w:eastAsiaTheme="minorEastAsia" w:cstheme="minorBidi"/>
      <w:sz w:val="21"/>
      <w:szCs w:val="22"/>
    </w:rPr>
  </w:style>
  <w:style w:type="paragraph" w:styleId="13">
    <w:name w:val="Document Map"/>
    <w:basedOn w:val="1"/>
    <w:link w:val="54"/>
    <w:semiHidden/>
    <w:unhideWhenUsed/>
    <w:qFormat/>
    <w:uiPriority w:val="0"/>
    <w:rPr>
      <w:sz w:val="18"/>
      <w:szCs w:val="18"/>
    </w:rPr>
  </w:style>
  <w:style w:type="paragraph" w:styleId="14">
    <w:name w:val="annotation text"/>
    <w:basedOn w:val="1"/>
    <w:link w:val="81"/>
    <w:semiHidden/>
    <w:unhideWhenUsed/>
    <w:qFormat/>
    <w:uiPriority w:val="99"/>
    <w:pPr>
      <w:jc w:val="left"/>
    </w:pPr>
  </w:style>
  <w:style w:type="paragraph" w:styleId="15">
    <w:name w:val="Body Text"/>
    <w:basedOn w:val="1"/>
    <w:link w:val="94"/>
    <w:unhideWhenUsed/>
    <w:qFormat/>
    <w:uiPriority w:val="99"/>
    <w:pPr>
      <w:spacing w:after="120"/>
    </w:pPr>
  </w:style>
  <w:style w:type="paragraph" w:styleId="16">
    <w:name w:val="Body Text Indent"/>
    <w:basedOn w:val="1"/>
    <w:link w:val="58"/>
    <w:uiPriority w:val="0"/>
    <w:pPr>
      <w:widowControl/>
      <w:autoSpaceDE w:val="0"/>
      <w:autoSpaceDN w:val="0"/>
      <w:adjustRightInd w:val="0"/>
      <w:ind w:firstLine="640"/>
      <w:jc w:val="left"/>
    </w:pPr>
    <w:rPr>
      <w:rFonts w:hAnsi="宋体"/>
      <w:kern w:val="0"/>
      <w:sz w:val="32"/>
      <w:szCs w:val="32"/>
      <w:lang w:eastAsia="en-US" w:bidi="en-US"/>
    </w:rPr>
  </w:style>
  <w:style w:type="paragraph" w:styleId="17">
    <w:name w:val="toc 5"/>
    <w:basedOn w:val="1"/>
    <w:next w:val="1"/>
    <w:unhideWhenUsed/>
    <w:qFormat/>
    <w:uiPriority w:val="39"/>
    <w:pPr>
      <w:spacing w:line="240" w:lineRule="auto"/>
      <w:ind w:left="1680" w:leftChars="800" w:firstLine="0" w:firstLineChars="0"/>
    </w:pPr>
    <w:rPr>
      <w:rFonts w:asciiTheme="minorHAnsi" w:hAnsiTheme="minorHAnsi" w:eastAsiaTheme="minorEastAsia" w:cstheme="minorBidi"/>
      <w:sz w:val="21"/>
      <w:szCs w:val="22"/>
    </w:rPr>
  </w:style>
  <w:style w:type="paragraph" w:styleId="18">
    <w:name w:val="toc 3"/>
    <w:basedOn w:val="1"/>
    <w:next w:val="1"/>
    <w:qFormat/>
    <w:uiPriority w:val="39"/>
    <w:pPr>
      <w:widowControl/>
      <w:spacing w:line="240" w:lineRule="auto"/>
      <w:ind w:left="840" w:leftChars="400" w:firstLine="0" w:firstLineChars="0"/>
      <w:jc w:val="left"/>
    </w:pPr>
    <w:rPr>
      <w:rFonts w:ascii="Calibri"/>
      <w:kern w:val="0"/>
      <w:szCs w:val="24"/>
      <w:lang w:eastAsia="en-US" w:bidi="en-US"/>
    </w:rPr>
  </w:style>
  <w:style w:type="paragraph" w:styleId="19">
    <w:name w:val="Plain Text"/>
    <w:basedOn w:val="1"/>
    <w:link w:val="88"/>
    <w:qFormat/>
    <w:uiPriority w:val="0"/>
    <w:pPr>
      <w:spacing w:line="240" w:lineRule="auto"/>
      <w:ind w:firstLine="0" w:firstLineChars="0"/>
      <w:jc w:val="left"/>
    </w:pPr>
    <w:rPr>
      <w:rFonts w:hAnsi="Courier New" w:cs="Courier New" w:eastAsiaTheme="minorEastAsia"/>
      <w:sz w:val="21"/>
    </w:rPr>
  </w:style>
  <w:style w:type="paragraph" w:styleId="20">
    <w:name w:val="toc 8"/>
    <w:basedOn w:val="1"/>
    <w:next w:val="1"/>
    <w:unhideWhenUsed/>
    <w:qFormat/>
    <w:uiPriority w:val="39"/>
    <w:pPr>
      <w:spacing w:line="240" w:lineRule="auto"/>
      <w:ind w:left="2940" w:leftChars="1400" w:firstLine="0" w:firstLineChars="0"/>
    </w:pPr>
    <w:rPr>
      <w:rFonts w:asciiTheme="minorHAnsi" w:hAnsiTheme="minorHAnsi" w:eastAsiaTheme="minorEastAsia" w:cstheme="minorBidi"/>
      <w:sz w:val="21"/>
      <w:szCs w:val="22"/>
    </w:rPr>
  </w:style>
  <w:style w:type="paragraph" w:styleId="21">
    <w:name w:val="Date"/>
    <w:basedOn w:val="1"/>
    <w:next w:val="1"/>
    <w:link w:val="56"/>
    <w:qFormat/>
    <w:uiPriority w:val="0"/>
    <w:pPr>
      <w:widowControl/>
      <w:spacing w:line="240" w:lineRule="auto"/>
      <w:ind w:left="100" w:leftChars="2500" w:firstLine="0" w:firstLineChars="0"/>
      <w:jc w:val="left"/>
    </w:pPr>
    <w:rPr>
      <w:rFonts w:ascii="Calibri"/>
      <w:kern w:val="0"/>
      <w:szCs w:val="24"/>
      <w:lang w:eastAsia="en-US" w:bidi="en-US"/>
    </w:rPr>
  </w:style>
  <w:style w:type="paragraph" w:styleId="22">
    <w:name w:val="Body Text Indent 2"/>
    <w:basedOn w:val="1"/>
    <w:link w:val="77"/>
    <w:qFormat/>
    <w:uiPriority w:val="0"/>
    <w:pPr>
      <w:widowControl/>
      <w:spacing w:after="120" w:line="480" w:lineRule="auto"/>
      <w:ind w:left="420" w:leftChars="200" w:firstLine="0" w:firstLineChars="0"/>
      <w:jc w:val="left"/>
    </w:pPr>
    <w:rPr>
      <w:rFonts w:ascii="Calibri"/>
      <w:kern w:val="0"/>
      <w:szCs w:val="24"/>
      <w:lang w:eastAsia="en-US" w:bidi="en-US"/>
    </w:rPr>
  </w:style>
  <w:style w:type="paragraph" w:styleId="23">
    <w:name w:val="Balloon Text"/>
    <w:basedOn w:val="1"/>
    <w:link w:val="80"/>
    <w:semiHidden/>
    <w:unhideWhenUsed/>
    <w:qFormat/>
    <w:uiPriority w:val="99"/>
    <w:pPr>
      <w:spacing w:line="240" w:lineRule="auto"/>
    </w:pPr>
    <w:rPr>
      <w:sz w:val="18"/>
      <w:szCs w:val="18"/>
    </w:rPr>
  </w:style>
  <w:style w:type="paragraph" w:styleId="24">
    <w:name w:val="footer"/>
    <w:basedOn w:val="1"/>
    <w:link w:val="53"/>
    <w:unhideWhenUsed/>
    <w:qFormat/>
    <w:uiPriority w:val="99"/>
    <w:pPr>
      <w:tabs>
        <w:tab w:val="center" w:pos="4153"/>
        <w:tab w:val="right" w:pos="8306"/>
      </w:tabs>
      <w:snapToGrid w:val="0"/>
      <w:jc w:val="left"/>
    </w:pPr>
    <w:rPr>
      <w:sz w:val="18"/>
      <w:szCs w:val="18"/>
    </w:rPr>
  </w:style>
  <w:style w:type="paragraph" w:styleId="25">
    <w:name w:val="header"/>
    <w:basedOn w:val="1"/>
    <w:link w:val="52"/>
    <w:unhideWhenUsed/>
    <w:qFormat/>
    <w:uiPriority w:val="99"/>
    <w:pPr>
      <w:tabs>
        <w:tab w:val="center" w:pos="4153"/>
        <w:tab w:val="right" w:pos="8306"/>
      </w:tabs>
      <w:snapToGrid w:val="0"/>
      <w:jc w:val="center"/>
    </w:pPr>
    <w:rPr>
      <w:sz w:val="18"/>
      <w:szCs w:val="18"/>
    </w:rPr>
  </w:style>
  <w:style w:type="paragraph" w:styleId="26">
    <w:name w:val="toc 1"/>
    <w:basedOn w:val="1"/>
    <w:next w:val="1"/>
    <w:qFormat/>
    <w:uiPriority w:val="39"/>
    <w:pPr>
      <w:widowControl/>
      <w:tabs>
        <w:tab w:val="right" w:leader="dot" w:pos="9344"/>
      </w:tabs>
      <w:spacing w:line="240" w:lineRule="auto"/>
      <w:ind w:firstLine="0" w:firstLineChars="0"/>
      <w:jc w:val="center"/>
    </w:pPr>
    <w:rPr>
      <w:rFonts w:ascii="黑体" w:hAnsi="黑体" w:eastAsia="黑体"/>
      <w:b/>
      <w:kern w:val="0"/>
      <w:szCs w:val="28"/>
      <w:lang w:bidi="en-US"/>
    </w:rPr>
  </w:style>
  <w:style w:type="paragraph" w:styleId="27">
    <w:name w:val="toc 4"/>
    <w:basedOn w:val="1"/>
    <w:next w:val="1"/>
    <w:unhideWhenUsed/>
    <w:qFormat/>
    <w:uiPriority w:val="39"/>
    <w:pPr>
      <w:spacing w:line="240" w:lineRule="auto"/>
      <w:ind w:left="1260" w:leftChars="600" w:firstLine="0" w:firstLineChars="0"/>
    </w:pPr>
    <w:rPr>
      <w:rFonts w:asciiTheme="minorHAnsi" w:hAnsiTheme="minorHAnsi" w:eastAsiaTheme="minorEastAsia" w:cstheme="minorBidi"/>
      <w:sz w:val="21"/>
      <w:szCs w:val="22"/>
    </w:rPr>
  </w:style>
  <w:style w:type="paragraph" w:styleId="28">
    <w:name w:val="Subtitle"/>
    <w:basedOn w:val="1"/>
    <w:next w:val="1"/>
    <w:link w:val="64"/>
    <w:qFormat/>
    <w:uiPriority w:val="11"/>
    <w:pPr>
      <w:widowControl/>
      <w:spacing w:after="60" w:line="240" w:lineRule="auto"/>
      <w:ind w:firstLine="0" w:firstLineChars="0"/>
      <w:jc w:val="center"/>
      <w:outlineLvl w:val="1"/>
    </w:pPr>
    <w:rPr>
      <w:rFonts w:ascii="Cambria" w:hAnsi="Cambria"/>
      <w:kern w:val="0"/>
      <w:szCs w:val="24"/>
      <w:lang w:eastAsia="en-US" w:bidi="en-US"/>
    </w:rPr>
  </w:style>
  <w:style w:type="paragraph" w:styleId="29">
    <w:name w:val="toc 6"/>
    <w:basedOn w:val="1"/>
    <w:next w:val="1"/>
    <w:unhideWhenUsed/>
    <w:qFormat/>
    <w:uiPriority w:val="39"/>
    <w:pPr>
      <w:spacing w:line="240" w:lineRule="auto"/>
      <w:ind w:left="2100" w:leftChars="1000" w:firstLine="0" w:firstLineChars="0"/>
    </w:pPr>
    <w:rPr>
      <w:rFonts w:asciiTheme="minorHAnsi" w:hAnsiTheme="minorHAnsi" w:eastAsiaTheme="minorEastAsia" w:cstheme="minorBidi"/>
      <w:sz w:val="21"/>
      <w:szCs w:val="22"/>
    </w:rPr>
  </w:style>
  <w:style w:type="paragraph" w:styleId="30">
    <w:name w:val="toc 2"/>
    <w:basedOn w:val="1"/>
    <w:next w:val="1"/>
    <w:qFormat/>
    <w:uiPriority w:val="39"/>
    <w:pPr>
      <w:widowControl/>
      <w:spacing w:line="240" w:lineRule="auto"/>
      <w:ind w:left="420" w:leftChars="200" w:firstLine="0" w:firstLineChars="0"/>
      <w:jc w:val="left"/>
    </w:pPr>
    <w:rPr>
      <w:rFonts w:ascii="Calibri"/>
      <w:kern w:val="0"/>
      <w:szCs w:val="24"/>
      <w:lang w:eastAsia="en-US" w:bidi="en-US"/>
    </w:rPr>
  </w:style>
  <w:style w:type="paragraph" w:styleId="31">
    <w:name w:val="toc 9"/>
    <w:basedOn w:val="1"/>
    <w:next w:val="1"/>
    <w:unhideWhenUsed/>
    <w:qFormat/>
    <w:uiPriority w:val="39"/>
    <w:pPr>
      <w:spacing w:line="240" w:lineRule="auto"/>
      <w:ind w:left="3360" w:leftChars="1600" w:firstLine="0" w:firstLineChars="0"/>
    </w:pPr>
    <w:rPr>
      <w:rFonts w:asciiTheme="minorHAnsi" w:hAnsiTheme="minorHAnsi" w:eastAsiaTheme="minorEastAsia" w:cstheme="minorBidi"/>
      <w:sz w:val="21"/>
      <w:szCs w:val="22"/>
    </w:rPr>
  </w:style>
  <w:style w:type="paragraph" w:styleId="32">
    <w:name w:val="Normal (Web)"/>
    <w:basedOn w:val="1"/>
    <w:qFormat/>
    <w:uiPriority w:val="0"/>
    <w:pPr>
      <w:widowControl/>
      <w:spacing w:before="100" w:beforeAutospacing="1" w:after="100" w:afterAutospacing="1" w:line="240" w:lineRule="auto"/>
      <w:ind w:firstLine="0" w:firstLineChars="0"/>
      <w:jc w:val="left"/>
    </w:pPr>
    <w:rPr>
      <w:rFonts w:hAnsi="宋体" w:cs="宋体"/>
      <w:kern w:val="0"/>
      <w:szCs w:val="24"/>
      <w:lang w:eastAsia="en-US" w:bidi="en-US"/>
    </w:rPr>
  </w:style>
  <w:style w:type="paragraph" w:styleId="33">
    <w:name w:val="Title"/>
    <w:basedOn w:val="1"/>
    <w:next w:val="1"/>
    <w:link w:val="63"/>
    <w:qFormat/>
    <w:uiPriority w:val="10"/>
    <w:pPr>
      <w:widowControl/>
      <w:spacing w:before="240" w:after="60" w:line="240" w:lineRule="auto"/>
      <w:ind w:firstLine="0" w:firstLineChars="0"/>
      <w:jc w:val="center"/>
      <w:outlineLvl w:val="0"/>
    </w:pPr>
    <w:rPr>
      <w:rFonts w:ascii="Cambria" w:hAnsi="Cambria"/>
      <w:b/>
      <w:bCs/>
      <w:kern w:val="28"/>
      <w:sz w:val="32"/>
      <w:szCs w:val="32"/>
      <w:lang w:eastAsia="en-US" w:bidi="en-US"/>
    </w:rPr>
  </w:style>
  <w:style w:type="paragraph" w:styleId="34">
    <w:name w:val="annotation subject"/>
    <w:basedOn w:val="14"/>
    <w:next w:val="14"/>
    <w:link w:val="82"/>
    <w:semiHidden/>
    <w:unhideWhenUsed/>
    <w:qFormat/>
    <w:uiPriority w:val="99"/>
    <w:rPr>
      <w:b/>
      <w:bCs/>
    </w:rPr>
  </w:style>
  <w:style w:type="table" w:styleId="36">
    <w:name w:val="Table Grid"/>
    <w:basedOn w:val="35"/>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38">
    <w:name w:val="Strong"/>
    <w:basedOn w:val="37"/>
    <w:qFormat/>
    <w:uiPriority w:val="22"/>
    <w:rPr>
      <w:b/>
      <w:bCs/>
    </w:rPr>
  </w:style>
  <w:style w:type="character" w:styleId="39">
    <w:name w:val="page number"/>
    <w:basedOn w:val="37"/>
    <w:qFormat/>
    <w:uiPriority w:val="0"/>
  </w:style>
  <w:style w:type="character" w:styleId="40">
    <w:name w:val="Emphasis"/>
    <w:basedOn w:val="37"/>
    <w:qFormat/>
    <w:uiPriority w:val="20"/>
    <w:rPr>
      <w:rFonts w:ascii="Calibri" w:hAnsi="Calibri"/>
      <w:b/>
      <w:i/>
      <w:iCs/>
    </w:rPr>
  </w:style>
  <w:style w:type="character" w:styleId="41">
    <w:name w:val="Hyperlink"/>
    <w:basedOn w:val="37"/>
    <w:qFormat/>
    <w:uiPriority w:val="99"/>
    <w:rPr>
      <w:color w:val="0000FF"/>
      <w:u w:val="single"/>
    </w:rPr>
  </w:style>
  <w:style w:type="character" w:styleId="42">
    <w:name w:val="annotation reference"/>
    <w:basedOn w:val="37"/>
    <w:semiHidden/>
    <w:unhideWhenUsed/>
    <w:qFormat/>
    <w:uiPriority w:val="99"/>
    <w:rPr>
      <w:sz w:val="21"/>
      <w:szCs w:val="21"/>
    </w:rPr>
  </w:style>
  <w:style w:type="character" w:customStyle="1" w:styleId="43">
    <w:name w:val="标题 1 Char"/>
    <w:basedOn w:val="37"/>
    <w:link w:val="3"/>
    <w:qFormat/>
    <w:uiPriority w:val="9"/>
    <w:rPr>
      <w:rFonts w:ascii="黑体" w:hAnsi="Calibri" w:eastAsia="黑体" w:cs="Times New Roman"/>
      <w:bCs/>
      <w:kern w:val="44"/>
      <w:sz w:val="32"/>
      <w:szCs w:val="44"/>
    </w:rPr>
  </w:style>
  <w:style w:type="character" w:customStyle="1" w:styleId="44">
    <w:name w:val="标题 2 Char"/>
    <w:basedOn w:val="37"/>
    <w:link w:val="4"/>
    <w:qFormat/>
    <w:uiPriority w:val="9"/>
    <w:rPr>
      <w:rFonts w:ascii="黑体" w:eastAsia="黑体" w:hAnsiTheme="majorHAnsi" w:cstheme="majorBidi"/>
      <w:bCs/>
      <w:sz w:val="30"/>
      <w:szCs w:val="32"/>
    </w:rPr>
  </w:style>
  <w:style w:type="character" w:customStyle="1" w:styleId="45">
    <w:name w:val="标题 3 Char"/>
    <w:basedOn w:val="37"/>
    <w:link w:val="5"/>
    <w:qFormat/>
    <w:uiPriority w:val="9"/>
    <w:rPr>
      <w:rFonts w:ascii="黑体" w:hAnsi="Calibri" w:eastAsia="黑体" w:cs="Times New Roman"/>
      <w:bCs/>
      <w:sz w:val="28"/>
      <w:szCs w:val="32"/>
    </w:rPr>
  </w:style>
  <w:style w:type="character" w:customStyle="1" w:styleId="46">
    <w:name w:val="标题 4 Char"/>
    <w:basedOn w:val="37"/>
    <w:link w:val="6"/>
    <w:qFormat/>
    <w:uiPriority w:val="9"/>
    <w:rPr>
      <w:rFonts w:ascii="Calibri" w:hAnsi="Calibri" w:eastAsia="宋体" w:cs="Times New Roman"/>
      <w:b/>
      <w:bCs/>
      <w:kern w:val="0"/>
      <w:sz w:val="28"/>
      <w:szCs w:val="28"/>
      <w:lang w:eastAsia="en-US" w:bidi="en-US"/>
    </w:rPr>
  </w:style>
  <w:style w:type="character" w:customStyle="1" w:styleId="47">
    <w:name w:val="标题 5 Char"/>
    <w:basedOn w:val="37"/>
    <w:link w:val="7"/>
    <w:qFormat/>
    <w:uiPriority w:val="9"/>
    <w:rPr>
      <w:rFonts w:ascii="Calibri" w:hAnsi="Calibri" w:eastAsia="宋体" w:cs="Times New Roman"/>
      <w:b/>
      <w:bCs/>
      <w:iCs/>
      <w:kern w:val="0"/>
      <w:sz w:val="28"/>
      <w:szCs w:val="26"/>
      <w:lang w:eastAsia="en-US" w:bidi="en-US"/>
    </w:rPr>
  </w:style>
  <w:style w:type="character" w:customStyle="1" w:styleId="48">
    <w:name w:val="标题 6 Char"/>
    <w:basedOn w:val="37"/>
    <w:link w:val="8"/>
    <w:qFormat/>
    <w:uiPriority w:val="9"/>
    <w:rPr>
      <w:rFonts w:ascii="Calibri" w:hAnsi="Calibri" w:eastAsia="宋体" w:cs="Times New Roman"/>
      <w:b/>
      <w:bCs/>
      <w:kern w:val="0"/>
      <w:sz w:val="22"/>
      <w:szCs w:val="22"/>
      <w:lang w:eastAsia="en-US" w:bidi="en-US"/>
    </w:rPr>
  </w:style>
  <w:style w:type="character" w:customStyle="1" w:styleId="49">
    <w:name w:val="标题 7 Char"/>
    <w:basedOn w:val="37"/>
    <w:link w:val="9"/>
    <w:qFormat/>
    <w:uiPriority w:val="9"/>
    <w:rPr>
      <w:rFonts w:ascii="Calibri" w:hAnsi="Calibri" w:eastAsia="宋体" w:cs="Times New Roman"/>
      <w:kern w:val="0"/>
      <w:sz w:val="24"/>
      <w:szCs w:val="24"/>
      <w:lang w:eastAsia="en-US" w:bidi="en-US"/>
    </w:rPr>
  </w:style>
  <w:style w:type="character" w:customStyle="1" w:styleId="50">
    <w:name w:val="标题 8 Char"/>
    <w:basedOn w:val="37"/>
    <w:link w:val="10"/>
    <w:qFormat/>
    <w:uiPriority w:val="9"/>
    <w:rPr>
      <w:rFonts w:ascii="Calibri" w:hAnsi="Calibri" w:eastAsia="宋体" w:cs="Times New Roman"/>
      <w:i/>
      <w:iCs/>
      <w:kern w:val="0"/>
      <w:sz w:val="24"/>
      <w:szCs w:val="24"/>
      <w:lang w:eastAsia="en-US" w:bidi="en-US"/>
    </w:rPr>
  </w:style>
  <w:style w:type="character" w:customStyle="1" w:styleId="51">
    <w:name w:val="标题 9 Char"/>
    <w:basedOn w:val="37"/>
    <w:link w:val="11"/>
    <w:qFormat/>
    <w:uiPriority w:val="9"/>
    <w:rPr>
      <w:rFonts w:ascii="Cambria" w:hAnsi="Cambria" w:eastAsia="宋体" w:cs="Times New Roman"/>
      <w:kern w:val="0"/>
      <w:sz w:val="22"/>
      <w:szCs w:val="22"/>
      <w:lang w:eastAsia="en-US" w:bidi="en-US"/>
    </w:rPr>
  </w:style>
  <w:style w:type="character" w:customStyle="1" w:styleId="52">
    <w:name w:val="页眉 Char"/>
    <w:basedOn w:val="37"/>
    <w:link w:val="25"/>
    <w:qFormat/>
    <w:uiPriority w:val="99"/>
    <w:rPr>
      <w:rFonts w:ascii="宋体" w:hAnsi="Calibri" w:eastAsia="宋体" w:cs="Times New Roman"/>
      <w:sz w:val="18"/>
      <w:szCs w:val="18"/>
    </w:rPr>
  </w:style>
  <w:style w:type="character" w:customStyle="1" w:styleId="53">
    <w:name w:val="页脚 Char"/>
    <w:basedOn w:val="37"/>
    <w:link w:val="24"/>
    <w:qFormat/>
    <w:uiPriority w:val="99"/>
    <w:rPr>
      <w:sz w:val="18"/>
      <w:szCs w:val="18"/>
    </w:rPr>
  </w:style>
  <w:style w:type="character" w:customStyle="1" w:styleId="54">
    <w:name w:val="文档结构图 Char"/>
    <w:basedOn w:val="37"/>
    <w:link w:val="13"/>
    <w:semiHidden/>
    <w:qFormat/>
    <w:uiPriority w:val="99"/>
    <w:rPr>
      <w:rFonts w:ascii="宋体" w:hAnsi="Calibri" w:eastAsia="宋体" w:cs="Times New Roman"/>
      <w:sz w:val="18"/>
      <w:szCs w:val="18"/>
    </w:rPr>
  </w:style>
  <w:style w:type="paragraph" w:customStyle="1" w:styleId="55">
    <w:name w:val="Char"/>
    <w:basedOn w:val="1"/>
    <w:next w:val="1"/>
    <w:qFormat/>
    <w:uiPriority w:val="0"/>
    <w:pPr>
      <w:widowControl/>
      <w:spacing w:line="240" w:lineRule="auto"/>
      <w:ind w:firstLine="0" w:firstLineChars="0"/>
      <w:jc w:val="left"/>
    </w:pPr>
    <w:rPr>
      <w:rFonts w:ascii="Calibri"/>
      <w:kern w:val="0"/>
      <w:szCs w:val="24"/>
      <w:lang w:eastAsia="en-US" w:bidi="en-US"/>
    </w:rPr>
  </w:style>
  <w:style w:type="character" w:customStyle="1" w:styleId="56">
    <w:name w:val="日期 Char"/>
    <w:basedOn w:val="37"/>
    <w:link w:val="21"/>
    <w:qFormat/>
    <w:uiPriority w:val="0"/>
    <w:rPr>
      <w:rFonts w:ascii="Calibri" w:hAnsi="Calibri" w:eastAsia="宋体" w:cs="Times New Roman"/>
      <w:kern w:val="0"/>
      <w:sz w:val="24"/>
      <w:szCs w:val="24"/>
      <w:lang w:eastAsia="en-US" w:bidi="en-US"/>
    </w:rPr>
  </w:style>
  <w:style w:type="paragraph" w:customStyle="1" w:styleId="57">
    <w:name w:val="正文文本缩进1"/>
    <w:basedOn w:val="1"/>
    <w:qFormat/>
    <w:uiPriority w:val="0"/>
    <w:pPr>
      <w:widowControl/>
      <w:ind w:firstLine="570" w:firstLineChars="0"/>
      <w:jc w:val="left"/>
    </w:pPr>
    <w:rPr>
      <w:rFonts w:ascii="Calibri"/>
      <w:color w:val="0000FF"/>
      <w:kern w:val="0"/>
      <w:sz w:val="32"/>
      <w:szCs w:val="32"/>
      <w:lang w:eastAsia="en-US" w:bidi="en-US"/>
    </w:rPr>
  </w:style>
  <w:style w:type="character" w:customStyle="1" w:styleId="58">
    <w:name w:val="正文文本缩进 Char"/>
    <w:basedOn w:val="37"/>
    <w:link w:val="16"/>
    <w:qFormat/>
    <w:uiPriority w:val="0"/>
    <w:rPr>
      <w:rFonts w:ascii="宋体" w:hAnsi="宋体" w:eastAsia="宋体" w:cs="Times New Roman"/>
      <w:kern w:val="0"/>
      <w:sz w:val="32"/>
      <w:szCs w:val="32"/>
      <w:lang w:eastAsia="en-US" w:bidi="en-US"/>
    </w:rPr>
  </w:style>
  <w:style w:type="paragraph" w:customStyle="1" w:styleId="59">
    <w:name w:val="默认段落字体 Para Char"/>
    <w:basedOn w:val="1"/>
    <w:next w:val="1"/>
    <w:qFormat/>
    <w:uiPriority w:val="0"/>
    <w:pPr>
      <w:widowControl/>
      <w:spacing w:line="240" w:lineRule="auto"/>
      <w:ind w:firstLine="0" w:firstLineChars="0"/>
      <w:jc w:val="left"/>
    </w:pPr>
    <w:rPr>
      <w:rFonts w:ascii="Calibri"/>
      <w:kern w:val="0"/>
      <w:szCs w:val="24"/>
      <w:lang w:eastAsia="en-US" w:bidi="en-US"/>
    </w:rPr>
  </w:style>
  <w:style w:type="paragraph" w:customStyle="1" w:styleId="60">
    <w:name w:val="Zw2"/>
    <w:basedOn w:val="1"/>
    <w:qFormat/>
    <w:uiPriority w:val="0"/>
    <w:pPr>
      <w:widowControl/>
      <w:jc w:val="left"/>
      <w:textAlignment w:val="center"/>
    </w:pPr>
    <w:rPr>
      <w:rFonts w:ascii="Calibri"/>
      <w:kern w:val="0"/>
      <w:lang w:eastAsia="en-US" w:bidi="en-US"/>
    </w:rPr>
  </w:style>
  <w:style w:type="paragraph" w:customStyle="1" w:styleId="61">
    <w:name w:val="节"/>
    <w:basedOn w:val="1"/>
    <w:qFormat/>
    <w:uiPriority w:val="0"/>
    <w:pPr>
      <w:widowControl/>
      <w:spacing w:before="300" w:after="300" w:line="560" w:lineRule="exact"/>
      <w:ind w:firstLine="0" w:firstLineChars="0"/>
      <w:jc w:val="center"/>
      <w:outlineLvl w:val="0"/>
    </w:pPr>
    <w:rPr>
      <w:rFonts w:ascii="方正楷体简体" w:eastAsia="方正楷体简体"/>
      <w:kern w:val="0"/>
      <w:sz w:val="32"/>
      <w:szCs w:val="24"/>
      <w:lang w:eastAsia="en-US" w:bidi="en-US"/>
    </w:rPr>
  </w:style>
  <w:style w:type="paragraph" w:customStyle="1" w:styleId="62">
    <w:name w:val="BT5"/>
    <w:basedOn w:val="7"/>
    <w:next w:val="1"/>
    <w:qFormat/>
    <w:uiPriority w:val="0"/>
    <w:pPr>
      <w:spacing w:before="0" w:after="0" w:line="360" w:lineRule="auto"/>
      <w:ind w:firstLine="200" w:firstLineChars="200"/>
    </w:pPr>
    <w:rPr>
      <w:b w:val="0"/>
      <w:sz w:val="24"/>
      <w:szCs w:val="24"/>
    </w:rPr>
  </w:style>
  <w:style w:type="character" w:customStyle="1" w:styleId="63">
    <w:name w:val="标题 Char"/>
    <w:basedOn w:val="37"/>
    <w:link w:val="33"/>
    <w:qFormat/>
    <w:uiPriority w:val="10"/>
    <w:rPr>
      <w:rFonts w:ascii="Cambria" w:hAnsi="Cambria" w:eastAsia="宋体" w:cs="Times New Roman"/>
      <w:b/>
      <w:bCs/>
      <w:kern w:val="28"/>
      <w:sz w:val="32"/>
      <w:szCs w:val="32"/>
      <w:lang w:eastAsia="en-US" w:bidi="en-US"/>
    </w:rPr>
  </w:style>
  <w:style w:type="character" w:customStyle="1" w:styleId="64">
    <w:name w:val="副标题 Char"/>
    <w:basedOn w:val="37"/>
    <w:link w:val="28"/>
    <w:qFormat/>
    <w:uiPriority w:val="11"/>
    <w:rPr>
      <w:rFonts w:ascii="Cambria" w:hAnsi="Cambria" w:eastAsia="宋体" w:cs="Times New Roman"/>
      <w:kern w:val="0"/>
      <w:sz w:val="24"/>
      <w:szCs w:val="24"/>
      <w:lang w:eastAsia="en-US" w:bidi="en-US"/>
    </w:rPr>
  </w:style>
  <w:style w:type="paragraph" w:styleId="65">
    <w:name w:val="No Spacing"/>
    <w:basedOn w:val="1"/>
    <w:qFormat/>
    <w:uiPriority w:val="1"/>
    <w:pPr>
      <w:widowControl/>
      <w:spacing w:line="240" w:lineRule="auto"/>
      <w:ind w:firstLine="0" w:firstLineChars="0"/>
      <w:jc w:val="left"/>
    </w:pPr>
    <w:rPr>
      <w:rFonts w:ascii="Calibri"/>
      <w:kern w:val="0"/>
      <w:szCs w:val="32"/>
      <w:lang w:eastAsia="en-US" w:bidi="en-US"/>
    </w:rPr>
  </w:style>
  <w:style w:type="paragraph" w:styleId="66">
    <w:name w:val="List Paragraph"/>
    <w:basedOn w:val="1"/>
    <w:qFormat/>
    <w:uiPriority w:val="34"/>
    <w:pPr>
      <w:widowControl/>
      <w:spacing w:line="240" w:lineRule="auto"/>
      <w:ind w:left="720" w:firstLine="0" w:firstLineChars="0"/>
      <w:contextualSpacing/>
      <w:jc w:val="left"/>
    </w:pPr>
    <w:rPr>
      <w:rFonts w:ascii="Calibri"/>
      <w:kern w:val="0"/>
      <w:szCs w:val="24"/>
      <w:lang w:eastAsia="en-US" w:bidi="en-US"/>
    </w:rPr>
  </w:style>
  <w:style w:type="paragraph" w:styleId="67">
    <w:name w:val="Quote"/>
    <w:basedOn w:val="1"/>
    <w:next w:val="1"/>
    <w:link w:val="68"/>
    <w:qFormat/>
    <w:uiPriority w:val="29"/>
    <w:pPr>
      <w:widowControl/>
      <w:spacing w:line="240" w:lineRule="auto"/>
      <w:ind w:firstLine="0" w:firstLineChars="0"/>
      <w:jc w:val="left"/>
    </w:pPr>
    <w:rPr>
      <w:rFonts w:ascii="Calibri"/>
      <w:i/>
      <w:kern w:val="0"/>
      <w:szCs w:val="24"/>
      <w:lang w:eastAsia="en-US" w:bidi="en-US"/>
    </w:rPr>
  </w:style>
  <w:style w:type="character" w:customStyle="1" w:styleId="68">
    <w:name w:val="引用 Char"/>
    <w:basedOn w:val="37"/>
    <w:link w:val="67"/>
    <w:qFormat/>
    <w:uiPriority w:val="29"/>
    <w:rPr>
      <w:rFonts w:ascii="Calibri" w:hAnsi="Calibri" w:eastAsia="宋体" w:cs="Times New Roman"/>
      <w:i/>
      <w:kern w:val="0"/>
      <w:sz w:val="24"/>
      <w:szCs w:val="24"/>
      <w:lang w:eastAsia="en-US" w:bidi="en-US"/>
    </w:rPr>
  </w:style>
  <w:style w:type="paragraph" w:styleId="69">
    <w:name w:val="Intense Quote"/>
    <w:basedOn w:val="1"/>
    <w:next w:val="1"/>
    <w:link w:val="70"/>
    <w:qFormat/>
    <w:uiPriority w:val="30"/>
    <w:pPr>
      <w:widowControl/>
      <w:spacing w:line="240" w:lineRule="auto"/>
      <w:ind w:left="720" w:right="720" w:firstLine="0" w:firstLineChars="0"/>
      <w:jc w:val="left"/>
    </w:pPr>
    <w:rPr>
      <w:rFonts w:ascii="Calibri"/>
      <w:b/>
      <w:i/>
      <w:kern w:val="0"/>
      <w:szCs w:val="22"/>
      <w:lang w:eastAsia="en-US" w:bidi="en-US"/>
    </w:rPr>
  </w:style>
  <w:style w:type="character" w:customStyle="1" w:styleId="70">
    <w:name w:val="明显引用 Char"/>
    <w:basedOn w:val="37"/>
    <w:link w:val="69"/>
    <w:qFormat/>
    <w:uiPriority w:val="30"/>
    <w:rPr>
      <w:rFonts w:ascii="Calibri" w:hAnsi="Calibri" w:eastAsia="宋体" w:cs="Times New Roman"/>
      <w:b/>
      <w:i/>
      <w:kern w:val="0"/>
      <w:sz w:val="24"/>
      <w:szCs w:val="22"/>
      <w:lang w:eastAsia="en-US" w:bidi="en-US"/>
    </w:rPr>
  </w:style>
  <w:style w:type="character" w:customStyle="1" w:styleId="71">
    <w:name w:val="Subtle Emphasis"/>
    <w:qFormat/>
    <w:uiPriority w:val="19"/>
    <w:rPr>
      <w:i/>
      <w:color w:val="5A5A5A"/>
    </w:rPr>
  </w:style>
  <w:style w:type="character" w:customStyle="1" w:styleId="72">
    <w:name w:val="Intense Emphasis"/>
    <w:basedOn w:val="37"/>
    <w:qFormat/>
    <w:uiPriority w:val="21"/>
    <w:rPr>
      <w:b/>
      <w:i/>
      <w:sz w:val="24"/>
      <w:szCs w:val="24"/>
      <w:u w:val="single"/>
    </w:rPr>
  </w:style>
  <w:style w:type="character" w:customStyle="1" w:styleId="73">
    <w:name w:val="Subtle Reference"/>
    <w:basedOn w:val="37"/>
    <w:qFormat/>
    <w:uiPriority w:val="31"/>
    <w:rPr>
      <w:sz w:val="24"/>
      <w:szCs w:val="24"/>
      <w:u w:val="single"/>
    </w:rPr>
  </w:style>
  <w:style w:type="character" w:customStyle="1" w:styleId="74">
    <w:name w:val="Intense Reference"/>
    <w:basedOn w:val="37"/>
    <w:qFormat/>
    <w:uiPriority w:val="32"/>
    <w:rPr>
      <w:b/>
      <w:sz w:val="24"/>
      <w:u w:val="single"/>
    </w:rPr>
  </w:style>
  <w:style w:type="character" w:customStyle="1" w:styleId="75">
    <w:name w:val="Book Title"/>
    <w:basedOn w:val="37"/>
    <w:qFormat/>
    <w:uiPriority w:val="33"/>
    <w:rPr>
      <w:rFonts w:ascii="Cambria" w:hAnsi="Cambria" w:eastAsia="宋体"/>
      <w:b/>
      <w:i/>
      <w:sz w:val="24"/>
      <w:szCs w:val="24"/>
    </w:rPr>
  </w:style>
  <w:style w:type="paragraph" w:customStyle="1" w:styleId="76">
    <w:name w:val="TOC Heading"/>
    <w:basedOn w:val="3"/>
    <w:next w:val="1"/>
    <w:qFormat/>
    <w:uiPriority w:val="39"/>
    <w:pPr>
      <w:keepLines w:val="0"/>
      <w:widowControl/>
      <w:adjustRightInd/>
      <w:snapToGrid/>
      <w:jc w:val="left"/>
      <w:outlineLvl w:val="9"/>
    </w:pPr>
    <w:rPr>
      <w:rFonts w:ascii="Cambria" w:hAnsi="Cambria"/>
      <w:kern w:val="32"/>
      <w:sz w:val="44"/>
      <w:szCs w:val="32"/>
      <w:lang w:eastAsia="en-US" w:bidi="en-US"/>
    </w:rPr>
  </w:style>
  <w:style w:type="character" w:customStyle="1" w:styleId="77">
    <w:name w:val="正文文本缩进 2 Char"/>
    <w:basedOn w:val="37"/>
    <w:link w:val="22"/>
    <w:qFormat/>
    <w:uiPriority w:val="0"/>
    <w:rPr>
      <w:rFonts w:ascii="Calibri" w:hAnsi="Calibri" w:eastAsia="宋体" w:cs="Times New Roman"/>
      <w:kern w:val="0"/>
      <w:sz w:val="24"/>
      <w:szCs w:val="24"/>
      <w:lang w:eastAsia="en-US" w:bidi="en-US"/>
    </w:rPr>
  </w:style>
  <w:style w:type="paragraph" w:customStyle="1" w:styleId="78">
    <w:name w:val="Char Char Char Char Char Char"/>
    <w:basedOn w:val="1"/>
    <w:next w:val="2"/>
    <w:qFormat/>
    <w:uiPriority w:val="0"/>
    <w:pPr>
      <w:spacing w:line="240" w:lineRule="auto"/>
      <w:ind w:firstLine="0" w:firstLineChars="0"/>
    </w:pPr>
    <w:rPr>
      <w:rFonts w:ascii="Times New Roman" w:hAnsi="Times New Roman"/>
      <w:szCs w:val="28"/>
    </w:rPr>
  </w:style>
  <w:style w:type="character" w:customStyle="1" w:styleId="79">
    <w:name w:val="宏文本 Char"/>
    <w:basedOn w:val="37"/>
    <w:link w:val="2"/>
    <w:semiHidden/>
    <w:qFormat/>
    <w:uiPriority w:val="0"/>
    <w:rPr>
      <w:rFonts w:ascii="Courier New" w:hAnsi="Courier New" w:eastAsia="宋体" w:cs="Courier New"/>
      <w:kern w:val="0"/>
      <w:sz w:val="24"/>
      <w:szCs w:val="24"/>
      <w:lang w:eastAsia="en-US" w:bidi="en-US"/>
    </w:rPr>
  </w:style>
  <w:style w:type="character" w:customStyle="1" w:styleId="80">
    <w:name w:val="批注框文本 Char"/>
    <w:basedOn w:val="37"/>
    <w:link w:val="23"/>
    <w:semiHidden/>
    <w:qFormat/>
    <w:uiPriority w:val="99"/>
    <w:rPr>
      <w:rFonts w:ascii="宋体" w:hAnsi="Calibri" w:eastAsia="宋体" w:cs="Times New Roman"/>
      <w:sz w:val="18"/>
      <w:szCs w:val="18"/>
    </w:rPr>
  </w:style>
  <w:style w:type="character" w:customStyle="1" w:styleId="81">
    <w:name w:val="批注文字 Char"/>
    <w:basedOn w:val="37"/>
    <w:link w:val="14"/>
    <w:semiHidden/>
    <w:qFormat/>
    <w:uiPriority w:val="99"/>
    <w:rPr>
      <w:rFonts w:ascii="宋体" w:hAnsi="Calibri" w:eastAsia="宋体" w:cs="Times New Roman"/>
      <w:sz w:val="28"/>
    </w:rPr>
  </w:style>
  <w:style w:type="character" w:customStyle="1" w:styleId="82">
    <w:name w:val="批注主题 Char"/>
    <w:basedOn w:val="81"/>
    <w:link w:val="34"/>
    <w:semiHidden/>
    <w:qFormat/>
    <w:uiPriority w:val="99"/>
    <w:rPr>
      <w:rFonts w:ascii="宋体" w:hAnsi="Calibri" w:eastAsia="宋体" w:cs="Times New Roman"/>
      <w:b/>
      <w:bCs/>
      <w:sz w:val="28"/>
    </w:rPr>
  </w:style>
  <w:style w:type="paragraph" w:customStyle="1" w:styleId="83">
    <w:name w:val="Default"/>
    <w:qFormat/>
    <w:uiPriority w:val="0"/>
    <w:pPr>
      <w:widowControl w:val="0"/>
      <w:autoSpaceDE w:val="0"/>
      <w:autoSpaceDN w:val="0"/>
      <w:adjustRightInd w:val="0"/>
    </w:pPr>
    <w:rPr>
      <w:rFonts w:ascii="宋体" w:eastAsia="宋体" w:cs="宋体" w:hAnsiTheme="minorHAnsi"/>
      <w:color w:val="000000"/>
      <w:kern w:val="0"/>
      <w:sz w:val="24"/>
      <w:szCs w:val="24"/>
      <w:lang w:val="en-US" w:eastAsia="zh-CN" w:bidi="ar-SA"/>
    </w:rPr>
  </w:style>
  <w:style w:type="paragraph" w:customStyle="1" w:styleId="84">
    <w:name w:val="样式2"/>
    <w:basedOn w:val="1"/>
    <w:link w:val="85"/>
    <w:qFormat/>
    <w:uiPriority w:val="0"/>
    <w:pPr>
      <w:ind w:firstLine="560"/>
    </w:pPr>
    <w:rPr>
      <w:rFonts w:hAnsi="宋体"/>
      <w:kern w:val="0"/>
      <w:szCs w:val="28"/>
    </w:rPr>
  </w:style>
  <w:style w:type="character" w:customStyle="1" w:styleId="85">
    <w:name w:val="样式2 Char"/>
    <w:link w:val="84"/>
    <w:qFormat/>
    <w:uiPriority w:val="0"/>
    <w:rPr>
      <w:rFonts w:ascii="宋体" w:hAnsi="宋体" w:eastAsia="宋体" w:cs="Times New Roman"/>
      <w:kern w:val="0"/>
      <w:sz w:val="28"/>
      <w:szCs w:val="28"/>
    </w:rPr>
  </w:style>
  <w:style w:type="paragraph" w:customStyle="1" w:styleId="86">
    <w:name w:val="Char1"/>
    <w:basedOn w:val="1"/>
    <w:qFormat/>
    <w:uiPriority w:val="0"/>
    <w:pPr>
      <w:spacing w:line="240" w:lineRule="auto"/>
      <w:ind w:firstLine="0" w:firstLineChars="0"/>
    </w:pPr>
    <w:rPr>
      <w:rFonts w:ascii="Times New Roman" w:hAnsi="Times New Roman"/>
      <w:sz w:val="21"/>
      <w:szCs w:val="24"/>
    </w:rPr>
  </w:style>
  <w:style w:type="paragraph" w:customStyle="1" w:styleId="87">
    <w:name w:val="Char2"/>
    <w:basedOn w:val="1"/>
    <w:qFormat/>
    <w:uiPriority w:val="0"/>
    <w:pPr>
      <w:spacing w:line="240" w:lineRule="auto"/>
      <w:ind w:firstLine="0" w:firstLineChars="0"/>
    </w:pPr>
    <w:rPr>
      <w:rFonts w:ascii="Times New Roman" w:hAnsi="Times New Roman"/>
      <w:sz w:val="21"/>
      <w:szCs w:val="24"/>
    </w:rPr>
  </w:style>
  <w:style w:type="character" w:customStyle="1" w:styleId="88">
    <w:name w:val="纯文本 Char"/>
    <w:link w:val="19"/>
    <w:qFormat/>
    <w:uiPriority w:val="0"/>
    <w:rPr>
      <w:rFonts w:ascii="宋体" w:hAnsi="Courier New" w:cs="Courier New"/>
    </w:rPr>
  </w:style>
  <w:style w:type="character" w:customStyle="1" w:styleId="89">
    <w:name w:val="纯文本 字符"/>
    <w:basedOn w:val="37"/>
    <w:semiHidden/>
    <w:qFormat/>
    <w:uiPriority w:val="99"/>
    <w:rPr>
      <w:rFonts w:hAnsi="Courier New" w:cs="Courier New" w:asciiTheme="minorEastAsia"/>
      <w:sz w:val="28"/>
    </w:rPr>
  </w:style>
  <w:style w:type="character" w:customStyle="1" w:styleId="90">
    <w:name w:val="fontstyle01"/>
    <w:qFormat/>
    <w:uiPriority w:val="0"/>
    <w:rPr>
      <w:rFonts w:hint="eastAsia" w:ascii="宋体" w:hAnsi="宋体" w:eastAsia="宋体"/>
      <w:color w:val="000000"/>
      <w:sz w:val="24"/>
      <w:szCs w:val="24"/>
    </w:rPr>
  </w:style>
  <w:style w:type="character" w:customStyle="1" w:styleId="91">
    <w:name w:val="font81"/>
    <w:basedOn w:val="37"/>
    <w:qFormat/>
    <w:uiPriority w:val="0"/>
    <w:rPr>
      <w:rFonts w:hint="eastAsia" w:ascii="宋体" w:hAnsi="宋体" w:eastAsia="宋体" w:cs="宋体"/>
      <w:color w:val="000000"/>
      <w:sz w:val="18"/>
      <w:szCs w:val="18"/>
      <w:u w:val="none"/>
      <w:vertAlign w:val="subscript"/>
    </w:rPr>
  </w:style>
  <w:style w:type="character" w:customStyle="1" w:styleId="92">
    <w:name w:val="font01"/>
    <w:basedOn w:val="37"/>
    <w:qFormat/>
    <w:uiPriority w:val="0"/>
    <w:rPr>
      <w:rFonts w:hint="eastAsia" w:ascii="宋体" w:hAnsi="宋体" w:eastAsia="宋体" w:cs="宋体"/>
      <w:color w:val="000000"/>
      <w:sz w:val="18"/>
      <w:szCs w:val="18"/>
      <w:u w:val="none"/>
    </w:rPr>
  </w:style>
  <w:style w:type="character" w:customStyle="1" w:styleId="93">
    <w:name w:val="font21"/>
    <w:basedOn w:val="37"/>
    <w:qFormat/>
    <w:uiPriority w:val="0"/>
    <w:rPr>
      <w:rFonts w:hint="eastAsia" w:ascii="宋体" w:hAnsi="宋体" w:eastAsia="宋体" w:cs="宋体"/>
      <w:b/>
      <w:color w:val="000000"/>
      <w:sz w:val="24"/>
      <w:szCs w:val="24"/>
      <w:u w:val="none"/>
    </w:rPr>
  </w:style>
  <w:style w:type="character" w:customStyle="1" w:styleId="94">
    <w:name w:val="正文文本 Char"/>
    <w:basedOn w:val="37"/>
    <w:link w:val="15"/>
    <w:qFormat/>
    <w:uiPriority w:val="99"/>
    <w:rPr>
      <w:rFonts w:ascii="宋体" w:hAnsi="Calibri" w:eastAsia="宋体" w:cs="Times New Roman"/>
      <w:sz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1.xml"/><Relationship Id="rId16" Type="http://schemas.openxmlformats.org/officeDocument/2006/relationships/image" Target="media/image2.wmf"/><Relationship Id="rId15" Type="http://schemas.openxmlformats.org/officeDocument/2006/relationships/oleObject" Target="embeddings/oleObject2.bin"/><Relationship Id="rId14" Type="http://schemas.openxmlformats.org/officeDocument/2006/relationships/image" Target="media/image1.wmf"/><Relationship Id="rId13" Type="http://schemas.openxmlformats.org/officeDocument/2006/relationships/oleObject" Target="embeddings/oleObject1.bin"/><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BD7D16-315A-4561-BA4F-E321C7416A94}">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50</Pages>
  <Words>28504</Words>
  <Characters>30633</Characters>
  <Lines>262</Lines>
  <Paragraphs>73</Paragraphs>
  <TotalTime>1</TotalTime>
  <ScaleCrop>false</ScaleCrop>
  <LinksUpToDate>false</LinksUpToDate>
  <CharactersWithSpaces>30832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2018-09-12T06:44:00Z</dcterms:created>
  <dc:creator>drd</dc:creator>
  <cp:lastModifiedBy>deyi</cp:lastModifiedBy>
  <cp:lastPrinted>2021-07-12T08:09:00Z</cp:lastPrinted>
  <dcterms:modified xsi:type="dcterms:W3CDTF">2024-08-09T10:29:07Z</dcterms:modified>
  <cp:revision>447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30DFF78C28C44FC38344DEB6858BBA6E_12</vt:lpwstr>
  </property>
</Properties>
</file>