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1F4F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default" w:ascii="方正黑体_GBK" w:hAnsi="方正黑体_GBK" w:eastAsia="方正黑体_GBK" w:cs="方正黑体_GBK"/>
          <w:b w:val="0"/>
          <w:bCs/>
          <w:color w:val="000000"/>
          <w:w w:val="98"/>
          <w:sz w:val="28"/>
          <w:szCs w:val="28"/>
          <w:lang w:val="en-US" w:eastAsia="zh-CN"/>
        </w:rPr>
      </w:pPr>
      <w:r>
        <w:rPr>
          <w:rFonts w:hint="eastAsia" w:ascii="方正黑体_GBK" w:hAnsi="方正黑体_GBK" w:eastAsia="方正黑体_GBK" w:cs="方正黑体_GBK"/>
          <w:b w:val="0"/>
          <w:bCs/>
          <w:color w:val="000000"/>
          <w:w w:val="98"/>
          <w:sz w:val="28"/>
          <w:szCs w:val="28"/>
          <w:lang w:val="en-US" w:eastAsia="zh-CN"/>
        </w:rPr>
        <w:t>附件9</w:t>
      </w:r>
    </w:p>
    <w:p w14:paraId="3FBEAE01">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0"/>
        <w:rPr>
          <w:rFonts w:hint="default"/>
          <w:lang w:val="en-US" w:eastAsia="zh-CN"/>
        </w:rPr>
      </w:pPr>
    </w:p>
    <w:p w14:paraId="5AAB894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Times New Roman" w:hAnsi="Times New Roman" w:eastAsia="方正小标宋简体" w:cs="Times New Roman"/>
          <w:b w:val="0"/>
          <w:bCs/>
          <w:color w:val="000000"/>
          <w:w w:val="98"/>
          <w:sz w:val="44"/>
          <w:szCs w:val="44"/>
          <w:lang w:val="en-US" w:eastAsia="zh-CN"/>
        </w:rPr>
      </w:pPr>
      <w:r>
        <w:rPr>
          <w:rFonts w:hint="eastAsia" w:ascii="Times New Roman" w:hAnsi="Times New Roman" w:eastAsia="方正小标宋简体" w:cs="Times New Roman"/>
          <w:b w:val="0"/>
          <w:bCs/>
          <w:color w:val="000000"/>
          <w:w w:val="98"/>
          <w:sz w:val="44"/>
          <w:szCs w:val="44"/>
          <w:lang w:val="en-US" w:eastAsia="zh-CN"/>
        </w:rPr>
        <w:t>德宏州住房公积金通知、协定、定期存款综合</w:t>
      </w:r>
    </w:p>
    <w:p w14:paraId="6D6CEA2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Times New Roman" w:hAnsi="Times New Roman" w:eastAsia="方正小标宋简体" w:cs="Times New Roman"/>
          <w:b w:val="0"/>
          <w:bCs/>
          <w:color w:val="000000"/>
          <w:w w:val="98"/>
          <w:sz w:val="44"/>
          <w:szCs w:val="44"/>
          <w:lang w:eastAsia="zh-CN"/>
        </w:rPr>
      </w:pPr>
      <w:r>
        <w:rPr>
          <w:rFonts w:hint="default" w:ascii="Times New Roman" w:hAnsi="Times New Roman" w:eastAsia="方正小标宋简体" w:cs="Times New Roman"/>
          <w:b w:val="0"/>
          <w:bCs/>
          <w:color w:val="000000"/>
          <w:w w:val="98"/>
          <w:sz w:val="44"/>
          <w:szCs w:val="44"/>
        </w:rPr>
        <w:t>评分指标</w:t>
      </w:r>
      <w:r>
        <w:rPr>
          <w:rFonts w:hint="default" w:ascii="Times New Roman" w:hAnsi="Times New Roman" w:eastAsia="方正小标宋简体" w:cs="Times New Roman"/>
          <w:b w:val="0"/>
          <w:bCs/>
          <w:color w:val="000000"/>
          <w:w w:val="98"/>
          <w:sz w:val="44"/>
          <w:szCs w:val="44"/>
          <w:lang w:eastAsia="zh-CN"/>
        </w:rPr>
        <w:t>和</w:t>
      </w:r>
      <w:r>
        <w:rPr>
          <w:rFonts w:hint="default" w:ascii="Times New Roman" w:hAnsi="Times New Roman" w:eastAsia="方正小标宋简体" w:cs="Times New Roman"/>
          <w:b w:val="0"/>
          <w:bCs/>
          <w:color w:val="000000"/>
          <w:w w:val="98"/>
          <w:sz w:val="44"/>
          <w:szCs w:val="44"/>
        </w:rPr>
        <w:t>评分</w:t>
      </w:r>
      <w:r>
        <w:rPr>
          <w:rFonts w:hint="eastAsia" w:ascii="Times New Roman" w:hAnsi="Times New Roman" w:eastAsia="方正小标宋简体" w:cs="Times New Roman"/>
          <w:b w:val="0"/>
          <w:bCs/>
          <w:color w:val="000000"/>
          <w:w w:val="98"/>
          <w:sz w:val="44"/>
          <w:szCs w:val="44"/>
          <w:lang w:eastAsia="zh-CN"/>
        </w:rPr>
        <w:t>标准</w:t>
      </w:r>
    </w:p>
    <w:p w14:paraId="0FB759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right="0"/>
        <w:jc w:val="both"/>
        <w:textAlignment w:val="auto"/>
        <w:rPr>
          <w:rFonts w:hint="default" w:ascii="Times New Roman" w:hAnsi="Times New Roman" w:eastAsia="方正仿宋_GBK" w:cs="Times New Roman"/>
          <w:kern w:val="2"/>
          <w:sz w:val="32"/>
          <w:szCs w:val="32"/>
          <w:lang w:val="en-US" w:eastAsia="zh-CN" w:bidi="ar"/>
        </w:rPr>
      </w:pPr>
    </w:p>
    <w:p w14:paraId="1E56657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方正黑体_GBK" w:hAnsi="方正黑体_GBK" w:eastAsia="方正黑体_GBK" w:cs="方正黑体_GBK"/>
          <w:i w:val="0"/>
          <w:caps w:val="0"/>
          <w:color w:val="000000"/>
          <w:spacing w:val="0"/>
          <w:sz w:val="32"/>
          <w:szCs w:val="32"/>
        </w:rPr>
      </w:pPr>
      <w:r>
        <w:rPr>
          <w:rFonts w:hint="eastAsia" w:ascii="方正黑体_GBK" w:hAnsi="方正黑体_GBK" w:eastAsia="方正黑体_GBK" w:cs="方正黑体_GBK"/>
          <w:i w:val="0"/>
          <w:caps w:val="0"/>
          <w:color w:val="000000"/>
          <w:spacing w:val="0"/>
          <w:sz w:val="32"/>
          <w:szCs w:val="32"/>
          <w:shd w:val="clear" w:color="auto" w:fill="FFFFFF"/>
        </w:rPr>
        <w:t>一、评分指标</w:t>
      </w:r>
    </w:p>
    <w:p w14:paraId="2CF23C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rPr>
          <w:rFonts w:hint="default" w:ascii="Times New Roman" w:hAnsi="Times New Roman" w:eastAsia="方正仿宋_GBK" w:cs="Times New Roman"/>
          <w:b w:val="0"/>
          <w:bCs w:val="0"/>
          <w:color w:val="000000"/>
          <w:kern w:val="2"/>
          <w:sz w:val="32"/>
          <w:szCs w:val="32"/>
          <w:lang w:val="en-US" w:eastAsia="zh-CN" w:bidi="ar-SA"/>
        </w:rPr>
      </w:pPr>
      <w:r>
        <w:rPr>
          <w:rFonts w:hint="default" w:ascii="Times New Roman" w:hAnsi="Times New Roman" w:eastAsia="方正仿宋_GBK" w:cs="Times New Roman"/>
          <w:b w:val="0"/>
          <w:bCs w:val="0"/>
          <w:color w:val="000000"/>
          <w:kern w:val="2"/>
          <w:sz w:val="32"/>
          <w:szCs w:val="32"/>
          <w:lang w:val="en-US" w:eastAsia="zh-CN" w:bidi="ar-SA"/>
        </w:rPr>
        <w:t>评分指标包括4个方面</w:t>
      </w:r>
      <w:r>
        <w:rPr>
          <w:rFonts w:hint="default" w:ascii="Times New Roman" w:hAnsi="Times New Roman" w:eastAsia="方正仿宋_GBK" w:cs="Times New Roman"/>
          <w:color w:val="000000"/>
          <w:sz w:val="32"/>
          <w:szCs w:val="32"/>
          <w:lang w:val="en-US" w:eastAsia="zh-CN"/>
        </w:rPr>
        <w:t>：经营状况、业务服务水平、利率水平、地方经济贡献度</w:t>
      </w:r>
      <w:r>
        <w:rPr>
          <w:rFonts w:hint="default" w:ascii="Times New Roman" w:hAnsi="Times New Roman" w:eastAsia="方正仿宋_GBK" w:cs="Times New Roman"/>
          <w:b w:val="0"/>
          <w:bCs w:val="0"/>
          <w:color w:val="000000"/>
          <w:kern w:val="2"/>
          <w:sz w:val="32"/>
          <w:szCs w:val="32"/>
          <w:lang w:val="en-US" w:eastAsia="zh-CN" w:bidi="ar-SA"/>
        </w:rPr>
        <w:t>，权重分别为40</w:t>
      </w:r>
      <w:r>
        <w:rPr>
          <w:rFonts w:hint="default" w:ascii="Times New Roman" w:hAnsi="Times New Roman" w:eastAsia="方正仿宋_GBK" w:cs="Times New Roman"/>
          <w:color w:val="000000"/>
          <w:sz w:val="32"/>
          <w:szCs w:val="32"/>
          <w:lang w:val="en-US" w:eastAsia="zh-CN"/>
        </w:rPr>
        <w:t>%、15%、</w:t>
      </w:r>
      <w:r>
        <w:rPr>
          <w:rFonts w:hint="eastAsia" w:ascii="Times New Roman" w:hAnsi="Times New Roman" w:eastAsia="方正仿宋_GBK" w:cs="Times New Roman"/>
          <w:color w:val="000000"/>
          <w:sz w:val="32"/>
          <w:szCs w:val="32"/>
          <w:lang w:val="en-US" w:eastAsia="zh-CN"/>
        </w:rPr>
        <w:t>20</w:t>
      </w:r>
      <w:r>
        <w:rPr>
          <w:rFonts w:hint="default" w:ascii="Times New Roman" w:hAnsi="Times New Roman" w:eastAsia="方正仿宋_GBK" w:cs="Times New Roman"/>
          <w:color w:val="000000"/>
          <w:sz w:val="32"/>
          <w:szCs w:val="32"/>
          <w:lang w:val="en-US" w:eastAsia="zh-CN"/>
        </w:rPr>
        <w:t>%、</w:t>
      </w:r>
      <w:r>
        <w:rPr>
          <w:rFonts w:hint="eastAsia" w:ascii="Times New Roman" w:hAnsi="Times New Roman" w:eastAsia="方正仿宋_GBK" w:cs="Times New Roman"/>
          <w:color w:val="000000"/>
          <w:sz w:val="32"/>
          <w:szCs w:val="32"/>
          <w:lang w:val="en-US" w:eastAsia="zh-CN"/>
        </w:rPr>
        <w:t>25</w:t>
      </w:r>
      <w:r>
        <w:rPr>
          <w:rFonts w:hint="default" w:ascii="Times New Roman" w:hAnsi="Times New Roman" w:eastAsia="方正仿宋_GBK" w:cs="Times New Roman"/>
          <w:color w:val="000000"/>
          <w:sz w:val="32"/>
          <w:szCs w:val="32"/>
          <w:lang w:val="en-US" w:eastAsia="zh-CN"/>
        </w:rPr>
        <w:t>%（详见附表</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b w:val="0"/>
          <w:bCs w:val="0"/>
          <w:color w:val="000000"/>
          <w:kern w:val="2"/>
          <w:sz w:val="32"/>
          <w:szCs w:val="32"/>
          <w:lang w:val="en-US" w:eastAsia="zh-CN" w:bidi="ar-SA"/>
        </w:rPr>
        <w:t>。</w:t>
      </w:r>
    </w:p>
    <w:p w14:paraId="4BEDC9F5">
      <w:pPr>
        <w:pStyle w:val="4"/>
        <w:keepNext w:val="0"/>
        <w:keepLines w:val="0"/>
        <w:pageBreakBefore w:val="0"/>
        <w:kinsoku/>
        <w:wordWrap/>
        <w:overflowPunct/>
        <w:topLinePunct w:val="0"/>
        <w:autoSpaceDE/>
        <w:autoSpaceDN/>
        <w:bidi w:val="0"/>
        <w:adjustRightInd/>
        <w:snapToGrid/>
        <w:spacing w:beforeAutospacing="0" w:afterAutospacing="0" w:line="560" w:lineRule="exact"/>
        <w:jc w:val="both"/>
        <w:rPr>
          <w:rFonts w:hint="eastAsia" w:ascii="方正小标宋_GBK" w:hAnsi="方正小标宋_GBK" w:eastAsia="方正小标宋_GBK" w:cs="方正小标宋_GBK"/>
          <w:b w:val="0"/>
          <w:bCs w:val="0"/>
          <w:color w:val="000000"/>
          <w:kern w:val="2"/>
          <w:sz w:val="32"/>
          <w:szCs w:val="32"/>
          <w:lang w:val="en-US" w:eastAsia="zh-CN" w:bidi="ar-SA"/>
        </w:rPr>
      </w:pPr>
      <w:r>
        <w:rPr>
          <w:rFonts w:hint="eastAsia" w:ascii="方正黑体_GBK" w:hAnsi="方正黑体_GBK" w:eastAsia="方正黑体_GBK" w:cs="方正黑体_GBK"/>
          <w:b w:val="0"/>
          <w:bCs w:val="0"/>
          <w:color w:val="000000"/>
          <w:kern w:val="2"/>
          <w:sz w:val="24"/>
          <w:szCs w:val="24"/>
          <w:lang w:val="en-US" w:eastAsia="zh-CN" w:bidi="ar-SA"/>
        </w:rPr>
        <w:t>附表</w:t>
      </w:r>
      <w:r>
        <w:rPr>
          <w:rFonts w:hint="eastAsia" w:ascii="方正黑体_GBK" w:hAnsi="方正黑体_GBK" w:eastAsia="方正黑体_GBK" w:cs="方正黑体_GBK"/>
          <w:b w:val="0"/>
          <w:bCs w:val="0"/>
          <w:color w:val="000000"/>
          <w:kern w:val="2"/>
          <w:sz w:val="32"/>
          <w:szCs w:val="32"/>
          <w:lang w:val="en-US" w:eastAsia="zh-CN" w:bidi="ar-SA"/>
        </w:rPr>
        <w:t xml:space="preserve"> </w:t>
      </w:r>
      <w:r>
        <w:rPr>
          <w:rFonts w:hint="eastAsia" w:ascii="方正小标宋_GBK" w:hAnsi="方正小标宋_GBK" w:eastAsia="方正小标宋_GBK" w:cs="方正小标宋_GBK"/>
          <w:b w:val="0"/>
          <w:bCs w:val="0"/>
          <w:color w:val="000000"/>
          <w:kern w:val="2"/>
          <w:sz w:val="32"/>
          <w:szCs w:val="32"/>
          <w:lang w:val="en-US" w:eastAsia="zh-CN" w:bidi="ar-SA"/>
        </w:rPr>
        <w:t xml:space="preserve">                 </w:t>
      </w:r>
    </w:p>
    <w:p w14:paraId="1E24CED5">
      <w:pPr>
        <w:pStyle w:val="4"/>
        <w:keepNext w:val="0"/>
        <w:keepLines w:val="0"/>
        <w:pageBreakBefore w:val="0"/>
        <w:kinsoku/>
        <w:wordWrap/>
        <w:overflowPunct/>
        <w:topLinePunct w:val="0"/>
        <w:autoSpaceDE/>
        <w:autoSpaceDN/>
        <w:bidi w:val="0"/>
        <w:adjustRightInd/>
        <w:snapToGrid/>
        <w:spacing w:beforeAutospacing="0" w:afterAutospacing="0" w:line="560" w:lineRule="exact"/>
        <w:jc w:val="center"/>
        <w:rPr>
          <w:rFonts w:hint="eastAsia" w:ascii="方正小标宋_GBK" w:hAnsi="方正小标宋_GBK" w:eastAsia="方正小标宋_GBK" w:cs="方正小标宋_GBK"/>
          <w:b w:val="0"/>
          <w:bCs w:val="0"/>
          <w:color w:val="000000"/>
          <w:kern w:val="2"/>
          <w:sz w:val="32"/>
          <w:szCs w:val="32"/>
          <w:lang w:val="en-US" w:eastAsia="zh-CN" w:bidi="ar-SA"/>
        </w:rPr>
      </w:pPr>
      <w:r>
        <w:rPr>
          <w:rFonts w:hint="eastAsia" w:ascii="方正小标宋_GBK" w:hAnsi="方正小标宋_GBK" w:eastAsia="方正小标宋_GBK" w:cs="方正小标宋_GBK"/>
          <w:b w:val="0"/>
          <w:bCs w:val="0"/>
          <w:color w:val="000000"/>
          <w:kern w:val="2"/>
          <w:sz w:val="32"/>
          <w:szCs w:val="32"/>
          <w:lang w:val="en-US" w:eastAsia="zh-CN" w:bidi="ar-SA"/>
        </w:rPr>
        <w:t>评分指标</w:t>
      </w:r>
    </w:p>
    <w:tbl>
      <w:tblPr>
        <w:tblStyle w:val="9"/>
        <w:tblW w:w="827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96"/>
        <w:gridCol w:w="1605"/>
        <w:gridCol w:w="1170"/>
        <w:gridCol w:w="4200"/>
      </w:tblGrid>
      <w:tr w14:paraId="43949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296" w:type="dxa"/>
            <w:tcBorders>
              <w:top w:val="single" w:color="000000" w:sz="4" w:space="0"/>
              <w:left w:val="single" w:color="000000" w:sz="4" w:space="0"/>
              <w:bottom w:val="single" w:color="000000" w:sz="4" w:space="0"/>
              <w:right w:val="single" w:color="000000" w:sz="4" w:space="0"/>
            </w:tcBorders>
            <w:noWrap/>
            <w:vAlign w:val="center"/>
          </w:tcPr>
          <w:p w14:paraId="6179E7AA">
            <w:pPr>
              <w:keepNext w:val="0"/>
              <w:keepLines w:val="0"/>
              <w:widowControl/>
              <w:suppressLineNumbers w:val="0"/>
              <w:jc w:val="center"/>
              <w:textAlignment w:val="center"/>
              <w:rPr>
                <w:rFonts w:hint="eastAsia" w:ascii="方正黑体_GBK" w:hAnsi="方正黑体_GBK" w:eastAsia="方正黑体_GBK" w:cs="方正黑体_GBK"/>
                <w:b w:val="0"/>
                <w:bCs w:val="0"/>
                <w:i w:val="0"/>
                <w:iCs w:val="0"/>
                <w:color w:val="000000"/>
                <w:sz w:val="22"/>
                <w:szCs w:val="22"/>
                <w:u w:val="none"/>
              </w:rPr>
            </w:pPr>
            <w:r>
              <w:rPr>
                <w:rFonts w:hint="eastAsia" w:ascii="方正黑体_GBK" w:hAnsi="方正黑体_GBK" w:eastAsia="方正黑体_GBK" w:cs="方正黑体_GBK"/>
                <w:b w:val="0"/>
                <w:bCs w:val="0"/>
                <w:i w:val="0"/>
                <w:iCs w:val="0"/>
                <w:color w:val="000000"/>
                <w:kern w:val="0"/>
                <w:sz w:val="22"/>
                <w:szCs w:val="22"/>
                <w:u w:val="none"/>
                <w:lang w:val="en-US" w:eastAsia="zh-CN" w:bidi="ar"/>
              </w:rPr>
              <w:t>一级指标</w:t>
            </w: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25A910DC">
            <w:pPr>
              <w:keepNext w:val="0"/>
              <w:keepLines w:val="0"/>
              <w:widowControl/>
              <w:suppressLineNumbers w:val="0"/>
              <w:jc w:val="center"/>
              <w:textAlignment w:val="center"/>
              <w:rPr>
                <w:rFonts w:hint="eastAsia" w:ascii="方正黑体_GBK" w:hAnsi="方正黑体_GBK" w:eastAsia="方正黑体_GBK" w:cs="方正黑体_GBK"/>
                <w:b w:val="0"/>
                <w:bCs w:val="0"/>
                <w:i w:val="0"/>
                <w:iCs w:val="0"/>
                <w:color w:val="000000"/>
                <w:sz w:val="22"/>
                <w:szCs w:val="22"/>
                <w:u w:val="none"/>
              </w:rPr>
            </w:pPr>
            <w:r>
              <w:rPr>
                <w:rFonts w:hint="eastAsia" w:ascii="方正黑体_GBK" w:hAnsi="方正黑体_GBK" w:eastAsia="方正黑体_GBK" w:cs="方正黑体_GBK"/>
                <w:b w:val="0"/>
                <w:bCs w:val="0"/>
                <w:i w:val="0"/>
                <w:iCs w:val="0"/>
                <w:color w:val="000000"/>
                <w:kern w:val="0"/>
                <w:sz w:val="22"/>
                <w:szCs w:val="22"/>
                <w:u w:val="none"/>
                <w:lang w:val="en-US" w:eastAsia="zh-CN" w:bidi="ar"/>
              </w:rPr>
              <w:t>二级指标</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DD82615">
            <w:pPr>
              <w:keepNext w:val="0"/>
              <w:keepLines w:val="0"/>
              <w:widowControl/>
              <w:suppressLineNumbers w:val="0"/>
              <w:jc w:val="center"/>
              <w:textAlignment w:val="center"/>
              <w:rPr>
                <w:rFonts w:hint="eastAsia" w:ascii="方正黑体_GBK" w:hAnsi="方正黑体_GBK" w:eastAsia="方正黑体_GBK" w:cs="方正黑体_GBK"/>
                <w:b w:val="0"/>
                <w:bCs w:val="0"/>
                <w:i w:val="0"/>
                <w:iCs w:val="0"/>
                <w:color w:val="000000"/>
                <w:sz w:val="22"/>
                <w:szCs w:val="22"/>
                <w:u w:val="none"/>
              </w:rPr>
            </w:pPr>
            <w:r>
              <w:rPr>
                <w:rFonts w:hint="eastAsia" w:ascii="方正黑体_GBK" w:hAnsi="方正黑体_GBK" w:eastAsia="方正黑体_GBK" w:cs="方正黑体_GBK"/>
                <w:b w:val="0"/>
                <w:bCs w:val="0"/>
                <w:i w:val="0"/>
                <w:iCs w:val="0"/>
                <w:color w:val="000000"/>
                <w:kern w:val="0"/>
                <w:sz w:val="22"/>
                <w:szCs w:val="22"/>
                <w:u w:val="none"/>
                <w:lang w:val="en-US" w:eastAsia="zh-CN" w:bidi="ar"/>
              </w:rPr>
              <w:t>分项权重</w:t>
            </w:r>
          </w:p>
        </w:tc>
        <w:tc>
          <w:tcPr>
            <w:tcW w:w="4200" w:type="dxa"/>
            <w:tcBorders>
              <w:top w:val="single" w:color="000000" w:sz="4" w:space="0"/>
              <w:left w:val="single" w:color="000000" w:sz="4" w:space="0"/>
              <w:bottom w:val="single" w:color="000000" w:sz="4" w:space="0"/>
              <w:right w:val="single" w:color="000000" w:sz="4" w:space="0"/>
            </w:tcBorders>
            <w:noWrap/>
            <w:vAlign w:val="center"/>
          </w:tcPr>
          <w:p w14:paraId="1F2CA2BD">
            <w:pPr>
              <w:jc w:val="center"/>
              <w:rPr>
                <w:rFonts w:hint="eastAsia" w:ascii="方正黑体_GBK" w:hAnsi="方正黑体_GBK" w:eastAsia="方正黑体_GBK" w:cs="方正黑体_GBK"/>
                <w:b w:val="0"/>
                <w:bCs w:val="0"/>
                <w:i w:val="0"/>
                <w:iCs w:val="0"/>
                <w:color w:val="000000"/>
                <w:sz w:val="22"/>
                <w:szCs w:val="22"/>
                <w:u w:val="none"/>
              </w:rPr>
            </w:pPr>
            <w:r>
              <w:rPr>
                <w:rFonts w:hint="eastAsia" w:ascii="方正黑体_GBK" w:hAnsi="方正黑体_GBK" w:eastAsia="方正黑体_GBK" w:cs="方正黑体_GBK"/>
                <w:b w:val="0"/>
                <w:bCs w:val="0"/>
                <w:i w:val="0"/>
                <w:iCs w:val="0"/>
                <w:color w:val="000000"/>
                <w:sz w:val="22"/>
                <w:szCs w:val="22"/>
                <w:u w:val="none"/>
              </w:rPr>
              <w:t>评分标准</w:t>
            </w:r>
          </w:p>
        </w:tc>
      </w:tr>
      <w:tr w14:paraId="1EED4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96" w:type="dxa"/>
            <w:vMerge w:val="restart"/>
            <w:tcBorders>
              <w:top w:val="single" w:color="000000" w:sz="4" w:space="0"/>
              <w:left w:val="single" w:color="000000" w:sz="4" w:space="0"/>
              <w:right w:val="single" w:color="000000" w:sz="4" w:space="0"/>
            </w:tcBorders>
            <w:noWrap w:val="0"/>
            <w:vAlign w:val="center"/>
          </w:tcPr>
          <w:p w14:paraId="234846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经营状况（</w:t>
            </w:r>
            <w:r>
              <w:rPr>
                <w:rFonts w:hint="eastAsia" w:ascii="Times New Roman" w:hAnsi="Times New Roman" w:eastAsia="方正仿宋_GBK" w:cs="Times New Roman"/>
                <w:i w:val="0"/>
                <w:iCs w:val="0"/>
                <w:color w:val="000000"/>
                <w:kern w:val="0"/>
                <w:sz w:val="22"/>
                <w:szCs w:val="22"/>
                <w:u w:val="none"/>
                <w:lang w:val="en-US" w:eastAsia="zh-CN" w:bidi="ar"/>
              </w:rPr>
              <w:t>4</w:t>
            </w:r>
            <w:r>
              <w:rPr>
                <w:rFonts w:hint="default" w:ascii="Times New Roman" w:hAnsi="Times New Roman" w:eastAsia="方正仿宋_GBK" w:cs="Times New Roman"/>
                <w:i w:val="0"/>
                <w:iCs w:val="0"/>
                <w:color w:val="000000"/>
                <w:kern w:val="0"/>
                <w:sz w:val="22"/>
                <w:szCs w:val="22"/>
                <w:u w:val="none"/>
                <w:lang w:val="en-US" w:eastAsia="zh-CN" w:bidi="ar"/>
              </w:rPr>
              <w:t>0%）</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7A0FF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资本充足率</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C783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8%</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01491C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达到监管要求、高于同业平均水平或上年水平的得满分，未达到监管要求的不得分。</w:t>
            </w:r>
          </w:p>
        </w:tc>
      </w:tr>
      <w:tr w14:paraId="4ABEE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96" w:type="dxa"/>
            <w:vMerge w:val="continue"/>
            <w:tcBorders>
              <w:left w:val="single" w:color="000000" w:sz="4" w:space="0"/>
              <w:right w:val="single" w:color="000000" w:sz="4" w:space="0"/>
            </w:tcBorders>
            <w:noWrap w:val="0"/>
            <w:vAlign w:val="center"/>
          </w:tcPr>
          <w:p w14:paraId="56C51DCB">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3E4BC5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不良贷款率</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823C6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8%</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270927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低于监管要求、低于同业平均水平或上年水平的得满分，未达到监管要求的不得分。</w:t>
            </w:r>
          </w:p>
        </w:tc>
      </w:tr>
      <w:tr w14:paraId="18F53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96" w:type="dxa"/>
            <w:vMerge w:val="continue"/>
            <w:tcBorders>
              <w:left w:val="single" w:color="000000" w:sz="4" w:space="0"/>
              <w:right w:val="single" w:color="000000" w:sz="4" w:space="0"/>
            </w:tcBorders>
            <w:noWrap w:val="0"/>
            <w:vAlign w:val="center"/>
          </w:tcPr>
          <w:p w14:paraId="34555087">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00BE1E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拨备覆盖率</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8A6E4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8%</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3E2823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达到监管要求、高于同业平均水平或上年水平的得满分，未达到监管要求的不得分。</w:t>
            </w:r>
          </w:p>
        </w:tc>
      </w:tr>
      <w:tr w14:paraId="6DE1C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96" w:type="dxa"/>
            <w:vMerge w:val="continue"/>
            <w:tcBorders>
              <w:left w:val="single" w:color="000000" w:sz="4" w:space="0"/>
              <w:right w:val="single" w:color="000000" w:sz="4" w:space="0"/>
            </w:tcBorders>
            <w:noWrap w:val="0"/>
            <w:vAlign w:val="center"/>
          </w:tcPr>
          <w:p w14:paraId="75CAAE2F">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649515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流动性比例</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8051F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8%</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0E9C1D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达到监管要求、高于同业平均水平或上年水平的得满分，未达到监管要求的不得分。</w:t>
            </w:r>
          </w:p>
        </w:tc>
      </w:tr>
      <w:tr w14:paraId="23DFE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96" w:type="dxa"/>
            <w:vMerge w:val="continue"/>
            <w:tcBorders>
              <w:left w:val="single" w:color="000000" w:sz="4" w:space="0"/>
              <w:bottom w:val="single" w:color="000000" w:sz="4" w:space="0"/>
              <w:right w:val="single" w:color="000000" w:sz="4" w:space="0"/>
            </w:tcBorders>
            <w:noWrap w:val="0"/>
            <w:vAlign w:val="center"/>
          </w:tcPr>
          <w:p w14:paraId="0ED5CD24">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5A5B70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bookmarkStart w:id="0" w:name="OLE_LINK2"/>
            <w:r>
              <w:rPr>
                <w:rFonts w:hint="eastAsia" w:ascii="Times New Roman" w:hAnsi="Times New Roman" w:eastAsia="方正仿宋_GBK" w:cs="Times New Roman"/>
                <w:i w:val="0"/>
                <w:iCs w:val="0"/>
                <w:color w:val="000000"/>
                <w:kern w:val="0"/>
                <w:sz w:val="22"/>
                <w:szCs w:val="22"/>
                <w:u w:val="none"/>
                <w:lang w:val="en-US" w:eastAsia="zh-CN" w:bidi="ar"/>
              </w:rPr>
              <w:t>内部管理和风险制度</w:t>
            </w:r>
            <w:bookmarkEnd w:id="0"/>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E219F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8</w:t>
            </w:r>
            <w:r>
              <w:rPr>
                <w:rFonts w:hint="eastAsia" w:ascii="Times New Roman" w:hAnsi="Times New Roman" w:eastAsia="方正仿宋_GBK" w:cs="Times New Roman"/>
                <w:i w:val="0"/>
                <w:iCs w:val="0"/>
                <w:color w:val="000000"/>
                <w:kern w:val="0"/>
                <w:sz w:val="22"/>
                <w:szCs w:val="22"/>
                <w:u w:val="none"/>
                <w:lang w:val="en-US" w:eastAsia="zh-CN" w:bidi="ar"/>
              </w:rPr>
              <w:t>%</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1713FB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银行</w:t>
            </w:r>
            <w:r>
              <w:rPr>
                <w:rFonts w:hint="default" w:ascii="Times New Roman" w:hAnsi="Times New Roman" w:eastAsia="方正仿宋_GBK" w:cs="Times New Roman"/>
                <w:i w:val="0"/>
                <w:iCs w:val="0"/>
                <w:color w:val="000000"/>
                <w:kern w:val="0"/>
                <w:sz w:val="22"/>
                <w:szCs w:val="22"/>
                <w:u w:val="none"/>
                <w:lang w:val="en-US" w:eastAsia="zh-CN" w:bidi="ar"/>
              </w:rPr>
              <w:t>近3年内在德宏州辖区内</w:t>
            </w:r>
            <w:r>
              <w:rPr>
                <w:rFonts w:hint="eastAsia" w:ascii="Times New Roman" w:hAnsi="Times New Roman" w:eastAsia="方正仿宋_GBK" w:cs="Times New Roman"/>
                <w:i w:val="0"/>
                <w:iCs w:val="0"/>
                <w:color w:val="000000"/>
                <w:kern w:val="0"/>
                <w:sz w:val="22"/>
                <w:szCs w:val="22"/>
                <w:u w:val="none"/>
                <w:lang w:val="en-US" w:eastAsia="zh-CN" w:bidi="ar"/>
              </w:rPr>
              <w:t>有无较</w:t>
            </w:r>
            <w:r>
              <w:rPr>
                <w:rFonts w:hint="default" w:ascii="Times New Roman" w:hAnsi="Times New Roman" w:eastAsia="方正仿宋_GBK" w:cs="Times New Roman"/>
                <w:i w:val="0"/>
                <w:iCs w:val="0"/>
                <w:color w:val="000000"/>
                <w:kern w:val="0"/>
                <w:sz w:val="22"/>
                <w:szCs w:val="22"/>
                <w:u w:val="none"/>
                <w:lang w:val="en-US" w:eastAsia="zh-CN" w:bidi="ar"/>
              </w:rPr>
              <w:t>大金融案件或</w:t>
            </w:r>
            <w:r>
              <w:rPr>
                <w:rFonts w:hint="eastAsia" w:ascii="Times New Roman" w:hAnsi="Times New Roman" w:eastAsia="方正仿宋_GBK" w:cs="Times New Roman"/>
                <w:i w:val="0"/>
                <w:iCs w:val="0"/>
                <w:color w:val="000000"/>
                <w:kern w:val="0"/>
                <w:sz w:val="22"/>
                <w:szCs w:val="22"/>
                <w:u w:val="none"/>
                <w:lang w:val="en-US" w:eastAsia="zh-CN" w:bidi="ar"/>
              </w:rPr>
              <w:t>较</w:t>
            </w:r>
            <w:r>
              <w:rPr>
                <w:rFonts w:hint="default" w:ascii="Times New Roman" w:hAnsi="Times New Roman" w:eastAsia="方正仿宋_GBK" w:cs="Times New Roman"/>
                <w:i w:val="0"/>
                <w:iCs w:val="0"/>
                <w:color w:val="000000"/>
                <w:kern w:val="0"/>
                <w:sz w:val="22"/>
                <w:szCs w:val="22"/>
                <w:u w:val="none"/>
                <w:lang w:val="en-US" w:eastAsia="zh-CN" w:bidi="ar"/>
              </w:rPr>
              <w:t>大违约事件记录</w:t>
            </w:r>
            <w:r>
              <w:rPr>
                <w:rFonts w:hint="eastAsia" w:ascii="Times New Roman" w:hAnsi="Times New Roman" w:eastAsia="方正仿宋_GBK" w:cs="Times New Roman"/>
                <w:i w:val="0"/>
                <w:iCs w:val="0"/>
                <w:color w:val="000000"/>
                <w:kern w:val="0"/>
                <w:sz w:val="22"/>
                <w:szCs w:val="22"/>
                <w:u w:val="none"/>
                <w:lang w:val="en-US" w:eastAsia="zh-CN" w:bidi="ar"/>
              </w:rPr>
              <w:t>等</w:t>
            </w:r>
            <w:r>
              <w:rPr>
                <w:rFonts w:hint="default" w:ascii="Times New Roman" w:hAnsi="Times New Roman" w:eastAsia="方正仿宋_GBK" w:cs="Times New Roman"/>
                <w:i w:val="0"/>
                <w:iCs w:val="0"/>
                <w:color w:val="000000"/>
                <w:kern w:val="0"/>
                <w:sz w:val="22"/>
                <w:szCs w:val="22"/>
                <w:u w:val="none"/>
                <w:lang w:val="en-US" w:eastAsia="zh-CN" w:bidi="ar"/>
              </w:rPr>
              <w:t>。</w:t>
            </w:r>
            <w:r>
              <w:rPr>
                <w:rFonts w:hint="eastAsia" w:ascii="Times New Roman" w:hAnsi="Times New Roman" w:eastAsia="方正仿宋_GBK" w:cs="Times New Roman"/>
                <w:i w:val="0"/>
                <w:iCs w:val="0"/>
                <w:color w:val="000000"/>
                <w:kern w:val="0"/>
                <w:sz w:val="22"/>
                <w:szCs w:val="22"/>
                <w:u w:val="none"/>
                <w:lang w:val="en-US" w:eastAsia="zh-CN" w:bidi="ar"/>
              </w:rPr>
              <w:t>每被人民银行处以</w:t>
            </w:r>
            <w:r>
              <w:rPr>
                <w:rFonts w:hint="default" w:ascii="Times New Roman" w:hAnsi="Times New Roman" w:eastAsia="方正仿宋_GBK" w:cs="Times New Roman"/>
                <w:i w:val="0"/>
                <w:iCs w:val="0"/>
                <w:color w:val="000000"/>
                <w:kern w:val="0"/>
                <w:sz w:val="22"/>
                <w:szCs w:val="22"/>
                <w:u w:val="none"/>
                <w:lang w:val="en-US" w:eastAsia="zh-CN" w:bidi="ar"/>
              </w:rPr>
              <w:t>10</w:t>
            </w:r>
            <w:r>
              <w:rPr>
                <w:rFonts w:hint="eastAsia" w:ascii="Times New Roman" w:hAnsi="Times New Roman" w:eastAsia="方正仿宋_GBK" w:cs="Times New Roman"/>
                <w:i w:val="0"/>
                <w:iCs w:val="0"/>
                <w:color w:val="000000"/>
                <w:kern w:val="0"/>
                <w:sz w:val="22"/>
                <w:szCs w:val="22"/>
                <w:u w:val="none"/>
                <w:lang w:val="en-US" w:eastAsia="zh-CN" w:bidi="ar"/>
              </w:rPr>
              <w:t>万元及以下罚款</w:t>
            </w:r>
            <w:r>
              <w:rPr>
                <w:rFonts w:hint="default" w:ascii="Times New Roman" w:hAnsi="Times New Roman" w:eastAsia="方正仿宋_GBK" w:cs="Times New Roman"/>
                <w:i w:val="0"/>
                <w:iCs w:val="0"/>
                <w:color w:val="000000"/>
                <w:kern w:val="0"/>
                <w:sz w:val="22"/>
                <w:szCs w:val="22"/>
                <w:u w:val="none"/>
                <w:lang w:val="en-US" w:eastAsia="zh-CN" w:bidi="ar"/>
              </w:rPr>
              <w:t>一次</w:t>
            </w:r>
            <w:r>
              <w:rPr>
                <w:rFonts w:hint="eastAsia" w:ascii="Times New Roman" w:hAnsi="Times New Roman" w:eastAsia="方正仿宋_GBK" w:cs="Times New Roman"/>
                <w:i w:val="0"/>
                <w:iCs w:val="0"/>
                <w:color w:val="000000"/>
                <w:kern w:val="0"/>
                <w:sz w:val="22"/>
                <w:szCs w:val="22"/>
                <w:u w:val="none"/>
                <w:lang w:val="en-US" w:eastAsia="zh-CN" w:bidi="ar"/>
              </w:rPr>
              <w:t>扣</w:t>
            </w:r>
            <w:r>
              <w:rPr>
                <w:rFonts w:hint="default" w:ascii="Times New Roman" w:hAnsi="Times New Roman" w:eastAsia="方正仿宋_GBK" w:cs="Times New Roman"/>
                <w:i w:val="0"/>
                <w:iCs w:val="0"/>
                <w:color w:val="000000"/>
                <w:kern w:val="0"/>
                <w:sz w:val="22"/>
                <w:szCs w:val="22"/>
                <w:u w:val="none"/>
                <w:lang w:val="en-US" w:eastAsia="zh-CN" w:bidi="ar"/>
              </w:rPr>
              <w:t>2</w:t>
            </w:r>
            <w:r>
              <w:rPr>
                <w:rFonts w:hint="eastAsia" w:ascii="Times New Roman" w:hAnsi="Times New Roman" w:eastAsia="方正仿宋_GBK" w:cs="Times New Roman"/>
                <w:i w:val="0"/>
                <w:iCs w:val="0"/>
                <w:color w:val="000000"/>
                <w:kern w:val="0"/>
                <w:sz w:val="22"/>
                <w:szCs w:val="22"/>
                <w:u w:val="none"/>
                <w:lang w:val="en-US" w:eastAsia="zh-CN" w:bidi="ar"/>
              </w:rPr>
              <w:t>分，被人民银行处以</w:t>
            </w:r>
            <w:r>
              <w:rPr>
                <w:rFonts w:hint="default" w:ascii="Times New Roman" w:hAnsi="Times New Roman" w:eastAsia="方正仿宋_GBK" w:cs="Times New Roman"/>
                <w:i w:val="0"/>
                <w:iCs w:val="0"/>
                <w:color w:val="000000"/>
                <w:kern w:val="0"/>
                <w:sz w:val="22"/>
                <w:szCs w:val="22"/>
                <w:u w:val="none"/>
                <w:lang w:val="en-US" w:eastAsia="zh-CN" w:bidi="ar"/>
              </w:rPr>
              <w:t>10</w:t>
            </w:r>
            <w:r>
              <w:rPr>
                <w:rFonts w:hint="eastAsia" w:ascii="Times New Roman" w:hAnsi="Times New Roman" w:eastAsia="方正仿宋_GBK" w:cs="Times New Roman"/>
                <w:i w:val="0"/>
                <w:iCs w:val="0"/>
                <w:color w:val="000000"/>
                <w:kern w:val="0"/>
                <w:sz w:val="22"/>
                <w:szCs w:val="22"/>
                <w:u w:val="none"/>
                <w:lang w:val="en-US" w:eastAsia="zh-CN" w:bidi="ar"/>
              </w:rPr>
              <w:t>万元到</w:t>
            </w:r>
            <w:r>
              <w:rPr>
                <w:rFonts w:hint="default" w:ascii="Times New Roman" w:hAnsi="Times New Roman" w:eastAsia="方正仿宋_GBK" w:cs="Times New Roman"/>
                <w:i w:val="0"/>
                <w:iCs w:val="0"/>
                <w:color w:val="000000"/>
                <w:kern w:val="0"/>
                <w:sz w:val="22"/>
                <w:szCs w:val="22"/>
                <w:u w:val="none"/>
                <w:lang w:val="en-US" w:eastAsia="zh-CN" w:bidi="ar"/>
              </w:rPr>
              <w:t>20</w:t>
            </w:r>
            <w:r>
              <w:rPr>
                <w:rFonts w:hint="eastAsia" w:ascii="Times New Roman" w:hAnsi="Times New Roman" w:eastAsia="方正仿宋_GBK" w:cs="Times New Roman"/>
                <w:i w:val="0"/>
                <w:iCs w:val="0"/>
                <w:color w:val="000000"/>
                <w:kern w:val="0"/>
                <w:sz w:val="22"/>
                <w:szCs w:val="22"/>
                <w:u w:val="none"/>
                <w:lang w:val="en-US" w:eastAsia="zh-CN" w:bidi="ar"/>
              </w:rPr>
              <w:t>万元（含</w:t>
            </w:r>
            <w:r>
              <w:rPr>
                <w:rFonts w:hint="default" w:ascii="Times New Roman" w:hAnsi="Times New Roman" w:eastAsia="方正仿宋_GBK" w:cs="Times New Roman"/>
                <w:i w:val="0"/>
                <w:iCs w:val="0"/>
                <w:color w:val="000000"/>
                <w:kern w:val="0"/>
                <w:sz w:val="22"/>
                <w:szCs w:val="22"/>
                <w:u w:val="none"/>
                <w:lang w:val="en-US" w:eastAsia="zh-CN" w:bidi="ar"/>
              </w:rPr>
              <w:t>20</w:t>
            </w:r>
            <w:r>
              <w:rPr>
                <w:rFonts w:hint="eastAsia" w:ascii="Times New Roman" w:hAnsi="Times New Roman" w:eastAsia="方正仿宋_GBK" w:cs="Times New Roman"/>
                <w:i w:val="0"/>
                <w:iCs w:val="0"/>
                <w:color w:val="000000"/>
                <w:kern w:val="0"/>
                <w:sz w:val="22"/>
                <w:szCs w:val="22"/>
                <w:u w:val="none"/>
                <w:lang w:val="en-US" w:eastAsia="zh-CN" w:bidi="ar"/>
              </w:rPr>
              <w:t>万）扣</w:t>
            </w:r>
            <w:r>
              <w:rPr>
                <w:rFonts w:hint="default" w:ascii="Times New Roman" w:hAnsi="Times New Roman" w:eastAsia="方正仿宋_GBK" w:cs="Times New Roman"/>
                <w:i w:val="0"/>
                <w:iCs w:val="0"/>
                <w:color w:val="000000"/>
                <w:kern w:val="0"/>
                <w:sz w:val="22"/>
                <w:szCs w:val="22"/>
                <w:u w:val="none"/>
                <w:lang w:val="en-US" w:eastAsia="zh-CN" w:bidi="ar"/>
              </w:rPr>
              <w:t>4</w:t>
            </w:r>
            <w:r>
              <w:rPr>
                <w:rFonts w:hint="eastAsia" w:ascii="Times New Roman" w:hAnsi="Times New Roman" w:eastAsia="方正仿宋_GBK" w:cs="Times New Roman"/>
                <w:i w:val="0"/>
                <w:iCs w:val="0"/>
                <w:color w:val="000000"/>
                <w:kern w:val="0"/>
                <w:sz w:val="22"/>
                <w:szCs w:val="22"/>
                <w:u w:val="none"/>
                <w:lang w:val="en-US" w:eastAsia="zh-CN" w:bidi="ar"/>
              </w:rPr>
              <w:t>分，被人民银行处以</w:t>
            </w:r>
            <w:r>
              <w:rPr>
                <w:rFonts w:hint="default" w:ascii="Times New Roman" w:hAnsi="Times New Roman" w:eastAsia="方正仿宋_GBK" w:cs="Times New Roman"/>
                <w:i w:val="0"/>
                <w:iCs w:val="0"/>
                <w:color w:val="000000"/>
                <w:kern w:val="0"/>
                <w:sz w:val="22"/>
                <w:szCs w:val="22"/>
                <w:u w:val="none"/>
                <w:lang w:val="en-US" w:eastAsia="zh-CN" w:bidi="ar"/>
              </w:rPr>
              <w:t>50</w:t>
            </w:r>
            <w:r>
              <w:rPr>
                <w:rFonts w:hint="eastAsia" w:ascii="Times New Roman" w:hAnsi="Times New Roman" w:eastAsia="方正仿宋_GBK" w:cs="Times New Roman"/>
                <w:i w:val="0"/>
                <w:iCs w:val="0"/>
                <w:color w:val="000000"/>
                <w:kern w:val="0"/>
                <w:sz w:val="22"/>
                <w:szCs w:val="22"/>
                <w:u w:val="none"/>
                <w:lang w:val="en-US" w:eastAsia="zh-CN" w:bidi="ar"/>
              </w:rPr>
              <w:t>万元到</w:t>
            </w:r>
            <w:r>
              <w:rPr>
                <w:rFonts w:hint="default" w:ascii="Times New Roman" w:hAnsi="Times New Roman" w:eastAsia="方正仿宋_GBK" w:cs="Times New Roman"/>
                <w:i w:val="0"/>
                <w:iCs w:val="0"/>
                <w:color w:val="000000"/>
                <w:kern w:val="0"/>
                <w:sz w:val="22"/>
                <w:szCs w:val="22"/>
                <w:u w:val="none"/>
                <w:lang w:val="en-US" w:eastAsia="zh-CN" w:bidi="ar"/>
              </w:rPr>
              <w:t>200</w:t>
            </w:r>
            <w:r>
              <w:rPr>
                <w:rFonts w:hint="eastAsia" w:ascii="Times New Roman" w:hAnsi="Times New Roman" w:eastAsia="方正仿宋_GBK" w:cs="Times New Roman"/>
                <w:i w:val="0"/>
                <w:iCs w:val="0"/>
                <w:color w:val="000000"/>
                <w:kern w:val="0"/>
                <w:sz w:val="22"/>
                <w:szCs w:val="22"/>
                <w:u w:val="none"/>
                <w:lang w:val="en-US" w:eastAsia="zh-CN" w:bidi="ar"/>
              </w:rPr>
              <w:t>万元（含</w:t>
            </w:r>
            <w:r>
              <w:rPr>
                <w:rFonts w:hint="default" w:ascii="Times New Roman" w:hAnsi="Times New Roman" w:eastAsia="方正仿宋_GBK" w:cs="Times New Roman"/>
                <w:i w:val="0"/>
                <w:iCs w:val="0"/>
                <w:color w:val="000000"/>
                <w:kern w:val="0"/>
                <w:sz w:val="22"/>
                <w:szCs w:val="22"/>
                <w:u w:val="none"/>
                <w:lang w:val="en-US" w:eastAsia="zh-CN" w:bidi="ar"/>
              </w:rPr>
              <w:t>200</w:t>
            </w:r>
            <w:r>
              <w:rPr>
                <w:rFonts w:hint="eastAsia" w:ascii="Times New Roman" w:hAnsi="Times New Roman" w:eastAsia="方正仿宋_GBK" w:cs="Times New Roman"/>
                <w:i w:val="0"/>
                <w:iCs w:val="0"/>
                <w:color w:val="000000"/>
                <w:kern w:val="0"/>
                <w:sz w:val="22"/>
                <w:szCs w:val="22"/>
                <w:u w:val="none"/>
                <w:lang w:val="en-US" w:eastAsia="zh-CN" w:bidi="ar"/>
              </w:rPr>
              <w:t>万）扣</w:t>
            </w:r>
            <w:r>
              <w:rPr>
                <w:rFonts w:hint="default" w:ascii="Times New Roman" w:hAnsi="Times New Roman" w:eastAsia="方正仿宋_GBK" w:cs="Times New Roman"/>
                <w:i w:val="0"/>
                <w:iCs w:val="0"/>
                <w:color w:val="000000"/>
                <w:kern w:val="0"/>
                <w:sz w:val="22"/>
                <w:szCs w:val="22"/>
                <w:u w:val="none"/>
                <w:lang w:val="en-US" w:eastAsia="zh-CN" w:bidi="ar"/>
              </w:rPr>
              <w:t>6</w:t>
            </w:r>
            <w:r>
              <w:rPr>
                <w:rFonts w:hint="eastAsia" w:ascii="Times New Roman" w:hAnsi="Times New Roman" w:eastAsia="方正仿宋_GBK" w:cs="Times New Roman"/>
                <w:i w:val="0"/>
                <w:iCs w:val="0"/>
                <w:color w:val="000000"/>
                <w:kern w:val="0"/>
                <w:sz w:val="22"/>
                <w:szCs w:val="22"/>
                <w:u w:val="none"/>
                <w:lang w:val="en-US" w:eastAsia="zh-CN" w:bidi="ar"/>
              </w:rPr>
              <w:t>分，被人民银行处以</w:t>
            </w:r>
            <w:r>
              <w:rPr>
                <w:rFonts w:hint="default" w:ascii="Times New Roman" w:hAnsi="Times New Roman" w:eastAsia="方正仿宋_GBK" w:cs="Times New Roman"/>
                <w:i w:val="0"/>
                <w:iCs w:val="0"/>
                <w:color w:val="000000"/>
                <w:kern w:val="0"/>
                <w:sz w:val="22"/>
                <w:szCs w:val="22"/>
                <w:u w:val="none"/>
                <w:lang w:val="en-US" w:eastAsia="zh-CN" w:bidi="ar"/>
              </w:rPr>
              <w:t>200</w:t>
            </w:r>
            <w:r>
              <w:rPr>
                <w:rFonts w:hint="eastAsia" w:ascii="Times New Roman" w:hAnsi="Times New Roman" w:eastAsia="方正仿宋_GBK" w:cs="Times New Roman"/>
                <w:i w:val="0"/>
                <w:iCs w:val="0"/>
                <w:color w:val="000000"/>
                <w:kern w:val="0"/>
                <w:sz w:val="22"/>
                <w:szCs w:val="22"/>
                <w:u w:val="none"/>
                <w:lang w:val="en-US" w:eastAsia="zh-CN" w:bidi="ar"/>
              </w:rPr>
              <w:t>万以上罚款不得分。无违规情况得满分。</w:t>
            </w:r>
          </w:p>
        </w:tc>
      </w:tr>
      <w:tr w14:paraId="0CF19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296" w:type="dxa"/>
            <w:tcBorders>
              <w:top w:val="single" w:color="000000" w:sz="4" w:space="0"/>
              <w:left w:val="single" w:color="000000" w:sz="4" w:space="0"/>
              <w:bottom w:val="single" w:color="000000" w:sz="4" w:space="0"/>
              <w:right w:val="single" w:color="000000" w:sz="4" w:space="0"/>
            </w:tcBorders>
            <w:noWrap w:val="0"/>
            <w:vAlign w:val="center"/>
          </w:tcPr>
          <w:p w14:paraId="59D673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业务服务水平（</w:t>
            </w:r>
            <w:r>
              <w:rPr>
                <w:rFonts w:hint="eastAsia" w:ascii="Times New Roman" w:hAnsi="Times New Roman" w:eastAsia="方正仿宋_GBK" w:cs="Times New Roman"/>
                <w:i w:val="0"/>
                <w:iCs w:val="0"/>
                <w:color w:val="000000"/>
                <w:kern w:val="0"/>
                <w:sz w:val="22"/>
                <w:szCs w:val="22"/>
                <w:u w:val="none"/>
                <w:lang w:val="en-US" w:eastAsia="zh-CN" w:bidi="ar"/>
              </w:rPr>
              <w:t>15</w:t>
            </w:r>
            <w:r>
              <w:rPr>
                <w:rFonts w:hint="default" w:ascii="Times New Roman" w:hAnsi="Times New Roman" w:eastAsia="方正仿宋_GBK" w:cs="Times New Roman"/>
                <w:i w:val="0"/>
                <w:iCs w:val="0"/>
                <w:color w:val="000000"/>
                <w:kern w:val="0"/>
                <w:sz w:val="22"/>
                <w:szCs w:val="22"/>
                <w:u w:val="none"/>
                <w:lang w:val="en-US" w:eastAsia="zh-CN" w:bidi="ar"/>
              </w:rPr>
              <w:t>%）</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1E7FBD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eastAsia" w:ascii="Times New Roman" w:hAnsi="Times New Roman" w:eastAsia="方正仿宋_GBK" w:cs="Times New Roman"/>
                <w:i w:val="0"/>
                <w:iCs w:val="0"/>
                <w:color w:val="000000"/>
                <w:kern w:val="0"/>
                <w:sz w:val="22"/>
                <w:szCs w:val="22"/>
                <w:u w:val="none"/>
                <w:lang w:val="en-US" w:eastAsia="zh-CN" w:bidi="ar"/>
              </w:rPr>
              <w:t>州住房</w:t>
            </w:r>
            <w:r>
              <w:rPr>
                <w:rFonts w:hint="default" w:ascii="Times New Roman" w:hAnsi="Times New Roman" w:eastAsia="方正仿宋_GBK" w:cs="Times New Roman"/>
                <w:i w:val="0"/>
                <w:iCs w:val="0"/>
                <w:color w:val="000000"/>
                <w:kern w:val="0"/>
                <w:sz w:val="22"/>
                <w:szCs w:val="22"/>
                <w:u w:val="none"/>
                <w:lang w:val="en-US" w:eastAsia="zh-CN" w:bidi="ar"/>
              </w:rPr>
              <w:t>公积金</w:t>
            </w:r>
            <w:r>
              <w:rPr>
                <w:rFonts w:hint="eastAsia" w:ascii="Times New Roman" w:hAnsi="Times New Roman" w:eastAsia="方正仿宋_GBK" w:cs="Times New Roman"/>
                <w:i w:val="0"/>
                <w:iCs w:val="0"/>
                <w:color w:val="000000"/>
                <w:kern w:val="0"/>
                <w:sz w:val="22"/>
                <w:szCs w:val="22"/>
                <w:u w:val="none"/>
                <w:lang w:val="en-US" w:eastAsia="zh-CN" w:bidi="ar"/>
              </w:rPr>
              <w:t>管理</w:t>
            </w:r>
            <w:r>
              <w:rPr>
                <w:rFonts w:hint="default" w:ascii="Times New Roman" w:hAnsi="Times New Roman" w:eastAsia="方正仿宋_GBK" w:cs="Times New Roman"/>
                <w:i w:val="0"/>
                <w:iCs w:val="0"/>
                <w:color w:val="000000"/>
                <w:kern w:val="0"/>
                <w:sz w:val="22"/>
                <w:szCs w:val="22"/>
                <w:u w:val="none"/>
                <w:lang w:val="en-US" w:eastAsia="zh-CN" w:bidi="ar"/>
              </w:rPr>
              <w:t>中心对受委托银行业务考核</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870FF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15%</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76D005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以最近一次</w:t>
            </w:r>
            <w:r>
              <w:rPr>
                <w:rFonts w:hint="eastAsia" w:ascii="Times New Roman" w:hAnsi="Times New Roman" w:eastAsia="方正仿宋_GBK" w:cs="Times New Roman"/>
                <w:i w:val="0"/>
                <w:iCs w:val="0"/>
                <w:color w:val="000000"/>
                <w:kern w:val="0"/>
                <w:sz w:val="22"/>
                <w:szCs w:val="22"/>
                <w:u w:val="none"/>
                <w:lang w:val="en-US" w:eastAsia="zh-CN" w:bidi="ar"/>
              </w:rPr>
              <w:t>州住房</w:t>
            </w:r>
            <w:r>
              <w:rPr>
                <w:rFonts w:hint="default" w:ascii="Times New Roman" w:hAnsi="Times New Roman" w:eastAsia="方正仿宋_GBK" w:cs="Times New Roman"/>
                <w:i w:val="0"/>
                <w:iCs w:val="0"/>
                <w:color w:val="000000"/>
                <w:kern w:val="0"/>
                <w:sz w:val="22"/>
                <w:szCs w:val="22"/>
                <w:u w:val="none"/>
                <w:lang w:val="en-US" w:eastAsia="zh-CN" w:bidi="ar"/>
              </w:rPr>
              <w:t>公积金</w:t>
            </w:r>
            <w:r>
              <w:rPr>
                <w:rFonts w:hint="eastAsia" w:ascii="Times New Roman" w:hAnsi="Times New Roman" w:eastAsia="方正仿宋_GBK" w:cs="Times New Roman"/>
                <w:i w:val="0"/>
                <w:iCs w:val="0"/>
                <w:color w:val="000000"/>
                <w:kern w:val="0"/>
                <w:sz w:val="22"/>
                <w:szCs w:val="22"/>
                <w:u w:val="none"/>
                <w:lang w:val="en-US" w:eastAsia="zh-CN" w:bidi="ar"/>
              </w:rPr>
              <w:t>管理</w:t>
            </w:r>
            <w:r>
              <w:rPr>
                <w:rFonts w:hint="default" w:ascii="Times New Roman" w:hAnsi="Times New Roman" w:eastAsia="方正仿宋_GBK" w:cs="Times New Roman"/>
                <w:i w:val="0"/>
                <w:iCs w:val="0"/>
                <w:color w:val="000000"/>
                <w:kern w:val="0"/>
                <w:sz w:val="22"/>
                <w:szCs w:val="22"/>
                <w:u w:val="none"/>
                <w:lang w:val="en-US" w:eastAsia="zh-CN" w:bidi="ar"/>
              </w:rPr>
              <w:t>中心对受委托银行业务考核分数结果为依据，考核分数最高银行得</w:t>
            </w:r>
            <w:r>
              <w:rPr>
                <w:rFonts w:hint="eastAsia" w:ascii="Times New Roman" w:hAnsi="Times New Roman" w:eastAsia="方正仿宋_GBK" w:cs="Times New Roman"/>
                <w:i w:val="0"/>
                <w:iCs w:val="0"/>
                <w:color w:val="000000"/>
                <w:kern w:val="0"/>
                <w:sz w:val="22"/>
                <w:szCs w:val="22"/>
                <w:u w:val="none"/>
                <w:lang w:val="en-US" w:eastAsia="zh-CN" w:bidi="ar"/>
              </w:rPr>
              <w:t>15</w:t>
            </w:r>
            <w:r>
              <w:rPr>
                <w:rFonts w:hint="default" w:ascii="Times New Roman" w:hAnsi="Times New Roman" w:eastAsia="方正仿宋_GBK" w:cs="Times New Roman"/>
                <w:i w:val="0"/>
                <w:iCs w:val="0"/>
                <w:color w:val="000000"/>
                <w:kern w:val="0"/>
                <w:sz w:val="22"/>
                <w:szCs w:val="22"/>
                <w:u w:val="none"/>
                <w:lang w:val="en-US" w:eastAsia="zh-CN" w:bidi="ar"/>
              </w:rPr>
              <w:t>分，其他银行得分=实际考核分数÷所有参与考核银行最高分数×</w:t>
            </w:r>
            <w:r>
              <w:rPr>
                <w:rFonts w:hint="eastAsia" w:ascii="Times New Roman" w:hAnsi="Times New Roman" w:eastAsia="方正仿宋_GBK" w:cs="Times New Roman"/>
                <w:i w:val="0"/>
                <w:iCs w:val="0"/>
                <w:color w:val="000000"/>
                <w:kern w:val="0"/>
                <w:sz w:val="22"/>
                <w:szCs w:val="22"/>
                <w:u w:val="none"/>
                <w:lang w:val="en-US" w:eastAsia="zh-CN" w:bidi="ar"/>
              </w:rPr>
              <w:t>15</w:t>
            </w:r>
            <w:r>
              <w:rPr>
                <w:rFonts w:hint="default" w:ascii="Times New Roman" w:hAnsi="Times New Roman" w:eastAsia="方正仿宋_GBK" w:cs="Times New Roman"/>
                <w:i w:val="0"/>
                <w:iCs w:val="0"/>
                <w:color w:val="000000"/>
                <w:kern w:val="0"/>
                <w:sz w:val="22"/>
                <w:szCs w:val="22"/>
                <w:u w:val="none"/>
                <w:lang w:val="en-US" w:eastAsia="zh-CN" w:bidi="ar"/>
              </w:rPr>
              <w:t>分。</w:t>
            </w:r>
          </w:p>
        </w:tc>
      </w:tr>
      <w:tr w14:paraId="6A060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96" w:type="dxa"/>
            <w:tcBorders>
              <w:top w:val="single" w:color="000000" w:sz="4" w:space="0"/>
              <w:left w:val="single" w:color="000000" w:sz="4" w:space="0"/>
              <w:bottom w:val="single" w:color="000000" w:sz="4" w:space="0"/>
              <w:right w:val="single" w:color="000000" w:sz="4" w:space="0"/>
            </w:tcBorders>
            <w:noWrap w:val="0"/>
            <w:vAlign w:val="center"/>
          </w:tcPr>
          <w:p w14:paraId="525470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利率水平（</w:t>
            </w:r>
            <w:r>
              <w:rPr>
                <w:rFonts w:hint="eastAsia" w:ascii="Times New Roman" w:hAnsi="Times New Roman" w:eastAsia="方正仿宋_GBK" w:cs="Times New Roman"/>
                <w:i w:val="0"/>
                <w:iCs w:val="0"/>
                <w:color w:val="000000"/>
                <w:kern w:val="0"/>
                <w:sz w:val="22"/>
                <w:szCs w:val="22"/>
                <w:u w:val="none"/>
                <w:lang w:val="en-US" w:eastAsia="zh-CN" w:bidi="ar"/>
              </w:rPr>
              <w:t>20</w:t>
            </w:r>
            <w:r>
              <w:rPr>
                <w:rFonts w:hint="default" w:ascii="Times New Roman" w:hAnsi="Times New Roman" w:eastAsia="方正仿宋_GBK" w:cs="Times New Roman"/>
                <w:i w:val="0"/>
                <w:iCs w:val="0"/>
                <w:color w:val="000000"/>
                <w:kern w:val="0"/>
                <w:sz w:val="22"/>
                <w:szCs w:val="22"/>
                <w:u w:val="none"/>
                <w:lang w:val="en-US" w:eastAsia="zh-CN" w:bidi="ar"/>
              </w:rPr>
              <w:t>%）</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5BC0E8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本次报价利率</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3C22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eastAsia" w:ascii="Times New Roman" w:hAnsi="Times New Roman" w:eastAsia="方正仿宋_GBK" w:cs="Times New Roman"/>
                <w:i w:val="0"/>
                <w:iCs w:val="0"/>
                <w:color w:val="000000"/>
                <w:kern w:val="0"/>
                <w:sz w:val="22"/>
                <w:szCs w:val="22"/>
                <w:u w:val="none"/>
                <w:lang w:val="en-US" w:eastAsia="zh-CN" w:bidi="ar"/>
              </w:rPr>
              <w:t>20</w:t>
            </w:r>
            <w:r>
              <w:rPr>
                <w:rFonts w:hint="default" w:ascii="Times New Roman" w:hAnsi="Times New Roman" w:eastAsia="方正仿宋_GBK" w:cs="Times New Roman"/>
                <w:i w:val="0"/>
                <w:iCs w:val="0"/>
                <w:color w:val="000000"/>
                <w:kern w:val="0"/>
                <w:sz w:val="22"/>
                <w:szCs w:val="22"/>
                <w:u w:val="none"/>
                <w:lang w:val="en-US" w:eastAsia="zh-CN" w:bidi="ar"/>
              </w:rPr>
              <w:t>%</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7F76B0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报价最高利率银行得满分，其余按比例折算。（得分=单家银行报价利率÷所有参与银行最高报价利率×</w:t>
            </w:r>
            <w:r>
              <w:rPr>
                <w:rFonts w:hint="eastAsia" w:ascii="Times New Roman" w:hAnsi="Times New Roman" w:eastAsia="方正仿宋_GBK" w:cs="Times New Roman"/>
                <w:i w:val="0"/>
                <w:iCs w:val="0"/>
                <w:color w:val="000000"/>
                <w:kern w:val="0"/>
                <w:sz w:val="22"/>
                <w:szCs w:val="22"/>
                <w:u w:val="none"/>
                <w:lang w:val="en-US" w:eastAsia="zh-CN" w:bidi="ar"/>
              </w:rPr>
              <w:t>20</w:t>
            </w:r>
            <w:r>
              <w:rPr>
                <w:rFonts w:hint="default" w:ascii="Times New Roman" w:hAnsi="Times New Roman" w:eastAsia="方正仿宋_GBK" w:cs="Times New Roman"/>
                <w:i w:val="0"/>
                <w:iCs w:val="0"/>
                <w:color w:val="000000"/>
                <w:kern w:val="0"/>
                <w:sz w:val="22"/>
                <w:szCs w:val="22"/>
                <w:u w:val="none"/>
                <w:lang w:val="en-US" w:eastAsia="zh-CN" w:bidi="ar"/>
              </w:rPr>
              <w:t>）</w:t>
            </w:r>
          </w:p>
        </w:tc>
      </w:tr>
      <w:tr w14:paraId="27ECE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296" w:type="dxa"/>
            <w:vMerge w:val="restart"/>
            <w:tcBorders>
              <w:top w:val="single" w:color="000000" w:sz="4" w:space="0"/>
              <w:left w:val="single" w:color="000000" w:sz="4" w:space="0"/>
              <w:right w:val="single" w:color="000000" w:sz="4" w:space="0"/>
            </w:tcBorders>
            <w:noWrap w:val="0"/>
            <w:vAlign w:val="center"/>
          </w:tcPr>
          <w:p w14:paraId="2758F6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地方经济贡献度（25%）</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242A6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普惠金融</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C5268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5%</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2E0750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参照人民银行德宏州分行上季度末金融支持民营小微经济效果评估结果，参与银行得分=该银行机构在金融支持民营小微经济效果评估得分÷100×5</w:t>
            </w:r>
            <w:r>
              <w:rPr>
                <w:rFonts w:hint="eastAsia" w:ascii="Times New Roman" w:hAnsi="Times New Roman" w:eastAsia="方正仿宋_GBK" w:cs="Times New Roman"/>
                <w:i w:val="0"/>
                <w:iCs w:val="0"/>
                <w:color w:val="auto"/>
                <w:kern w:val="0"/>
                <w:sz w:val="22"/>
                <w:szCs w:val="22"/>
                <w:u w:val="none"/>
                <w:lang w:val="en-US" w:eastAsia="zh-CN" w:bidi="ar"/>
              </w:rPr>
              <w:t>。</w:t>
            </w:r>
          </w:p>
        </w:tc>
      </w:tr>
      <w:tr w14:paraId="1AED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296" w:type="dxa"/>
            <w:vMerge w:val="continue"/>
            <w:tcBorders>
              <w:left w:val="single" w:color="000000" w:sz="4" w:space="0"/>
              <w:right w:val="single" w:color="000000" w:sz="4" w:space="0"/>
            </w:tcBorders>
            <w:noWrap w:val="0"/>
            <w:vAlign w:val="center"/>
          </w:tcPr>
          <w:p w14:paraId="2D6D8204">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74CE97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支持</w:t>
            </w:r>
            <w:r>
              <w:rPr>
                <w:rFonts w:hint="eastAsia" w:ascii="Times New Roman" w:hAnsi="Times New Roman" w:eastAsia="方正仿宋_GBK" w:cs="Times New Roman"/>
                <w:i w:val="0"/>
                <w:iCs w:val="0"/>
                <w:color w:val="auto"/>
                <w:kern w:val="0"/>
                <w:sz w:val="22"/>
                <w:szCs w:val="22"/>
                <w:u w:val="none"/>
                <w:lang w:val="en-US" w:eastAsia="zh-CN" w:bidi="ar"/>
              </w:rPr>
              <w:t>“</w:t>
            </w:r>
            <w:r>
              <w:rPr>
                <w:rFonts w:hint="default" w:ascii="Times New Roman" w:hAnsi="Times New Roman" w:eastAsia="方正仿宋_GBK" w:cs="Times New Roman"/>
                <w:i w:val="0"/>
                <w:iCs w:val="0"/>
                <w:color w:val="auto"/>
                <w:kern w:val="0"/>
                <w:sz w:val="22"/>
                <w:szCs w:val="22"/>
                <w:u w:val="none"/>
                <w:lang w:val="en-US" w:eastAsia="zh-CN" w:bidi="ar"/>
              </w:rPr>
              <w:t>三农</w:t>
            </w:r>
            <w:r>
              <w:rPr>
                <w:rFonts w:hint="eastAsia" w:ascii="Times New Roman" w:hAnsi="Times New Roman" w:eastAsia="方正仿宋_GBK" w:cs="Times New Roman"/>
                <w:i w:val="0"/>
                <w:iCs w:val="0"/>
                <w:color w:val="auto"/>
                <w:kern w:val="0"/>
                <w:sz w:val="22"/>
                <w:szCs w:val="22"/>
                <w:u w:val="none"/>
                <w:lang w:val="en-US" w:eastAsia="zh-CN" w:bidi="ar"/>
              </w:rPr>
              <w:t>”</w:t>
            </w:r>
            <w:r>
              <w:rPr>
                <w:rFonts w:hint="default" w:ascii="Times New Roman" w:hAnsi="Times New Roman" w:eastAsia="方正仿宋_GBK" w:cs="Times New Roman"/>
                <w:i w:val="0"/>
                <w:iCs w:val="0"/>
                <w:color w:val="auto"/>
                <w:kern w:val="0"/>
                <w:sz w:val="22"/>
                <w:szCs w:val="22"/>
                <w:u w:val="none"/>
                <w:lang w:val="en-US" w:eastAsia="zh-CN" w:bidi="ar"/>
              </w:rPr>
              <w:t>与乡村振兴</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4EF74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eastAsia" w:ascii="Times New Roman" w:hAnsi="Times New Roman" w:eastAsia="方正仿宋_GBK" w:cs="Times New Roman"/>
                <w:i w:val="0"/>
                <w:iCs w:val="0"/>
                <w:color w:val="000000"/>
                <w:kern w:val="0"/>
                <w:sz w:val="22"/>
                <w:szCs w:val="22"/>
                <w:u w:val="none"/>
                <w:lang w:val="en-US" w:eastAsia="zh-CN" w:bidi="ar"/>
              </w:rPr>
              <w:t>2</w:t>
            </w:r>
            <w:r>
              <w:rPr>
                <w:rFonts w:hint="default" w:ascii="Times New Roman" w:hAnsi="Times New Roman" w:eastAsia="方正仿宋_GBK" w:cs="Times New Roman"/>
                <w:i w:val="0"/>
                <w:iCs w:val="0"/>
                <w:color w:val="000000"/>
                <w:kern w:val="0"/>
                <w:sz w:val="22"/>
                <w:szCs w:val="22"/>
                <w:u w:val="none"/>
                <w:lang w:val="en-US" w:eastAsia="zh-CN" w:bidi="ar"/>
              </w:rPr>
              <w:t>%</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49403C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参照人民银行德宏州分行金融机构服务乡村振兴上一年度考核评估结果，参与银行得分=该银行机构在服务乡村振兴年度考核得分÷100×</w:t>
            </w:r>
            <w:r>
              <w:rPr>
                <w:rFonts w:hint="default" w:ascii="Times New Roman" w:hAnsi="Times New Roman" w:eastAsia="方正仿宋_GBK" w:cs="Times New Roman"/>
                <w:i w:val="0"/>
                <w:iCs w:val="0"/>
                <w:color w:val="auto"/>
                <w:kern w:val="0"/>
                <w:sz w:val="22"/>
                <w:szCs w:val="22"/>
                <w:u w:val="none"/>
                <w:lang w:val="en" w:eastAsia="zh-CN" w:bidi="ar"/>
              </w:rPr>
              <w:t>2</w:t>
            </w:r>
            <w:r>
              <w:rPr>
                <w:rFonts w:hint="eastAsia" w:ascii="Times New Roman" w:hAnsi="Times New Roman" w:eastAsia="方正仿宋_GBK" w:cs="Times New Roman"/>
                <w:i w:val="0"/>
                <w:iCs w:val="0"/>
                <w:color w:val="auto"/>
                <w:kern w:val="0"/>
                <w:sz w:val="22"/>
                <w:szCs w:val="22"/>
                <w:u w:val="none"/>
                <w:lang w:val="en-US" w:eastAsia="zh-CN" w:bidi="ar"/>
              </w:rPr>
              <w:t>。</w:t>
            </w:r>
          </w:p>
        </w:tc>
      </w:tr>
      <w:tr w14:paraId="17C96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296" w:type="dxa"/>
            <w:vMerge w:val="continue"/>
            <w:tcBorders>
              <w:left w:val="single" w:color="000000" w:sz="4" w:space="0"/>
              <w:right w:val="single" w:color="000000" w:sz="4" w:space="0"/>
            </w:tcBorders>
            <w:noWrap w:val="0"/>
            <w:vAlign w:val="center"/>
          </w:tcPr>
          <w:p w14:paraId="6AAF4862">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40373B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lang w:val="en-US"/>
              </w:rPr>
            </w:pPr>
            <w:r>
              <w:rPr>
                <w:rFonts w:hint="default" w:ascii="Times New Roman" w:hAnsi="Times New Roman" w:eastAsia="方正仿宋_GBK" w:cs="Times New Roman"/>
                <w:i w:val="0"/>
                <w:iCs w:val="0"/>
                <w:color w:val="auto"/>
                <w:kern w:val="0"/>
                <w:sz w:val="22"/>
                <w:szCs w:val="22"/>
                <w:u w:val="none"/>
                <w:lang w:val="en-US" w:eastAsia="zh-CN" w:bidi="ar"/>
              </w:rPr>
              <w:t>个人住房贷款及保障性住房贷款投放量</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A4495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5%</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3DAE16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在参与银行中投放金额最高的得满分，（其他银行得分=银行上年度个人住房贷款及保障性住房贷款投放量÷所有参与银行上年度个人住房贷款及保障性住房贷款</w:t>
            </w:r>
            <w:r>
              <w:rPr>
                <w:rFonts w:hint="eastAsia" w:ascii="Times New Roman" w:hAnsi="Times New Roman" w:eastAsia="方正仿宋_GBK" w:cs="Times New Roman"/>
                <w:i w:val="0"/>
                <w:iCs w:val="0"/>
                <w:color w:val="auto"/>
                <w:kern w:val="0"/>
                <w:sz w:val="22"/>
                <w:szCs w:val="22"/>
                <w:u w:val="none"/>
                <w:lang w:val="en-US" w:eastAsia="zh-CN" w:bidi="ar"/>
              </w:rPr>
              <w:t>最高</w:t>
            </w:r>
            <w:r>
              <w:rPr>
                <w:rFonts w:hint="default" w:ascii="Times New Roman" w:hAnsi="Times New Roman" w:eastAsia="方正仿宋_GBK" w:cs="Times New Roman"/>
                <w:i w:val="0"/>
                <w:iCs w:val="0"/>
                <w:color w:val="auto"/>
                <w:kern w:val="0"/>
                <w:sz w:val="22"/>
                <w:szCs w:val="22"/>
                <w:u w:val="none"/>
                <w:lang w:val="en-US" w:eastAsia="zh-CN" w:bidi="ar"/>
              </w:rPr>
              <w:t>投放量×5）</w:t>
            </w:r>
            <w:r>
              <w:rPr>
                <w:rFonts w:hint="eastAsia" w:ascii="Times New Roman" w:hAnsi="Times New Roman" w:eastAsia="方正仿宋_GBK" w:cs="Times New Roman"/>
                <w:i w:val="0"/>
                <w:iCs w:val="0"/>
                <w:color w:val="auto"/>
                <w:kern w:val="0"/>
                <w:sz w:val="22"/>
                <w:szCs w:val="22"/>
                <w:u w:val="none"/>
                <w:lang w:val="en-US" w:eastAsia="zh-CN" w:bidi="ar"/>
              </w:rPr>
              <w:t>。</w:t>
            </w:r>
          </w:p>
        </w:tc>
      </w:tr>
      <w:tr w14:paraId="209BB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296" w:type="dxa"/>
            <w:vMerge w:val="continue"/>
            <w:tcBorders>
              <w:left w:val="single" w:color="000000" w:sz="4" w:space="0"/>
              <w:right w:val="single" w:color="000000" w:sz="4" w:space="0"/>
            </w:tcBorders>
            <w:noWrap w:val="0"/>
            <w:vAlign w:val="center"/>
          </w:tcPr>
          <w:p w14:paraId="3224B299">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1EF7C8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贷款余额较年初增量</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FCFEA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eastAsia" w:ascii="Times New Roman" w:hAnsi="Times New Roman" w:eastAsia="方正仿宋_GBK" w:cs="Times New Roman"/>
                <w:i w:val="0"/>
                <w:iCs w:val="0"/>
                <w:color w:val="000000"/>
                <w:kern w:val="0"/>
                <w:sz w:val="22"/>
                <w:szCs w:val="22"/>
                <w:u w:val="none"/>
                <w:lang w:val="en-US" w:eastAsia="zh-CN" w:bidi="ar"/>
              </w:rPr>
              <w:t>4</w:t>
            </w:r>
            <w:r>
              <w:rPr>
                <w:rFonts w:hint="default" w:ascii="Times New Roman" w:hAnsi="Times New Roman" w:eastAsia="方正仿宋_GBK" w:cs="Times New Roman"/>
                <w:i w:val="0"/>
                <w:iCs w:val="0"/>
                <w:color w:val="000000"/>
                <w:kern w:val="0"/>
                <w:sz w:val="22"/>
                <w:szCs w:val="22"/>
                <w:u w:val="none"/>
                <w:lang w:val="en-US" w:eastAsia="zh-CN" w:bidi="ar"/>
              </w:rPr>
              <w:t>%</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0E9D39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在参与银行中增量最高的得满分，其他银行得分=银行贷款余额较年初增量÷所有参与银行贷款余额较年初最高增量×4。</w:t>
            </w:r>
          </w:p>
        </w:tc>
      </w:tr>
      <w:tr w14:paraId="265F4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296" w:type="dxa"/>
            <w:vMerge w:val="continue"/>
            <w:tcBorders>
              <w:left w:val="single" w:color="000000" w:sz="4" w:space="0"/>
              <w:right w:val="single" w:color="000000" w:sz="4" w:space="0"/>
            </w:tcBorders>
            <w:noWrap w:val="0"/>
            <w:vAlign w:val="center"/>
          </w:tcPr>
          <w:p w14:paraId="7D889782">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4C5812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支持当地房地产融资协调机制</w:t>
            </w:r>
            <w:r>
              <w:rPr>
                <w:rFonts w:hint="eastAsia" w:ascii="Times New Roman" w:hAnsi="Times New Roman" w:eastAsia="方正仿宋_GBK" w:cs="Times New Roman"/>
                <w:i w:val="0"/>
                <w:iCs w:val="0"/>
                <w:color w:val="000000"/>
                <w:kern w:val="0"/>
                <w:sz w:val="22"/>
                <w:szCs w:val="22"/>
                <w:u w:val="none"/>
                <w:lang w:val="en-US" w:eastAsia="zh-CN" w:bidi="ar"/>
              </w:rPr>
              <w:t>“</w:t>
            </w:r>
            <w:r>
              <w:rPr>
                <w:rFonts w:hint="default" w:ascii="Times New Roman" w:hAnsi="Times New Roman" w:eastAsia="方正仿宋_GBK" w:cs="Times New Roman"/>
                <w:i w:val="0"/>
                <w:iCs w:val="0"/>
                <w:color w:val="000000"/>
                <w:kern w:val="0"/>
                <w:sz w:val="22"/>
                <w:szCs w:val="22"/>
                <w:u w:val="none"/>
                <w:lang w:val="en-US" w:eastAsia="zh-CN" w:bidi="ar"/>
              </w:rPr>
              <w:t>白名单</w:t>
            </w:r>
            <w:r>
              <w:rPr>
                <w:rFonts w:hint="eastAsia" w:ascii="Times New Roman" w:hAnsi="Times New Roman" w:eastAsia="方正仿宋_GBK" w:cs="Times New Roman"/>
                <w:i w:val="0"/>
                <w:iCs w:val="0"/>
                <w:color w:val="000000"/>
                <w:kern w:val="0"/>
                <w:sz w:val="22"/>
                <w:szCs w:val="22"/>
                <w:u w:val="none"/>
                <w:lang w:val="en-US" w:eastAsia="zh-CN" w:bidi="ar"/>
              </w:rPr>
              <w:t>”</w:t>
            </w:r>
            <w:r>
              <w:rPr>
                <w:rFonts w:hint="default" w:ascii="Times New Roman" w:hAnsi="Times New Roman" w:eastAsia="方正仿宋_GBK" w:cs="Times New Roman"/>
                <w:i w:val="0"/>
                <w:iCs w:val="0"/>
                <w:color w:val="000000"/>
                <w:kern w:val="0"/>
                <w:sz w:val="22"/>
                <w:szCs w:val="22"/>
                <w:u w:val="none"/>
                <w:lang w:val="en-US" w:eastAsia="zh-CN" w:bidi="ar"/>
              </w:rPr>
              <w:t>项目</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50AA3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2%</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634859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在参与银行中发放金额最高的得满分，（其他银行得分=银行对当地房地产融资协调机制</w:t>
            </w:r>
            <w:r>
              <w:rPr>
                <w:rFonts w:hint="eastAsia" w:ascii="Times New Roman" w:hAnsi="Times New Roman" w:eastAsia="方正仿宋_GBK" w:cs="Times New Roman"/>
                <w:i w:val="0"/>
                <w:iCs w:val="0"/>
                <w:color w:val="000000"/>
                <w:kern w:val="0"/>
                <w:sz w:val="22"/>
                <w:szCs w:val="22"/>
                <w:u w:val="none"/>
                <w:lang w:val="en-US" w:eastAsia="zh-CN" w:bidi="ar"/>
              </w:rPr>
              <w:t>“</w:t>
            </w:r>
            <w:r>
              <w:rPr>
                <w:rFonts w:hint="default" w:ascii="Times New Roman" w:hAnsi="Times New Roman" w:eastAsia="方正仿宋_GBK" w:cs="Times New Roman"/>
                <w:i w:val="0"/>
                <w:iCs w:val="0"/>
                <w:color w:val="000000"/>
                <w:kern w:val="0"/>
                <w:sz w:val="22"/>
                <w:szCs w:val="22"/>
                <w:u w:val="none"/>
                <w:lang w:val="en-US" w:eastAsia="zh-CN" w:bidi="ar"/>
              </w:rPr>
              <w:t>白名单</w:t>
            </w:r>
            <w:r>
              <w:rPr>
                <w:rFonts w:hint="eastAsia" w:ascii="Times New Roman" w:hAnsi="Times New Roman" w:eastAsia="方正仿宋_GBK" w:cs="Times New Roman"/>
                <w:i w:val="0"/>
                <w:iCs w:val="0"/>
                <w:color w:val="000000"/>
                <w:kern w:val="0"/>
                <w:sz w:val="22"/>
                <w:szCs w:val="22"/>
                <w:u w:val="none"/>
                <w:lang w:val="en-US" w:eastAsia="zh-CN" w:bidi="ar"/>
              </w:rPr>
              <w:t>”</w:t>
            </w:r>
            <w:r>
              <w:rPr>
                <w:rFonts w:hint="default" w:ascii="Times New Roman" w:hAnsi="Times New Roman" w:eastAsia="方正仿宋_GBK" w:cs="Times New Roman"/>
                <w:i w:val="0"/>
                <w:iCs w:val="0"/>
                <w:color w:val="000000"/>
                <w:kern w:val="0"/>
                <w:sz w:val="22"/>
                <w:szCs w:val="22"/>
                <w:u w:val="none"/>
                <w:lang w:val="en-US" w:eastAsia="zh-CN" w:bidi="ar"/>
              </w:rPr>
              <w:t>项目的贷款发放金额÷所有参与银行对当地房地产融资协调机制</w:t>
            </w:r>
            <w:r>
              <w:rPr>
                <w:rFonts w:hint="eastAsia" w:ascii="Times New Roman" w:hAnsi="Times New Roman" w:eastAsia="方正仿宋_GBK" w:cs="Times New Roman"/>
                <w:i w:val="0"/>
                <w:iCs w:val="0"/>
                <w:color w:val="000000"/>
                <w:kern w:val="0"/>
                <w:sz w:val="22"/>
                <w:szCs w:val="22"/>
                <w:u w:val="none"/>
                <w:lang w:val="en-US" w:eastAsia="zh-CN" w:bidi="ar"/>
              </w:rPr>
              <w:t>“</w:t>
            </w:r>
            <w:r>
              <w:rPr>
                <w:rFonts w:hint="default" w:ascii="Times New Roman" w:hAnsi="Times New Roman" w:eastAsia="方正仿宋_GBK" w:cs="Times New Roman"/>
                <w:i w:val="0"/>
                <w:iCs w:val="0"/>
                <w:color w:val="000000"/>
                <w:kern w:val="0"/>
                <w:sz w:val="22"/>
                <w:szCs w:val="22"/>
                <w:u w:val="none"/>
                <w:lang w:val="en-US" w:eastAsia="zh-CN" w:bidi="ar"/>
              </w:rPr>
              <w:t>白名单</w:t>
            </w:r>
            <w:r>
              <w:rPr>
                <w:rFonts w:hint="eastAsia" w:ascii="Times New Roman" w:hAnsi="Times New Roman" w:eastAsia="方正仿宋_GBK" w:cs="Times New Roman"/>
                <w:i w:val="0"/>
                <w:iCs w:val="0"/>
                <w:color w:val="000000"/>
                <w:kern w:val="0"/>
                <w:sz w:val="22"/>
                <w:szCs w:val="22"/>
                <w:u w:val="none"/>
                <w:lang w:val="en-US" w:eastAsia="zh-CN" w:bidi="ar"/>
              </w:rPr>
              <w:t>”</w:t>
            </w:r>
            <w:r>
              <w:rPr>
                <w:rFonts w:hint="default" w:ascii="Times New Roman" w:hAnsi="Times New Roman" w:eastAsia="方正仿宋_GBK" w:cs="Times New Roman"/>
                <w:i w:val="0"/>
                <w:iCs w:val="0"/>
                <w:color w:val="000000"/>
                <w:kern w:val="0"/>
                <w:sz w:val="22"/>
                <w:szCs w:val="22"/>
                <w:u w:val="none"/>
                <w:lang w:val="en-US" w:eastAsia="zh-CN" w:bidi="ar"/>
              </w:rPr>
              <w:t>项目的贷款最高发放金额×2）。</w:t>
            </w:r>
          </w:p>
        </w:tc>
      </w:tr>
      <w:tr w14:paraId="6FE3B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96" w:type="dxa"/>
            <w:vMerge w:val="continue"/>
            <w:tcBorders>
              <w:left w:val="single" w:color="000000" w:sz="4" w:space="0"/>
              <w:right w:val="single" w:color="000000" w:sz="4" w:space="0"/>
            </w:tcBorders>
            <w:noWrap w:val="0"/>
            <w:vAlign w:val="center"/>
          </w:tcPr>
          <w:p w14:paraId="15336A5E">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598642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绿色贷款</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EA112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2%</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5B1402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参照人民银行德宏州分行对金融机构绿色金融上一年度考核结果，参与银行得分=该银行机构在绿色金融年度考核得分÷100×2</w:t>
            </w:r>
            <w:r>
              <w:rPr>
                <w:rFonts w:hint="eastAsia" w:ascii="Times New Roman" w:hAnsi="Times New Roman" w:eastAsia="方正仿宋_GBK" w:cs="Times New Roman"/>
                <w:i w:val="0"/>
                <w:iCs w:val="0"/>
                <w:color w:val="auto"/>
                <w:kern w:val="0"/>
                <w:sz w:val="22"/>
                <w:szCs w:val="22"/>
                <w:u w:val="none"/>
                <w:lang w:val="en-US" w:eastAsia="zh-CN" w:bidi="ar"/>
              </w:rPr>
              <w:t>。</w:t>
            </w:r>
          </w:p>
        </w:tc>
      </w:tr>
      <w:tr w14:paraId="3756C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96" w:type="dxa"/>
            <w:vMerge w:val="continue"/>
            <w:tcBorders>
              <w:left w:val="single" w:color="000000" w:sz="4" w:space="0"/>
              <w:right w:val="single" w:color="000000" w:sz="4" w:space="0"/>
            </w:tcBorders>
            <w:noWrap w:val="0"/>
            <w:vAlign w:val="center"/>
          </w:tcPr>
          <w:p w14:paraId="48A1573C">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46486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科技贷款</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08344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2%</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32E939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auto"/>
                <w:sz w:val="22"/>
                <w:szCs w:val="22"/>
                <w:u w:val="none"/>
              </w:rPr>
            </w:pPr>
            <w:r>
              <w:rPr>
                <w:rFonts w:hint="default" w:ascii="Times New Roman" w:hAnsi="Times New Roman" w:eastAsia="方正仿宋_GBK" w:cs="Times New Roman"/>
                <w:i w:val="0"/>
                <w:iCs w:val="0"/>
                <w:color w:val="auto"/>
                <w:kern w:val="0"/>
                <w:sz w:val="22"/>
                <w:szCs w:val="22"/>
                <w:u w:val="none"/>
                <w:lang w:val="en-US" w:eastAsia="zh-CN" w:bidi="ar"/>
              </w:rPr>
              <w:t>参照人民银行德宏州分行</w:t>
            </w:r>
            <w:r>
              <w:rPr>
                <w:rFonts w:hint="eastAsia" w:ascii="Times New Roman" w:hAnsi="Times New Roman" w:eastAsia="方正仿宋_GBK" w:cs="Times New Roman"/>
                <w:i w:val="0"/>
                <w:iCs w:val="0"/>
                <w:color w:val="auto"/>
                <w:kern w:val="0"/>
                <w:sz w:val="22"/>
                <w:szCs w:val="22"/>
                <w:u w:val="none"/>
                <w:lang w:val="en-US" w:eastAsia="zh-CN" w:bidi="ar"/>
              </w:rPr>
              <w:t>对</w:t>
            </w:r>
            <w:r>
              <w:rPr>
                <w:rFonts w:hint="default" w:ascii="Times New Roman" w:hAnsi="Times New Roman" w:eastAsia="方正仿宋_GBK" w:cs="Times New Roman"/>
                <w:i w:val="0"/>
                <w:iCs w:val="0"/>
                <w:color w:val="auto"/>
                <w:kern w:val="0"/>
                <w:sz w:val="22"/>
                <w:szCs w:val="22"/>
                <w:u w:val="none"/>
                <w:lang w:val="en-US" w:eastAsia="zh-CN" w:bidi="ar"/>
              </w:rPr>
              <w:t>金融机构科技金融上一年度考核结果，参与银行得分=该银行机构在科技金融考核得分÷100×2。</w:t>
            </w:r>
          </w:p>
        </w:tc>
      </w:tr>
      <w:tr w14:paraId="11100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96" w:type="dxa"/>
            <w:vMerge w:val="continue"/>
            <w:tcBorders>
              <w:left w:val="single" w:color="000000" w:sz="4" w:space="0"/>
              <w:bottom w:val="single" w:color="000000" w:sz="4" w:space="0"/>
              <w:right w:val="single" w:color="000000" w:sz="4" w:space="0"/>
            </w:tcBorders>
            <w:noWrap w:val="0"/>
            <w:vAlign w:val="center"/>
          </w:tcPr>
          <w:p w14:paraId="1DDE4654">
            <w:pPr>
              <w:keepNext w:val="0"/>
              <w:keepLines w:val="0"/>
              <w:pageBreakBefore w:val="0"/>
              <w:widowControl/>
              <w:kinsoku/>
              <w:wordWrap/>
              <w:overflowPunct/>
              <w:topLinePunct w:val="0"/>
              <w:autoSpaceDE/>
              <w:autoSpaceDN/>
              <w:bidi w:val="0"/>
              <w:adjustRightInd/>
              <w:snapToGrid/>
              <w:spacing w:line="280" w:lineRule="exact"/>
              <w:jc w:val="center"/>
              <w:rPr>
                <w:rFonts w:hint="default" w:ascii="Times New Roman" w:hAnsi="Times New Roman" w:eastAsia="方正仿宋_GBK"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noWrap/>
            <w:vAlign w:val="center"/>
          </w:tcPr>
          <w:p w14:paraId="04B709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政府项目</w:t>
            </w:r>
            <w:r>
              <w:rPr>
                <w:rFonts w:hint="default" w:ascii="Times New Roman" w:hAnsi="Times New Roman" w:eastAsia="方正仿宋_GBK" w:cs="Times New Roman"/>
                <w:i w:val="0"/>
                <w:iCs w:val="0"/>
                <w:color w:val="000000"/>
                <w:kern w:val="0"/>
                <w:sz w:val="22"/>
                <w:szCs w:val="22"/>
                <w:u w:val="none"/>
                <w:lang w:val="en-US" w:eastAsia="zh-CN" w:bidi="ar"/>
              </w:rPr>
              <w:t>合作与支持力度</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3DFFD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3%</w:t>
            </w:r>
          </w:p>
        </w:tc>
        <w:tc>
          <w:tcPr>
            <w:tcW w:w="4200" w:type="dxa"/>
            <w:tcBorders>
              <w:top w:val="single" w:color="000000" w:sz="4" w:space="0"/>
              <w:left w:val="single" w:color="000000" w:sz="4" w:space="0"/>
              <w:bottom w:val="single" w:color="000000" w:sz="4" w:space="0"/>
              <w:right w:val="single" w:color="000000" w:sz="4" w:space="0"/>
            </w:tcBorders>
            <w:noWrap w:val="0"/>
            <w:vAlign w:val="center"/>
          </w:tcPr>
          <w:p w14:paraId="2C8D681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80" w:lineRule="exact"/>
              <w:textAlignment w:val="auto"/>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b w:val="0"/>
                <w:bCs w:val="0"/>
                <w:i w:val="0"/>
                <w:iCs w:val="0"/>
                <w:color w:val="000000"/>
                <w:kern w:val="0"/>
                <w:sz w:val="22"/>
                <w:szCs w:val="22"/>
                <w:u w:val="none"/>
                <w:lang w:val="en-US" w:eastAsia="zh-CN" w:bidi="ar"/>
              </w:rPr>
              <w:t>银行在德宏州内对</w:t>
            </w:r>
            <w:r>
              <w:rPr>
                <w:rFonts w:hint="eastAsia" w:ascii="Times New Roman" w:hAnsi="Times New Roman" w:eastAsia="方正仿宋_GBK" w:cs="Times New Roman"/>
                <w:b w:val="0"/>
                <w:bCs w:val="0"/>
                <w:i w:val="0"/>
                <w:iCs w:val="0"/>
                <w:color w:val="000000"/>
                <w:kern w:val="0"/>
                <w:sz w:val="22"/>
                <w:szCs w:val="22"/>
                <w:u w:val="none"/>
                <w:lang w:val="en-US" w:eastAsia="zh-CN" w:bidi="ar"/>
              </w:rPr>
              <w:t>行政机关</w:t>
            </w:r>
            <w:r>
              <w:rPr>
                <w:rFonts w:hint="default" w:ascii="Times New Roman" w:hAnsi="Times New Roman" w:eastAsia="方正仿宋_GBK" w:cs="Times New Roman"/>
                <w:b w:val="0"/>
                <w:bCs w:val="0"/>
                <w:i w:val="0"/>
                <w:iCs w:val="0"/>
                <w:color w:val="000000"/>
                <w:kern w:val="0"/>
                <w:sz w:val="22"/>
                <w:szCs w:val="22"/>
                <w:u w:val="none"/>
                <w:lang w:val="en-US" w:eastAsia="zh-CN" w:bidi="ar"/>
              </w:rPr>
              <w:t>、</w:t>
            </w:r>
            <w:r>
              <w:rPr>
                <w:rFonts w:hint="eastAsia" w:ascii="Times New Roman" w:hAnsi="Times New Roman" w:eastAsia="方正仿宋_GBK" w:cs="Times New Roman"/>
                <w:b w:val="0"/>
                <w:bCs w:val="0"/>
                <w:i w:val="0"/>
                <w:iCs w:val="0"/>
                <w:color w:val="000000"/>
                <w:kern w:val="0"/>
                <w:sz w:val="22"/>
                <w:szCs w:val="22"/>
                <w:u w:val="none"/>
                <w:lang w:val="en-US" w:eastAsia="zh-CN" w:bidi="ar"/>
              </w:rPr>
              <w:t>企</w:t>
            </w:r>
            <w:r>
              <w:rPr>
                <w:rFonts w:hint="default" w:ascii="Times New Roman" w:hAnsi="Times New Roman" w:eastAsia="方正仿宋_GBK" w:cs="Times New Roman"/>
                <w:b w:val="0"/>
                <w:bCs w:val="0"/>
                <w:i w:val="0"/>
                <w:iCs w:val="0"/>
                <w:color w:val="000000"/>
                <w:kern w:val="0"/>
                <w:sz w:val="22"/>
                <w:szCs w:val="22"/>
                <w:u w:val="none"/>
                <w:lang w:val="en-US" w:eastAsia="zh-CN" w:bidi="ar"/>
              </w:rPr>
              <w:t>事业单位的</w:t>
            </w:r>
            <w:r>
              <w:rPr>
                <w:rFonts w:hint="eastAsia" w:ascii="Times New Roman" w:hAnsi="Times New Roman" w:eastAsia="方正仿宋_GBK" w:cs="Times New Roman"/>
                <w:b w:val="0"/>
                <w:bCs w:val="0"/>
                <w:i w:val="0"/>
                <w:iCs w:val="0"/>
                <w:color w:val="000000"/>
                <w:kern w:val="0"/>
                <w:sz w:val="22"/>
                <w:szCs w:val="22"/>
                <w:u w:val="none"/>
                <w:lang w:val="en-US" w:eastAsia="zh-CN" w:bidi="ar"/>
              </w:rPr>
              <w:t>项目支持力度、与地方政府</w:t>
            </w:r>
            <w:r>
              <w:rPr>
                <w:rFonts w:hint="default" w:ascii="Times New Roman" w:hAnsi="Times New Roman" w:eastAsia="方正仿宋_GBK" w:cs="Times New Roman"/>
                <w:b w:val="0"/>
                <w:bCs w:val="0"/>
                <w:i w:val="0"/>
                <w:iCs w:val="0"/>
                <w:color w:val="000000"/>
                <w:kern w:val="0"/>
                <w:sz w:val="22"/>
                <w:szCs w:val="22"/>
                <w:u w:val="none"/>
                <w:lang w:val="en-US" w:eastAsia="zh-CN" w:bidi="ar"/>
              </w:rPr>
              <w:t>政策协同</w:t>
            </w:r>
            <w:r>
              <w:rPr>
                <w:rFonts w:hint="eastAsia" w:ascii="Times New Roman" w:hAnsi="Times New Roman" w:eastAsia="方正仿宋_GBK" w:cs="Times New Roman"/>
                <w:b w:val="0"/>
                <w:bCs w:val="0"/>
                <w:i w:val="0"/>
                <w:iCs w:val="0"/>
                <w:color w:val="000000"/>
                <w:kern w:val="0"/>
                <w:sz w:val="22"/>
                <w:szCs w:val="22"/>
                <w:u w:val="none"/>
                <w:lang w:val="en-US" w:eastAsia="zh-CN" w:bidi="ar"/>
              </w:rPr>
              <w:t>、群众</w:t>
            </w:r>
            <w:r>
              <w:rPr>
                <w:rFonts w:hint="default" w:ascii="Times New Roman" w:hAnsi="Times New Roman" w:eastAsia="方正仿宋_GBK" w:cs="Times New Roman"/>
                <w:b w:val="0"/>
                <w:bCs w:val="0"/>
                <w:i w:val="0"/>
                <w:iCs w:val="0"/>
                <w:color w:val="000000"/>
                <w:kern w:val="0"/>
                <w:sz w:val="22"/>
                <w:szCs w:val="22"/>
                <w:u w:val="none"/>
                <w:lang w:val="en-US" w:eastAsia="zh-CN" w:bidi="ar"/>
              </w:rPr>
              <w:t>满意度</w:t>
            </w:r>
            <w:r>
              <w:rPr>
                <w:rFonts w:hint="eastAsia" w:ascii="Times New Roman" w:hAnsi="Times New Roman" w:eastAsia="方正仿宋_GBK" w:cs="Times New Roman"/>
                <w:b w:val="0"/>
                <w:bCs w:val="0"/>
                <w:i w:val="0"/>
                <w:iCs w:val="0"/>
                <w:color w:val="000000"/>
                <w:kern w:val="0"/>
                <w:sz w:val="22"/>
                <w:szCs w:val="22"/>
                <w:u w:val="none"/>
                <w:lang w:val="en-US" w:eastAsia="zh-CN" w:bidi="ar"/>
              </w:rPr>
              <w:t>、</w:t>
            </w:r>
            <w:r>
              <w:rPr>
                <w:rFonts w:hint="default" w:ascii="Times New Roman" w:hAnsi="Times New Roman" w:eastAsia="方正仿宋_GBK" w:cs="Times New Roman"/>
                <w:b w:val="0"/>
                <w:bCs w:val="0"/>
                <w:i w:val="0"/>
                <w:iCs w:val="0"/>
                <w:color w:val="000000"/>
                <w:kern w:val="0"/>
                <w:sz w:val="22"/>
                <w:szCs w:val="22"/>
                <w:u w:val="none"/>
                <w:lang w:val="en-US" w:eastAsia="zh-CN" w:bidi="ar"/>
              </w:rPr>
              <w:t>创新与覆盖</w:t>
            </w:r>
            <w:r>
              <w:rPr>
                <w:rFonts w:hint="eastAsia" w:ascii="Times New Roman" w:hAnsi="Times New Roman" w:eastAsia="方正仿宋_GBK" w:cs="Times New Roman"/>
                <w:b w:val="0"/>
                <w:bCs w:val="0"/>
                <w:i w:val="0"/>
                <w:iCs w:val="0"/>
                <w:color w:val="000000"/>
                <w:kern w:val="0"/>
                <w:sz w:val="22"/>
                <w:szCs w:val="22"/>
                <w:u w:val="none"/>
                <w:lang w:val="en-US" w:eastAsia="zh-CN" w:bidi="ar"/>
              </w:rPr>
              <w:t>等</w:t>
            </w:r>
            <w:r>
              <w:rPr>
                <w:rFonts w:hint="default" w:ascii="Times New Roman" w:hAnsi="Times New Roman" w:eastAsia="方正仿宋_GBK" w:cs="Times New Roman"/>
                <w:b w:val="0"/>
                <w:bCs w:val="0"/>
                <w:i w:val="0"/>
                <w:iCs w:val="0"/>
                <w:color w:val="000000"/>
                <w:kern w:val="0"/>
                <w:sz w:val="22"/>
                <w:szCs w:val="22"/>
                <w:u w:val="none"/>
                <w:lang w:val="en-US" w:eastAsia="zh-CN" w:bidi="ar"/>
              </w:rPr>
              <w:t>业务开展情况</w:t>
            </w:r>
            <w:r>
              <w:rPr>
                <w:rFonts w:hint="eastAsia" w:ascii="Times New Roman" w:hAnsi="Times New Roman" w:eastAsia="方正仿宋_GBK" w:cs="Times New Roman"/>
                <w:b w:val="0"/>
                <w:bCs w:val="0"/>
                <w:i w:val="0"/>
                <w:iCs w:val="0"/>
                <w:color w:val="000000"/>
                <w:kern w:val="0"/>
                <w:sz w:val="22"/>
                <w:szCs w:val="22"/>
                <w:u w:val="none"/>
                <w:lang w:val="en-US" w:eastAsia="zh-CN" w:bidi="ar"/>
              </w:rPr>
              <w:t>。主要参考银行自评、州财政局、州国资委、人民银行德宏州分行等相关部门数据指标。</w:t>
            </w:r>
          </w:p>
        </w:tc>
      </w:tr>
    </w:tbl>
    <w:p w14:paraId="7FD0A66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方正黑体_GBK" w:hAnsi="方正黑体_GBK" w:eastAsia="方正黑体_GBK" w:cs="方正黑体_GBK"/>
          <w:color w:val="000000"/>
          <w:kern w:val="2"/>
          <w:sz w:val="32"/>
          <w:szCs w:val="32"/>
          <w:lang w:val="en-US" w:eastAsia="zh-CN" w:bidi="ar"/>
        </w:rPr>
      </w:pPr>
      <w:r>
        <w:rPr>
          <w:rFonts w:hint="eastAsia" w:ascii="方正黑体_GBK" w:hAnsi="方正黑体_GBK" w:eastAsia="方正黑体_GBK" w:cs="方正黑体_GBK"/>
          <w:i w:val="0"/>
          <w:caps w:val="0"/>
          <w:color w:val="000000"/>
          <w:spacing w:val="0"/>
          <w:sz w:val="32"/>
          <w:szCs w:val="32"/>
          <w:shd w:val="clear" w:color="auto" w:fill="FFFFFF"/>
          <w:lang w:val="en-US" w:eastAsia="zh-CN"/>
        </w:rPr>
        <w:t>二、评分标准</w:t>
      </w:r>
    </w:p>
    <w:p w14:paraId="0C85C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楷体_GBK" w:hAnsi="方正楷体_GBK" w:eastAsia="方正楷体_GBK" w:cs="方正楷体_GBK"/>
          <w:color w:val="000000"/>
          <w:kern w:val="2"/>
          <w:sz w:val="32"/>
          <w:szCs w:val="32"/>
          <w:lang w:val="en-US" w:eastAsia="zh-CN" w:bidi="ar"/>
        </w:rPr>
      </w:pPr>
      <w:r>
        <w:rPr>
          <w:rFonts w:hint="eastAsia" w:ascii="方正楷体_GBK" w:hAnsi="方正楷体_GBK" w:eastAsia="方正楷体_GBK" w:cs="方正楷体_GBK"/>
          <w:color w:val="000000"/>
          <w:kern w:val="2"/>
          <w:sz w:val="32"/>
          <w:szCs w:val="32"/>
          <w:lang w:val="en-US" w:eastAsia="zh-CN" w:bidi="ar"/>
        </w:rPr>
        <w:t>（一）经营状况（40分）</w:t>
      </w:r>
    </w:p>
    <w:p w14:paraId="72F3B0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kern w:val="2"/>
          <w:sz w:val="32"/>
          <w:szCs w:val="32"/>
          <w:lang w:val="en-US" w:eastAsia="zh-CN" w:bidi="ar"/>
        </w:rPr>
      </w:pPr>
      <w:r>
        <w:rPr>
          <w:rFonts w:hint="default" w:ascii="Times New Roman" w:hAnsi="Times New Roman" w:eastAsia="方正仿宋_GBK" w:cs="Times New Roman"/>
          <w:color w:val="000000"/>
          <w:kern w:val="2"/>
          <w:sz w:val="32"/>
          <w:szCs w:val="32"/>
          <w:lang w:val="en-US" w:eastAsia="zh-CN" w:bidi="ar"/>
        </w:rPr>
        <w:t>以银行自我声明及银行提供的近期经审</w:t>
      </w:r>
      <w:r>
        <w:rPr>
          <w:rFonts w:hint="default" w:ascii="Times New Roman" w:hAnsi="Times New Roman" w:eastAsia="方正仿宋_GBK" w:cs="Times New Roman"/>
          <w:kern w:val="2"/>
          <w:sz w:val="32"/>
          <w:szCs w:val="32"/>
          <w:lang w:val="en-US" w:eastAsia="zh-CN" w:bidi="ar"/>
        </w:rPr>
        <w:t>计的年度报告、季度报告，中国人民银行、金融监督管理机构公开发布的监管评级或数据为准。</w:t>
      </w:r>
    </w:p>
    <w:p w14:paraId="4DAC7F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000000"/>
          <w:kern w:val="2"/>
          <w:sz w:val="32"/>
          <w:szCs w:val="32"/>
          <w:lang w:val="en-US" w:eastAsia="zh-CN" w:bidi="ar"/>
        </w:rPr>
      </w:pPr>
      <w:r>
        <w:rPr>
          <w:rFonts w:hint="default" w:ascii="Times New Roman" w:hAnsi="Times New Roman" w:eastAsia="方正仿宋_GBK" w:cs="Times New Roman"/>
          <w:b w:val="0"/>
          <w:bCs w:val="0"/>
          <w:kern w:val="2"/>
          <w:sz w:val="32"/>
          <w:szCs w:val="32"/>
          <w:lang w:val="en-US" w:eastAsia="zh-CN" w:bidi="ar"/>
        </w:rPr>
        <w:t>1.资本充足率</w:t>
      </w:r>
      <w:r>
        <w:rPr>
          <w:rFonts w:hint="default" w:ascii="Times New Roman" w:hAnsi="Times New Roman" w:eastAsia="方正仿宋_GBK" w:cs="Times New Roman"/>
          <w:color w:val="000000"/>
          <w:kern w:val="2"/>
          <w:sz w:val="32"/>
          <w:szCs w:val="32"/>
          <w:lang w:val="en-US" w:eastAsia="zh-CN" w:bidi="ar"/>
        </w:rPr>
        <w:t>（8分），达到监管要求、高于同业平均水平或上年水平的得满分，未达到监管要求的不得分；</w:t>
      </w:r>
    </w:p>
    <w:p w14:paraId="31105D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b w:val="0"/>
          <w:bCs w:val="0"/>
          <w:color w:val="000000"/>
          <w:kern w:val="2"/>
          <w:sz w:val="32"/>
          <w:szCs w:val="32"/>
          <w:lang w:val="en-US" w:eastAsia="zh-CN" w:bidi="ar"/>
        </w:rPr>
      </w:pPr>
      <w:r>
        <w:rPr>
          <w:rFonts w:hint="default" w:ascii="Times New Roman" w:hAnsi="Times New Roman" w:eastAsia="方正仿宋_GBK" w:cs="Times New Roman"/>
          <w:b w:val="0"/>
          <w:bCs w:val="0"/>
          <w:color w:val="000000"/>
          <w:kern w:val="2"/>
          <w:sz w:val="32"/>
          <w:szCs w:val="32"/>
          <w:lang w:val="en-US" w:eastAsia="zh-CN" w:bidi="ar"/>
        </w:rPr>
        <w:t>2.不良贷款率（8分），低于监管要求、低于同业平均水平或上年水平的得满分，未达到监管要求的不得分；</w:t>
      </w:r>
    </w:p>
    <w:p w14:paraId="039A77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b w:val="0"/>
          <w:bCs w:val="0"/>
          <w:color w:val="000000"/>
          <w:kern w:val="2"/>
          <w:sz w:val="32"/>
          <w:szCs w:val="32"/>
          <w:lang w:val="en-US" w:eastAsia="zh-CN" w:bidi="ar"/>
        </w:rPr>
      </w:pPr>
      <w:r>
        <w:rPr>
          <w:rFonts w:hint="default" w:ascii="Times New Roman" w:hAnsi="Times New Roman" w:eastAsia="方正仿宋_GBK" w:cs="Times New Roman"/>
          <w:b w:val="0"/>
          <w:bCs w:val="0"/>
          <w:color w:val="000000"/>
          <w:kern w:val="2"/>
          <w:sz w:val="32"/>
          <w:szCs w:val="32"/>
          <w:lang w:val="en-US" w:eastAsia="zh-CN" w:bidi="ar"/>
        </w:rPr>
        <w:t>3.拨备覆盖率（8分），达到监管要求、高于同业平均水平或上年水平的得满分，未达到监管要求的不得分；</w:t>
      </w:r>
    </w:p>
    <w:p w14:paraId="19C3BC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方正仿宋_GBK" w:cs="Times New Roman"/>
          <w:color w:val="FF0000"/>
          <w:kern w:val="2"/>
          <w:sz w:val="32"/>
          <w:szCs w:val="32"/>
          <w:lang w:val="en-US" w:eastAsia="zh-CN" w:bidi="ar"/>
        </w:rPr>
      </w:pPr>
      <w:r>
        <w:rPr>
          <w:rFonts w:hint="default" w:ascii="Times New Roman" w:hAnsi="Times New Roman" w:eastAsia="方正仿宋_GBK" w:cs="Times New Roman"/>
          <w:b w:val="0"/>
          <w:bCs w:val="0"/>
          <w:color w:val="000000"/>
          <w:kern w:val="2"/>
          <w:sz w:val="32"/>
          <w:szCs w:val="32"/>
          <w:lang w:val="en-US" w:eastAsia="zh-CN" w:bidi="ar"/>
        </w:rPr>
        <w:t>4.流动性比例</w:t>
      </w:r>
      <w:r>
        <w:rPr>
          <w:rFonts w:hint="default" w:ascii="Times New Roman" w:hAnsi="Times New Roman" w:eastAsia="方正仿宋_GBK" w:cs="Times New Roman"/>
          <w:color w:val="000000"/>
          <w:kern w:val="2"/>
          <w:sz w:val="32"/>
          <w:szCs w:val="32"/>
          <w:lang w:val="en-US" w:eastAsia="zh-CN" w:bidi="ar"/>
        </w:rPr>
        <w:t>（8分），达到监管要求、高于同业平均水平或上年水平的得满分，未达</w:t>
      </w:r>
      <w:r>
        <w:rPr>
          <w:rFonts w:hint="default" w:ascii="Times New Roman" w:hAnsi="Times New Roman" w:eastAsia="方正仿宋_GBK" w:cs="Times New Roman"/>
          <w:kern w:val="2"/>
          <w:sz w:val="32"/>
          <w:szCs w:val="32"/>
          <w:lang w:val="en-US" w:eastAsia="zh-CN" w:bidi="ar"/>
        </w:rPr>
        <w:t>到监管要求的不得分。</w:t>
      </w:r>
    </w:p>
    <w:p w14:paraId="317B97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方正仿宋_GBK" w:cs="Times New Roman"/>
          <w:kern w:val="2"/>
          <w:sz w:val="32"/>
          <w:szCs w:val="32"/>
          <w:lang w:val="en-US" w:eastAsia="zh-CN" w:bidi="ar"/>
        </w:rPr>
      </w:pPr>
      <w:r>
        <w:rPr>
          <w:rFonts w:hint="default" w:ascii="Times New Roman" w:hAnsi="Times New Roman" w:eastAsia="方正仿宋_GBK" w:cs="Times New Roman"/>
          <w:kern w:val="2"/>
          <w:sz w:val="32"/>
          <w:szCs w:val="32"/>
          <w:lang w:val="en-US" w:eastAsia="zh-CN" w:bidi="ar"/>
        </w:rPr>
        <w:t>5</w:t>
      </w:r>
      <w:r>
        <w:rPr>
          <w:rFonts w:hint="eastAsia" w:ascii="Times New Roman" w:hAnsi="Times New Roman" w:eastAsia="方正仿宋_GBK" w:cs="Times New Roman"/>
          <w:kern w:val="2"/>
          <w:sz w:val="32"/>
          <w:szCs w:val="32"/>
          <w:lang w:val="en-US" w:eastAsia="zh-CN" w:bidi="ar"/>
        </w:rPr>
        <w:t>.内部管理和风险制度（8分），</w:t>
      </w:r>
      <w:r>
        <w:rPr>
          <w:rFonts w:hint="default" w:ascii="Times New Roman" w:hAnsi="Times New Roman" w:eastAsia="方正仿宋_GBK" w:cs="Times New Roman"/>
          <w:kern w:val="2"/>
          <w:sz w:val="32"/>
          <w:szCs w:val="32"/>
          <w:lang w:val="en-US" w:eastAsia="zh-CN" w:bidi="ar"/>
        </w:rPr>
        <w:t>银行近3年内在德宏州辖区内无较大金融案件或较大违约事件记录等。每被人民银行处以10万元及以下罚款一次扣2分，被人民银行处以10万元到20万元（含20万）之间扣4分，被人民银行处以50万元到200万元（含200万）之间扣6分，被人民银行处以200万以上罚款不得分。无违规情况得满分</w:t>
      </w:r>
      <w:r>
        <w:rPr>
          <w:rFonts w:hint="eastAsia" w:ascii="Times New Roman" w:hAnsi="Times New Roman" w:eastAsia="方正仿宋_GBK" w:cs="Times New Roman"/>
          <w:kern w:val="2"/>
          <w:sz w:val="32"/>
          <w:szCs w:val="32"/>
          <w:lang w:val="en-US" w:eastAsia="zh-CN" w:bidi="ar"/>
        </w:rPr>
        <w:t>。</w:t>
      </w:r>
    </w:p>
    <w:p w14:paraId="7174E2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楷体_GBK" w:hAnsi="方正楷体_GBK" w:eastAsia="方正楷体_GBK" w:cs="方正楷体_GBK"/>
          <w:kern w:val="2"/>
          <w:sz w:val="32"/>
          <w:szCs w:val="32"/>
          <w:lang w:val="en-US" w:eastAsia="zh-CN" w:bidi="ar"/>
        </w:rPr>
      </w:pPr>
      <w:r>
        <w:rPr>
          <w:rFonts w:hint="eastAsia" w:ascii="方正楷体_GBK" w:hAnsi="方正楷体_GBK" w:eastAsia="方正楷体_GBK" w:cs="方正楷体_GBK"/>
          <w:kern w:val="2"/>
          <w:sz w:val="32"/>
          <w:szCs w:val="32"/>
          <w:lang w:val="en-US" w:eastAsia="zh-CN" w:bidi="ar"/>
        </w:rPr>
        <w:t>（二）业务服务水平（15分）</w:t>
      </w:r>
    </w:p>
    <w:p w14:paraId="1B58D7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州住房</w:t>
      </w:r>
      <w:r>
        <w:rPr>
          <w:rFonts w:hint="default" w:ascii="Times New Roman" w:hAnsi="Times New Roman" w:eastAsia="方正仿宋_GBK" w:cs="Times New Roman"/>
          <w:kern w:val="2"/>
          <w:sz w:val="32"/>
          <w:szCs w:val="32"/>
          <w:lang w:val="en-US" w:eastAsia="zh-CN" w:bidi="ar"/>
        </w:rPr>
        <w:t>公积金</w:t>
      </w:r>
      <w:r>
        <w:rPr>
          <w:rFonts w:hint="eastAsia" w:ascii="Times New Roman" w:hAnsi="Times New Roman" w:eastAsia="方正仿宋_GBK" w:cs="Times New Roman"/>
          <w:kern w:val="2"/>
          <w:sz w:val="32"/>
          <w:szCs w:val="32"/>
          <w:lang w:val="en-US" w:eastAsia="zh-CN" w:bidi="ar"/>
        </w:rPr>
        <w:t>管理</w:t>
      </w:r>
      <w:r>
        <w:rPr>
          <w:rFonts w:hint="default" w:ascii="Times New Roman" w:hAnsi="Times New Roman" w:eastAsia="方正仿宋_GBK" w:cs="Times New Roman"/>
          <w:kern w:val="2"/>
          <w:sz w:val="32"/>
          <w:szCs w:val="32"/>
          <w:lang w:val="en-US" w:eastAsia="zh-CN" w:bidi="ar"/>
        </w:rPr>
        <w:t>中心对受委托银行业务考核，以最近一次</w:t>
      </w:r>
      <w:r>
        <w:rPr>
          <w:rFonts w:hint="eastAsia" w:ascii="Times New Roman" w:hAnsi="Times New Roman" w:eastAsia="方正仿宋_GBK" w:cs="Times New Roman"/>
          <w:kern w:val="2"/>
          <w:sz w:val="32"/>
          <w:szCs w:val="32"/>
          <w:lang w:val="en-US" w:eastAsia="zh-CN" w:bidi="ar"/>
        </w:rPr>
        <w:t>州住房</w:t>
      </w:r>
      <w:r>
        <w:rPr>
          <w:rFonts w:hint="default" w:ascii="Times New Roman" w:hAnsi="Times New Roman" w:eastAsia="方正仿宋_GBK" w:cs="Times New Roman"/>
          <w:kern w:val="2"/>
          <w:sz w:val="32"/>
          <w:szCs w:val="32"/>
          <w:lang w:val="en-US" w:eastAsia="zh-CN" w:bidi="ar"/>
        </w:rPr>
        <w:t>公积金</w:t>
      </w:r>
      <w:r>
        <w:rPr>
          <w:rFonts w:hint="eastAsia" w:ascii="Times New Roman" w:hAnsi="Times New Roman" w:eastAsia="方正仿宋_GBK" w:cs="Times New Roman"/>
          <w:kern w:val="2"/>
          <w:sz w:val="32"/>
          <w:szCs w:val="32"/>
          <w:lang w:val="en-US" w:eastAsia="zh-CN" w:bidi="ar"/>
        </w:rPr>
        <w:t>管理</w:t>
      </w:r>
      <w:r>
        <w:rPr>
          <w:rFonts w:hint="default" w:ascii="Times New Roman" w:hAnsi="Times New Roman" w:eastAsia="方正仿宋_GBK" w:cs="Times New Roman"/>
          <w:kern w:val="2"/>
          <w:sz w:val="32"/>
          <w:szCs w:val="32"/>
          <w:lang w:val="en-US" w:eastAsia="zh-CN" w:bidi="ar"/>
        </w:rPr>
        <w:t>中心对受委托银行业务考核分数结果为依据。考核分数最高银行得15分，其他银行得分=实际考核分数÷所有参与考核银行最高分数×15分。</w:t>
      </w:r>
    </w:p>
    <w:p w14:paraId="5437C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楷体_GBK" w:hAnsi="方正楷体_GBK" w:eastAsia="方正楷体_GBK" w:cs="方正楷体_GBK"/>
          <w:color w:val="FF0000"/>
          <w:kern w:val="2"/>
          <w:sz w:val="32"/>
          <w:szCs w:val="32"/>
          <w:lang w:val="en-US" w:eastAsia="zh-CN" w:bidi="ar"/>
        </w:rPr>
      </w:pPr>
      <w:r>
        <w:rPr>
          <w:rFonts w:hint="eastAsia" w:ascii="方正楷体_GBK" w:hAnsi="方正楷体_GBK" w:eastAsia="方正楷体_GBK" w:cs="方正楷体_GBK"/>
          <w:color w:val="000000"/>
          <w:kern w:val="2"/>
          <w:sz w:val="32"/>
          <w:szCs w:val="32"/>
          <w:lang w:val="en-US" w:eastAsia="zh-CN" w:bidi="ar"/>
        </w:rPr>
        <w:t>（三）利率水平（20分）</w:t>
      </w:r>
    </w:p>
    <w:p w14:paraId="066E65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000000"/>
          <w:sz w:val="32"/>
          <w:szCs w:val="32"/>
          <w:lang w:val="en-US"/>
        </w:rPr>
      </w:pPr>
      <w:r>
        <w:rPr>
          <w:rFonts w:hint="default" w:ascii="Times New Roman" w:hAnsi="Times New Roman" w:eastAsia="方正仿宋_GBK" w:cs="Times New Roman"/>
          <w:color w:val="000000"/>
          <w:kern w:val="2"/>
          <w:sz w:val="32"/>
          <w:szCs w:val="32"/>
          <w:lang w:val="en-US" w:eastAsia="zh-CN" w:bidi="ar"/>
        </w:rPr>
        <w:t>以符合国家利率政策及存款自律要求为前提，按申报利率从高到低排序计分，最高利率得满分，其余按比例折算（得分=单家银行报价利率÷所有参与银行最高报价利率×</w:t>
      </w:r>
      <w:r>
        <w:rPr>
          <w:rFonts w:hint="eastAsia" w:ascii="Times New Roman" w:hAnsi="Times New Roman" w:eastAsia="方正仿宋_GBK" w:cs="Times New Roman"/>
          <w:color w:val="000000"/>
          <w:kern w:val="2"/>
          <w:sz w:val="32"/>
          <w:szCs w:val="32"/>
          <w:lang w:val="en-US" w:eastAsia="zh-CN" w:bidi="ar"/>
        </w:rPr>
        <w:t>20</w:t>
      </w:r>
      <w:r>
        <w:rPr>
          <w:rFonts w:hint="default" w:ascii="Times New Roman" w:hAnsi="Times New Roman" w:eastAsia="方正仿宋_GBK" w:cs="Times New Roman"/>
          <w:color w:val="000000"/>
          <w:kern w:val="2"/>
          <w:sz w:val="32"/>
          <w:szCs w:val="32"/>
          <w:lang w:val="en-US" w:eastAsia="zh-CN" w:bidi="ar"/>
        </w:rPr>
        <w:t>）。</w:t>
      </w:r>
    </w:p>
    <w:p w14:paraId="083BEC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楷体_GBK" w:hAnsi="方正楷体_GBK" w:eastAsia="方正楷体_GBK" w:cs="方正楷体_GBK"/>
          <w:kern w:val="2"/>
          <w:sz w:val="32"/>
          <w:szCs w:val="32"/>
          <w:lang w:val="en-US" w:eastAsia="zh-CN" w:bidi="ar"/>
        </w:rPr>
      </w:pPr>
      <w:r>
        <w:rPr>
          <w:rFonts w:hint="eastAsia" w:ascii="方正楷体_GBK" w:hAnsi="方正楷体_GBK" w:eastAsia="方正楷体_GBK" w:cs="方正楷体_GBK"/>
          <w:kern w:val="2"/>
          <w:sz w:val="32"/>
          <w:szCs w:val="32"/>
          <w:lang w:val="en-US" w:eastAsia="zh-CN" w:bidi="ar"/>
        </w:rPr>
        <w:t>（四）地方经济贡献度（25分）</w:t>
      </w:r>
    </w:p>
    <w:p w14:paraId="55D33D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
        </w:rPr>
      </w:pPr>
      <w:r>
        <w:rPr>
          <w:rFonts w:hint="default" w:ascii="Times New Roman" w:hAnsi="Times New Roman" w:eastAsia="方正仿宋_GBK" w:cs="Times New Roman"/>
          <w:b w:val="0"/>
          <w:bCs w:val="0"/>
          <w:color w:val="auto"/>
          <w:kern w:val="2"/>
          <w:sz w:val="32"/>
          <w:szCs w:val="32"/>
          <w:lang w:val="en-US" w:eastAsia="zh-CN" w:bidi="ar"/>
        </w:rPr>
        <w:t>1.普惠金融（5分）</w:t>
      </w:r>
      <w:r>
        <w:rPr>
          <w:rFonts w:hint="eastAsia" w:ascii="Times New Roman" w:hAnsi="Times New Roman" w:eastAsia="方正仿宋_GBK" w:cs="Times New Roman"/>
          <w:b w:val="0"/>
          <w:bCs w:val="0"/>
          <w:color w:val="auto"/>
          <w:kern w:val="2"/>
          <w:sz w:val="32"/>
          <w:szCs w:val="32"/>
          <w:lang w:val="en-US" w:eastAsia="zh-CN" w:bidi="ar"/>
        </w:rPr>
        <w:t>，参照人民银行德宏州分行上季度末金融支持民营小微</w:t>
      </w:r>
      <w:r>
        <w:rPr>
          <w:rFonts w:hint="default" w:ascii="Times New Roman" w:hAnsi="Times New Roman" w:eastAsia="方正仿宋_GBK" w:cs="Times New Roman"/>
          <w:b w:val="0"/>
          <w:bCs w:val="0"/>
          <w:color w:val="auto"/>
          <w:kern w:val="2"/>
          <w:sz w:val="32"/>
          <w:szCs w:val="32"/>
          <w:lang w:val="en-US" w:eastAsia="zh-CN" w:bidi="ar"/>
        </w:rPr>
        <w:t>经济效果评估结果，参与银行得分=该银行机构在金融支持民营小微经济效果评估得分÷100×5；</w:t>
      </w:r>
    </w:p>
    <w:p w14:paraId="02FB50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000000"/>
          <w:kern w:val="2"/>
          <w:sz w:val="32"/>
          <w:szCs w:val="32"/>
          <w:lang w:val="en-US" w:eastAsia="zh-CN" w:bidi="ar"/>
        </w:rPr>
      </w:pPr>
      <w:r>
        <w:rPr>
          <w:rFonts w:hint="default" w:ascii="Times New Roman" w:hAnsi="Times New Roman" w:eastAsia="方正仿宋_GBK" w:cs="Times New Roman"/>
          <w:color w:val="000000"/>
          <w:kern w:val="2"/>
          <w:sz w:val="32"/>
          <w:szCs w:val="32"/>
          <w:lang w:val="en-US" w:eastAsia="zh-CN" w:bidi="ar"/>
        </w:rPr>
        <w:t>2.</w:t>
      </w:r>
      <w:r>
        <w:rPr>
          <w:rFonts w:hint="default" w:ascii="Times New Roman" w:hAnsi="Times New Roman" w:eastAsia="方正仿宋_GBK" w:cs="Times New Roman"/>
          <w:b w:val="0"/>
          <w:bCs w:val="0"/>
          <w:color w:val="000000"/>
          <w:kern w:val="2"/>
          <w:sz w:val="32"/>
          <w:szCs w:val="32"/>
          <w:lang w:val="en-US" w:eastAsia="zh-CN" w:bidi="ar"/>
        </w:rPr>
        <w:t>支持</w:t>
      </w:r>
      <w:r>
        <w:rPr>
          <w:rFonts w:hint="eastAsia" w:ascii="Times New Roman" w:hAnsi="Times New Roman" w:eastAsia="方正仿宋_GBK" w:cs="Times New Roman"/>
          <w:b w:val="0"/>
          <w:bCs w:val="0"/>
          <w:color w:val="000000"/>
          <w:kern w:val="2"/>
          <w:sz w:val="32"/>
          <w:szCs w:val="32"/>
          <w:lang w:val="en-US" w:eastAsia="zh-CN" w:bidi="ar"/>
        </w:rPr>
        <w:t>“</w:t>
      </w:r>
      <w:r>
        <w:rPr>
          <w:rFonts w:hint="default" w:ascii="Times New Roman" w:hAnsi="Times New Roman" w:eastAsia="方正仿宋_GBK" w:cs="Times New Roman"/>
          <w:b w:val="0"/>
          <w:bCs w:val="0"/>
          <w:color w:val="000000"/>
          <w:kern w:val="2"/>
          <w:sz w:val="32"/>
          <w:szCs w:val="32"/>
          <w:lang w:val="en-US" w:eastAsia="zh-CN" w:bidi="ar"/>
        </w:rPr>
        <w:t>三农</w:t>
      </w:r>
      <w:r>
        <w:rPr>
          <w:rFonts w:hint="eastAsia" w:ascii="Times New Roman" w:hAnsi="Times New Roman" w:eastAsia="方正仿宋_GBK" w:cs="Times New Roman"/>
          <w:b w:val="0"/>
          <w:bCs w:val="0"/>
          <w:color w:val="000000"/>
          <w:kern w:val="2"/>
          <w:sz w:val="32"/>
          <w:szCs w:val="32"/>
          <w:lang w:val="en-US" w:eastAsia="zh-CN" w:bidi="ar"/>
        </w:rPr>
        <w:t>”</w:t>
      </w:r>
      <w:r>
        <w:rPr>
          <w:rFonts w:hint="default" w:ascii="Times New Roman" w:hAnsi="Times New Roman" w:eastAsia="方正仿宋_GBK" w:cs="Times New Roman"/>
          <w:b w:val="0"/>
          <w:bCs w:val="0"/>
          <w:color w:val="000000"/>
          <w:kern w:val="2"/>
          <w:sz w:val="32"/>
          <w:szCs w:val="32"/>
          <w:lang w:val="en-US" w:eastAsia="zh-CN" w:bidi="ar"/>
        </w:rPr>
        <w:t>与乡村振兴（</w:t>
      </w:r>
      <w:r>
        <w:rPr>
          <w:rFonts w:hint="eastAsia" w:ascii="Times New Roman" w:hAnsi="Times New Roman" w:eastAsia="方正仿宋_GBK" w:cs="Times New Roman"/>
          <w:b w:val="0"/>
          <w:bCs w:val="0"/>
          <w:color w:val="000000"/>
          <w:kern w:val="2"/>
          <w:sz w:val="32"/>
          <w:szCs w:val="32"/>
          <w:lang w:val="en-US" w:eastAsia="zh-CN" w:bidi="ar"/>
        </w:rPr>
        <w:t>2</w:t>
      </w:r>
      <w:r>
        <w:rPr>
          <w:rFonts w:hint="default" w:ascii="Times New Roman" w:hAnsi="Times New Roman" w:eastAsia="方正仿宋_GBK" w:cs="Times New Roman"/>
          <w:b w:val="0"/>
          <w:bCs w:val="0"/>
          <w:color w:val="000000"/>
          <w:kern w:val="2"/>
          <w:sz w:val="32"/>
          <w:szCs w:val="32"/>
          <w:lang w:val="en-US" w:eastAsia="zh-CN" w:bidi="ar"/>
        </w:rPr>
        <w:t>分</w:t>
      </w:r>
      <w:r>
        <w:rPr>
          <w:rFonts w:hint="default" w:ascii="Times New Roman" w:hAnsi="Times New Roman" w:eastAsia="方正仿宋_GBK" w:cs="Times New Roman"/>
          <w:color w:val="000000"/>
          <w:kern w:val="2"/>
          <w:sz w:val="32"/>
          <w:szCs w:val="32"/>
          <w:lang w:val="en-US" w:eastAsia="zh-CN" w:bidi="ar"/>
        </w:rPr>
        <w:t>），参照人民银行德宏州分行金融机构服务乡村振兴上一年度考核评估结果，参与银行得分=该银行机构在服务乡村振兴年度考核得分</w:t>
      </w:r>
      <w:r>
        <w:rPr>
          <w:rFonts w:hint="default" w:ascii="Times New Roman" w:hAnsi="Times New Roman" w:eastAsia="方正仿宋_GBK" w:cs="Times New Roman"/>
          <w:b w:val="0"/>
          <w:bCs w:val="0"/>
          <w:color w:val="000000"/>
          <w:kern w:val="2"/>
          <w:sz w:val="32"/>
          <w:szCs w:val="32"/>
          <w:lang w:val="en-US" w:eastAsia="zh-CN" w:bidi="ar"/>
        </w:rPr>
        <w:t>÷100×</w:t>
      </w:r>
      <w:r>
        <w:rPr>
          <w:rFonts w:hint="eastAsia" w:ascii="Times New Roman" w:hAnsi="Times New Roman" w:eastAsia="方正仿宋_GBK" w:cs="Times New Roman"/>
          <w:b w:val="0"/>
          <w:bCs w:val="0"/>
          <w:color w:val="000000"/>
          <w:kern w:val="2"/>
          <w:sz w:val="32"/>
          <w:szCs w:val="32"/>
          <w:lang w:val="en-US" w:eastAsia="zh-CN" w:bidi="ar"/>
        </w:rPr>
        <w:t>2</w:t>
      </w:r>
      <w:r>
        <w:rPr>
          <w:rFonts w:hint="default" w:ascii="Times New Roman" w:hAnsi="Times New Roman" w:eastAsia="方正仿宋_GBK" w:cs="Times New Roman"/>
          <w:b w:val="0"/>
          <w:bCs w:val="0"/>
          <w:color w:val="000000"/>
          <w:kern w:val="2"/>
          <w:sz w:val="32"/>
          <w:szCs w:val="32"/>
          <w:lang w:val="en-US" w:eastAsia="zh-CN" w:bidi="ar"/>
        </w:rPr>
        <w:t>；</w:t>
      </w:r>
    </w:p>
    <w:p w14:paraId="424362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auto"/>
          <w:kern w:val="2"/>
          <w:sz w:val="32"/>
          <w:szCs w:val="32"/>
          <w:lang w:val="en-US" w:eastAsia="zh-CN" w:bidi="ar"/>
        </w:rPr>
      </w:pPr>
      <w:r>
        <w:rPr>
          <w:rFonts w:hint="default" w:ascii="Times New Roman" w:hAnsi="Times New Roman" w:eastAsia="方正仿宋_GBK" w:cs="Times New Roman"/>
          <w:b w:val="0"/>
          <w:bCs w:val="0"/>
          <w:color w:val="auto"/>
          <w:kern w:val="2"/>
          <w:sz w:val="32"/>
          <w:szCs w:val="32"/>
          <w:lang w:val="en-US" w:eastAsia="zh-CN" w:bidi="ar"/>
        </w:rPr>
        <w:t>3.个人住房贷款及</w:t>
      </w:r>
      <w:r>
        <w:rPr>
          <w:rFonts w:hint="eastAsia" w:ascii="Times New Roman" w:hAnsi="Times New Roman" w:eastAsia="方正仿宋_GBK" w:cs="Times New Roman"/>
          <w:b w:val="0"/>
          <w:bCs w:val="0"/>
          <w:color w:val="auto"/>
          <w:kern w:val="2"/>
          <w:sz w:val="32"/>
          <w:szCs w:val="32"/>
          <w:lang w:val="en-US" w:eastAsia="zh-CN" w:bidi="ar"/>
        </w:rPr>
        <w:t>保障性住房贷款投放量</w:t>
      </w:r>
      <w:r>
        <w:rPr>
          <w:rFonts w:hint="default" w:ascii="Times New Roman" w:hAnsi="Times New Roman" w:eastAsia="方正仿宋_GBK" w:cs="Times New Roman"/>
          <w:b w:val="0"/>
          <w:bCs w:val="0"/>
          <w:color w:val="auto"/>
          <w:kern w:val="2"/>
          <w:sz w:val="32"/>
          <w:szCs w:val="32"/>
          <w:lang w:val="en-US" w:eastAsia="zh-CN" w:bidi="ar"/>
        </w:rPr>
        <w:t>（5分）</w:t>
      </w:r>
      <w:r>
        <w:rPr>
          <w:rFonts w:hint="default" w:ascii="Times New Roman" w:hAnsi="Times New Roman" w:eastAsia="方正仿宋_GBK" w:cs="Times New Roman"/>
          <w:color w:val="auto"/>
          <w:kern w:val="2"/>
          <w:sz w:val="32"/>
          <w:szCs w:val="32"/>
          <w:lang w:val="en-US" w:eastAsia="zh-CN" w:bidi="ar"/>
        </w:rPr>
        <w:t>，银行</w:t>
      </w:r>
      <w:r>
        <w:rPr>
          <w:rFonts w:hint="eastAsia" w:ascii="Times New Roman" w:hAnsi="Times New Roman" w:eastAsia="方正仿宋_GBK" w:cs="Times New Roman"/>
          <w:color w:val="auto"/>
          <w:kern w:val="2"/>
          <w:sz w:val="32"/>
          <w:szCs w:val="32"/>
          <w:lang w:val="en-US" w:eastAsia="zh-CN" w:bidi="ar"/>
        </w:rPr>
        <w:t>上</w:t>
      </w:r>
      <w:r>
        <w:rPr>
          <w:rFonts w:hint="default" w:ascii="Times New Roman" w:hAnsi="Times New Roman" w:eastAsia="方正仿宋_GBK" w:cs="Times New Roman"/>
          <w:color w:val="auto"/>
          <w:kern w:val="2"/>
          <w:sz w:val="32"/>
          <w:szCs w:val="32"/>
          <w:lang w:val="en-US" w:eastAsia="zh-CN" w:bidi="ar"/>
        </w:rPr>
        <w:t>年度</w:t>
      </w:r>
      <w:r>
        <w:rPr>
          <w:rFonts w:hint="default" w:ascii="Times New Roman" w:hAnsi="Times New Roman" w:eastAsia="方正仿宋_GBK" w:cs="Times New Roman"/>
          <w:b w:val="0"/>
          <w:bCs w:val="0"/>
          <w:color w:val="auto"/>
          <w:kern w:val="2"/>
          <w:sz w:val="32"/>
          <w:szCs w:val="32"/>
          <w:lang w:val="en-US" w:eastAsia="zh-CN" w:bidi="ar"/>
        </w:rPr>
        <w:t>个人住房贷款及</w:t>
      </w:r>
      <w:r>
        <w:rPr>
          <w:rFonts w:hint="eastAsia" w:ascii="Times New Roman" w:hAnsi="Times New Roman" w:eastAsia="方正仿宋_GBK" w:cs="Times New Roman"/>
          <w:b w:val="0"/>
          <w:bCs w:val="0"/>
          <w:color w:val="auto"/>
          <w:kern w:val="2"/>
          <w:sz w:val="32"/>
          <w:szCs w:val="32"/>
          <w:lang w:val="en-US" w:eastAsia="zh-CN" w:bidi="ar"/>
        </w:rPr>
        <w:t>保障性住房贷款投放量</w:t>
      </w:r>
      <w:r>
        <w:rPr>
          <w:rFonts w:hint="default" w:ascii="Times New Roman" w:hAnsi="Times New Roman" w:eastAsia="方正仿宋_GBK" w:cs="Times New Roman"/>
          <w:color w:val="auto"/>
          <w:kern w:val="2"/>
          <w:sz w:val="32"/>
          <w:szCs w:val="32"/>
          <w:lang w:val="en-US" w:eastAsia="zh-CN" w:bidi="ar"/>
        </w:rPr>
        <w:t>，在参与银行中投放金额最高的得满分，（其他银行得分=银行</w:t>
      </w:r>
      <w:r>
        <w:rPr>
          <w:rFonts w:hint="eastAsia" w:ascii="Times New Roman" w:hAnsi="Times New Roman" w:eastAsia="方正仿宋_GBK" w:cs="Times New Roman"/>
          <w:color w:val="auto"/>
          <w:kern w:val="2"/>
          <w:sz w:val="32"/>
          <w:szCs w:val="32"/>
          <w:lang w:val="en-US" w:eastAsia="zh-CN" w:bidi="ar"/>
        </w:rPr>
        <w:t>上年度</w:t>
      </w:r>
      <w:r>
        <w:rPr>
          <w:rFonts w:hint="default" w:ascii="Times New Roman" w:hAnsi="Times New Roman" w:eastAsia="方正仿宋_GBK" w:cs="Times New Roman"/>
          <w:b w:val="0"/>
          <w:bCs w:val="0"/>
          <w:color w:val="auto"/>
          <w:kern w:val="2"/>
          <w:sz w:val="32"/>
          <w:szCs w:val="32"/>
          <w:lang w:val="en-US" w:eastAsia="zh-CN" w:bidi="ar"/>
        </w:rPr>
        <w:t>个人住房贷款及</w:t>
      </w:r>
      <w:r>
        <w:rPr>
          <w:rFonts w:hint="eastAsia" w:ascii="Times New Roman" w:hAnsi="Times New Roman" w:eastAsia="方正仿宋_GBK" w:cs="Times New Roman"/>
          <w:b w:val="0"/>
          <w:bCs w:val="0"/>
          <w:color w:val="auto"/>
          <w:kern w:val="2"/>
          <w:sz w:val="32"/>
          <w:szCs w:val="32"/>
          <w:lang w:val="en-US" w:eastAsia="zh-CN" w:bidi="ar"/>
        </w:rPr>
        <w:t>保障性住房贷款投放量</w:t>
      </w:r>
      <w:r>
        <w:rPr>
          <w:rFonts w:hint="default" w:ascii="Times New Roman" w:hAnsi="Times New Roman" w:eastAsia="方正仿宋_GBK" w:cs="Times New Roman"/>
          <w:color w:val="auto"/>
          <w:kern w:val="2"/>
          <w:sz w:val="32"/>
          <w:szCs w:val="32"/>
          <w:lang w:val="en-US" w:eastAsia="zh-CN" w:bidi="ar"/>
        </w:rPr>
        <w:t>÷所有参与银行</w:t>
      </w:r>
      <w:r>
        <w:rPr>
          <w:rFonts w:hint="eastAsia" w:ascii="Times New Roman" w:hAnsi="Times New Roman" w:eastAsia="方正仿宋_GBK" w:cs="Times New Roman"/>
          <w:color w:val="auto"/>
          <w:kern w:val="2"/>
          <w:sz w:val="32"/>
          <w:szCs w:val="32"/>
          <w:lang w:val="en-US" w:eastAsia="zh-CN" w:bidi="ar"/>
        </w:rPr>
        <w:t>上年度</w:t>
      </w:r>
      <w:r>
        <w:rPr>
          <w:rFonts w:hint="default" w:ascii="Times New Roman" w:hAnsi="Times New Roman" w:eastAsia="方正仿宋_GBK" w:cs="Times New Roman"/>
          <w:b w:val="0"/>
          <w:bCs w:val="0"/>
          <w:color w:val="auto"/>
          <w:kern w:val="2"/>
          <w:sz w:val="32"/>
          <w:szCs w:val="32"/>
          <w:lang w:val="en-US" w:eastAsia="zh-CN" w:bidi="ar"/>
        </w:rPr>
        <w:t>个人住房贷款及</w:t>
      </w:r>
      <w:r>
        <w:rPr>
          <w:rFonts w:hint="eastAsia" w:ascii="Times New Roman" w:hAnsi="Times New Roman" w:eastAsia="方正仿宋_GBK" w:cs="Times New Roman"/>
          <w:b w:val="0"/>
          <w:bCs w:val="0"/>
          <w:color w:val="auto"/>
          <w:kern w:val="2"/>
          <w:sz w:val="32"/>
          <w:szCs w:val="32"/>
          <w:lang w:val="en-US" w:eastAsia="zh-CN" w:bidi="ar"/>
        </w:rPr>
        <w:t>保障性住房贷款最高投放量</w:t>
      </w:r>
      <w:r>
        <w:rPr>
          <w:rFonts w:hint="default" w:ascii="Times New Roman" w:hAnsi="Times New Roman" w:eastAsia="方正仿宋_GBK" w:cs="Times New Roman"/>
          <w:color w:val="auto"/>
          <w:kern w:val="2"/>
          <w:sz w:val="32"/>
          <w:szCs w:val="32"/>
          <w:lang w:val="en-US" w:eastAsia="zh-CN" w:bidi="ar"/>
        </w:rPr>
        <w:t>×5），各参与银行提供相关材料；</w:t>
      </w:r>
    </w:p>
    <w:p w14:paraId="589EE8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lang w:val="en-US" w:eastAsia="zh-CN"/>
        </w:rPr>
      </w:pPr>
      <w:r>
        <w:rPr>
          <w:rFonts w:hint="default" w:ascii="Times New Roman" w:hAnsi="Times New Roman" w:eastAsia="方正仿宋_GBK" w:cs="Times New Roman"/>
          <w:b w:val="0"/>
          <w:bCs w:val="0"/>
          <w:kern w:val="2"/>
          <w:sz w:val="32"/>
          <w:szCs w:val="32"/>
          <w:lang w:val="en-US" w:eastAsia="zh-CN" w:bidi="ar"/>
        </w:rPr>
        <w:t>4.贷款余额较年初增量（4分）</w:t>
      </w:r>
      <w:r>
        <w:rPr>
          <w:rFonts w:hint="default" w:ascii="Times New Roman" w:hAnsi="Times New Roman" w:eastAsia="方正仿宋_GBK" w:cs="Times New Roman"/>
          <w:kern w:val="2"/>
          <w:sz w:val="32"/>
          <w:szCs w:val="32"/>
          <w:lang w:val="en-US" w:eastAsia="zh-CN" w:bidi="ar"/>
        </w:rPr>
        <w:t>，银行贷款余额较年初增量，在参与银行中增量最高的得满分，（其他银行得分=银行贷款余额较年初增量÷所有参与银行贷款余额较年初最高增量×4），各参与银行提供相关材料；</w:t>
      </w:r>
    </w:p>
    <w:p w14:paraId="30BACC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kern w:val="2"/>
          <w:sz w:val="32"/>
          <w:szCs w:val="32"/>
          <w:lang w:val="en-US" w:eastAsia="zh-CN" w:bidi="ar"/>
        </w:rPr>
      </w:pPr>
      <w:r>
        <w:rPr>
          <w:rFonts w:hint="default" w:ascii="Times New Roman" w:hAnsi="Times New Roman" w:eastAsia="方正仿宋_GBK" w:cs="Times New Roman"/>
          <w:b w:val="0"/>
          <w:bCs w:val="0"/>
          <w:kern w:val="2"/>
          <w:sz w:val="32"/>
          <w:szCs w:val="32"/>
          <w:lang w:val="en-US" w:eastAsia="zh-CN" w:bidi="ar"/>
        </w:rPr>
        <w:t>5.支持当地房地产融资协调机制（2分）</w:t>
      </w:r>
      <w:r>
        <w:rPr>
          <w:rFonts w:hint="default" w:ascii="Times New Roman" w:hAnsi="Times New Roman" w:eastAsia="方正仿宋_GBK" w:cs="Times New Roman"/>
          <w:kern w:val="2"/>
          <w:sz w:val="32"/>
          <w:szCs w:val="32"/>
          <w:lang w:val="en-US" w:eastAsia="zh-CN" w:bidi="ar"/>
        </w:rPr>
        <w:t>，银行对当地房地产融资协调</w:t>
      </w:r>
      <w:r>
        <w:rPr>
          <w:rFonts w:hint="eastAsia" w:ascii="方正仿宋_GBK" w:hAnsi="方正仿宋_GBK" w:eastAsia="方正仿宋_GBK" w:cs="方正仿宋_GBK"/>
          <w:kern w:val="2"/>
          <w:sz w:val="32"/>
          <w:szCs w:val="32"/>
          <w:lang w:val="en-US" w:eastAsia="zh-CN" w:bidi="ar"/>
        </w:rPr>
        <w:t>机制“白名单”项目的贷款累计发放金额，在参与银行中发放金额最高的得满分，（其他</w:t>
      </w:r>
      <w:r>
        <w:rPr>
          <w:rFonts w:hint="default" w:ascii="Times New Roman" w:hAnsi="Times New Roman" w:eastAsia="方正仿宋_GBK" w:cs="Times New Roman"/>
          <w:kern w:val="2"/>
          <w:sz w:val="32"/>
          <w:szCs w:val="32"/>
          <w:lang w:val="en-US" w:eastAsia="zh-CN" w:bidi="ar"/>
        </w:rPr>
        <w:t>银行得分=银行贷款发放金额÷所有参与银行最高贷款发放金额×2），各参与银行提供相关材料；</w:t>
      </w:r>
    </w:p>
    <w:p w14:paraId="5B1741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auto"/>
          <w:kern w:val="2"/>
          <w:sz w:val="32"/>
          <w:szCs w:val="32"/>
          <w:lang w:val="en-US" w:eastAsia="zh-CN" w:bidi="ar"/>
        </w:rPr>
      </w:pPr>
      <w:r>
        <w:rPr>
          <w:rFonts w:hint="default" w:ascii="Times New Roman" w:hAnsi="Times New Roman" w:eastAsia="方正仿宋_GBK" w:cs="Times New Roman"/>
          <w:color w:val="auto"/>
          <w:kern w:val="2"/>
          <w:sz w:val="32"/>
          <w:szCs w:val="32"/>
          <w:lang w:val="en-US" w:eastAsia="zh-CN" w:bidi="ar"/>
        </w:rPr>
        <w:t>6.绿色贷款（2分），</w:t>
      </w:r>
      <w:r>
        <w:rPr>
          <w:rFonts w:hint="eastAsia" w:ascii="Times New Roman" w:hAnsi="Times New Roman" w:eastAsia="方正仿宋_GBK" w:cs="Times New Roman"/>
          <w:color w:val="auto"/>
          <w:kern w:val="2"/>
          <w:sz w:val="32"/>
          <w:szCs w:val="32"/>
          <w:lang w:val="en-US" w:eastAsia="zh-CN" w:bidi="ar"/>
        </w:rPr>
        <w:t>参照人民银行德宏州分行对金融机构</w:t>
      </w:r>
      <w:r>
        <w:rPr>
          <w:rFonts w:hint="default" w:ascii="Times New Roman" w:hAnsi="Times New Roman" w:eastAsia="方正仿宋_GBK" w:cs="Times New Roman"/>
          <w:color w:val="auto"/>
          <w:kern w:val="2"/>
          <w:sz w:val="32"/>
          <w:szCs w:val="32"/>
          <w:lang w:val="en-US" w:eastAsia="zh-CN" w:bidi="ar"/>
        </w:rPr>
        <w:t>绿色金融上一年度考核结果，参与银行得分=该银行机构在绿色金融年度考核得分</w:t>
      </w:r>
      <w:r>
        <w:rPr>
          <w:rFonts w:hint="default" w:ascii="Times New Roman" w:hAnsi="Times New Roman" w:eastAsia="方正仿宋_GBK" w:cs="Times New Roman"/>
          <w:b w:val="0"/>
          <w:bCs w:val="0"/>
          <w:color w:val="auto"/>
          <w:kern w:val="2"/>
          <w:sz w:val="32"/>
          <w:szCs w:val="32"/>
          <w:lang w:val="en-US" w:eastAsia="zh-CN" w:bidi="ar"/>
        </w:rPr>
        <w:t>÷100×2；</w:t>
      </w:r>
    </w:p>
    <w:p w14:paraId="278EEC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auto"/>
          <w:kern w:val="2"/>
          <w:sz w:val="32"/>
          <w:szCs w:val="32"/>
          <w:lang w:val="en-US" w:eastAsia="zh-CN" w:bidi="ar"/>
        </w:rPr>
      </w:pPr>
      <w:r>
        <w:rPr>
          <w:rFonts w:hint="default" w:ascii="Times New Roman" w:hAnsi="Times New Roman" w:eastAsia="方正仿宋_GBK" w:cs="Times New Roman"/>
          <w:color w:val="auto"/>
          <w:kern w:val="2"/>
          <w:sz w:val="32"/>
          <w:szCs w:val="32"/>
          <w:lang w:val="en-US" w:eastAsia="zh-CN" w:bidi="ar"/>
        </w:rPr>
        <w:t>7.科技贷款（2分），</w:t>
      </w:r>
      <w:r>
        <w:rPr>
          <w:rFonts w:hint="eastAsia" w:ascii="Times New Roman" w:hAnsi="Times New Roman" w:eastAsia="方正仿宋_GBK" w:cs="Times New Roman"/>
          <w:color w:val="auto"/>
          <w:kern w:val="2"/>
          <w:sz w:val="32"/>
          <w:szCs w:val="32"/>
          <w:lang w:val="en-US" w:eastAsia="zh-CN" w:bidi="ar"/>
        </w:rPr>
        <w:t>参照人民银行德宏州分行对金融机构科技金融上一年度考核结果，参与银行得分=该银行机构在科技金融考核得分</w:t>
      </w:r>
      <w:r>
        <w:rPr>
          <w:rFonts w:hint="default" w:ascii="Times New Roman" w:hAnsi="Times New Roman" w:eastAsia="方正仿宋_GBK" w:cs="Times New Roman"/>
          <w:b w:val="0"/>
          <w:bCs w:val="0"/>
          <w:color w:val="auto"/>
          <w:kern w:val="2"/>
          <w:sz w:val="32"/>
          <w:szCs w:val="32"/>
          <w:lang w:val="en-US" w:eastAsia="zh-CN" w:bidi="ar"/>
        </w:rPr>
        <w:t>÷100×2</w:t>
      </w:r>
      <w:r>
        <w:rPr>
          <w:rFonts w:hint="eastAsia" w:ascii="Times New Roman" w:hAnsi="Times New Roman" w:eastAsia="方正仿宋_GBK" w:cs="Times New Roman"/>
          <w:b w:val="0"/>
          <w:bCs w:val="0"/>
          <w:color w:val="auto"/>
          <w:kern w:val="2"/>
          <w:sz w:val="32"/>
          <w:szCs w:val="32"/>
          <w:lang w:val="en-US" w:eastAsia="zh-CN" w:bidi="ar"/>
        </w:rPr>
        <w:t>。</w:t>
      </w:r>
    </w:p>
    <w:p w14:paraId="0096E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auto"/>
          <w:kern w:val="2"/>
          <w:sz w:val="32"/>
          <w:szCs w:val="32"/>
          <w:lang w:val="en-US" w:eastAsia="zh-CN" w:bidi="ar"/>
        </w:rPr>
      </w:pPr>
      <w:r>
        <w:rPr>
          <w:rFonts w:hint="eastAsia" w:ascii="Times New Roman" w:hAnsi="Times New Roman" w:eastAsia="方正仿宋_GBK" w:cs="Times New Roman"/>
          <w:color w:val="auto"/>
          <w:kern w:val="2"/>
          <w:sz w:val="32"/>
          <w:szCs w:val="32"/>
          <w:lang w:val="en-US" w:eastAsia="zh-CN" w:bidi="ar"/>
        </w:rPr>
        <w:t>8.政府项目</w:t>
      </w:r>
      <w:r>
        <w:rPr>
          <w:rFonts w:hint="default" w:ascii="Times New Roman" w:hAnsi="Times New Roman" w:eastAsia="方正仿宋_GBK" w:cs="Times New Roman"/>
          <w:color w:val="auto"/>
          <w:kern w:val="2"/>
          <w:sz w:val="32"/>
          <w:szCs w:val="32"/>
          <w:lang w:val="en-US" w:eastAsia="zh-CN" w:bidi="ar"/>
        </w:rPr>
        <w:t>合作与支持力度</w:t>
      </w:r>
      <w:r>
        <w:rPr>
          <w:rFonts w:hint="eastAsia" w:ascii="Times New Roman" w:hAnsi="Times New Roman" w:eastAsia="方正仿宋_GBK" w:cs="Times New Roman"/>
          <w:color w:val="auto"/>
          <w:kern w:val="2"/>
          <w:sz w:val="32"/>
          <w:szCs w:val="32"/>
          <w:lang w:val="en-US" w:eastAsia="zh-CN" w:bidi="ar"/>
        </w:rPr>
        <w:t>（3分），</w:t>
      </w:r>
      <w:r>
        <w:rPr>
          <w:rFonts w:hint="default" w:ascii="Times New Roman" w:hAnsi="Times New Roman" w:eastAsia="方正仿宋_GBK" w:cs="Times New Roman"/>
          <w:color w:val="auto"/>
          <w:kern w:val="2"/>
          <w:sz w:val="32"/>
          <w:szCs w:val="32"/>
          <w:lang w:val="en-US" w:eastAsia="zh-CN" w:bidi="ar"/>
        </w:rPr>
        <w:t>银行在德宏州内对</w:t>
      </w:r>
      <w:r>
        <w:rPr>
          <w:rFonts w:hint="eastAsia" w:ascii="Times New Roman" w:hAnsi="Times New Roman" w:eastAsia="方正仿宋_GBK" w:cs="Times New Roman"/>
          <w:color w:val="auto"/>
          <w:kern w:val="2"/>
          <w:sz w:val="32"/>
          <w:szCs w:val="32"/>
          <w:lang w:val="en-US" w:eastAsia="zh-CN" w:bidi="ar"/>
        </w:rPr>
        <w:t>行政机关</w:t>
      </w:r>
      <w:r>
        <w:rPr>
          <w:rFonts w:hint="default" w:ascii="Times New Roman" w:hAnsi="Times New Roman" w:eastAsia="方正仿宋_GBK" w:cs="Times New Roman"/>
          <w:color w:val="auto"/>
          <w:kern w:val="2"/>
          <w:sz w:val="32"/>
          <w:szCs w:val="32"/>
          <w:lang w:val="en-US" w:eastAsia="zh-CN" w:bidi="ar"/>
        </w:rPr>
        <w:t>、</w:t>
      </w:r>
      <w:r>
        <w:rPr>
          <w:rFonts w:hint="eastAsia" w:ascii="Times New Roman" w:hAnsi="Times New Roman" w:eastAsia="方正仿宋_GBK" w:cs="Times New Roman"/>
          <w:color w:val="auto"/>
          <w:kern w:val="2"/>
          <w:sz w:val="32"/>
          <w:szCs w:val="32"/>
          <w:lang w:val="en-US" w:eastAsia="zh-CN" w:bidi="ar"/>
        </w:rPr>
        <w:t>企</w:t>
      </w:r>
      <w:r>
        <w:rPr>
          <w:rFonts w:hint="default" w:ascii="Times New Roman" w:hAnsi="Times New Roman" w:eastAsia="方正仿宋_GBK" w:cs="Times New Roman"/>
          <w:color w:val="auto"/>
          <w:kern w:val="2"/>
          <w:sz w:val="32"/>
          <w:szCs w:val="32"/>
          <w:lang w:val="en-US" w:eastAsia="zh-CN" w:bidi="ar"/>
        </w:rPr>
        <w:t>事业单位的项目支持力度、与地方政府政策协同、群众满意度、创新与覆盖等业务开展情况。主要参考银行自评、州财政局、州国资委、人民银行德宏州分行等相关部门数据指标。</w:t>
      </w:r>
    </w:p>
    <w:p w14:paraId="0D7F7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auto"/>
          <w:kern w:val="2"/>
          <w:sz w:val="32"/>
          <w:szCs w:val="32"/>
          <w:lang w:val="en-US" w:eastAsia="zh-CN" w:bidi="ar"/>
        </w:rPr>
      </w:pPr>
      <w:r>
        <w:rPr>
          <w:rFonts w:hint="default" w:ascii="Times New Roman" w:hAnsi="Times New Roman" w:eastAsia="方正仿宋_GBK" w:cs="Times New Roman"/>
          <w:color w:val="auto"/>
          <w:kern w:val="2"/>
          <w:sz w:val="32"/>
          <w:szCs w:val="32"/>
          <w:lang w:val="en-US" w:eastAsia="zh-CN" w:bidi="ar"/>
        </w:rPr>
        <w:t>集体决策开展综合评分时，四项指标由</w:t>
      </w:r>
      <w:r>
        <w:rPr>
          <w:rFonts w:hint="eastAsia" w:ascii="Times New Roman" w:hAnsi="Times New Roman" w:eastAsia="方正仿宋_GBK" w:cs="Times New Roman"/>
          <w:color w:val="auto"/>
          <w:kern w:val="2"/>
          <w:sz w:val="32"/>
          <w:szCs w:val="32"/>
          <w:lang w:val="en-US" w:eastAsia="zh-CN" w:bidi="ar"/>
        </w:rPr>
        <w:t>州住房</w:t>
      </w:r>
      <w:r>
        <w:rPr>
          <w:rFonts w:hint="default" w:ascii="Times New Roman" w:hAnsi="Times New Roman" w:eastAsia="方正仿宋_GBK" w:cs="Times New Roman"/>
          <w:color w:val="auto"/>
          <w:kern w:val="2"/>
          <w:sz w:val="32"/>
          <w:szCs w:val="32"/>
          <w:lang w:val="en-US" w:eastAsia="zh-CN" w:bidi="ar"/>
        </w:rPr>
        <w:t>公积金</w:t>
      </w:r>
      <w:r>
        <w:rPr>
          <w:rFonts w:hint="eastAsia" w:ascii="Times New Roman" w:hAnsi="Times New Roman" w:eastAsia="方正仿宋_GBK" w:cs="Times New Roman"/>
          <w:color w:val="auto"/>
          <w:kern w:val="2"/>
          <w:sz w:val="32"/>
          <w:szCs w:val="32"/>
          <w:lang w:val="en-US" w:eastAsia="zh-CN" w:bidi="ar"/>
        </w:rPr>
        <w:t>管理</w:t>
      </w:r>
      <w:r>
        <w:rPr>
          <w:rFonts w:hint="default" w:ascii="Times New Roman" w:hAnsi="Times New Roman" w:eastAsia="方正仿宋_GBK" w:cs="Times New Roman"/>
          <w:color w:val="auto"/>
          <w:kern w:val="2"/>
          <w:sz w:val="32"/>
          <w:szCs w:val="32"/>
          <w:lang w:val="en-US" w:eastAsia="zh-CN" w:bidi="ar"/>
        </w:rPr>
        <w:t>中心</w:t>
      </w:r>
      <w:r>
        <w:rPr>
          <w:rFonts w:hint="eastAsia" w:ascii="Times New Roman" w:hAnsi="Times New Roman" w:eastAsia="方正仿宋_GBK" w:cs="Times New Roman"/>
          <w:color w:val="auto"/>
          <w:kern w:val="2"/>
          <w:sz w:val="32"/>
          <w:szCs w:val="32"/>
          <w:lang w:val="en-US" w:eastAsia="zh-CN" w:bidi="ar"/>
        </w:rPr>
        <w:t>汇总</w:t>
      </w:r>
      <w:r>
        <w:rPr>
          <w:rFonts w:hint="default" w:ascii="Times New Roman" w:hAnsi="Times New Roman" w:eastAsia="方正仿宋_GBK" w:cs="Times New Roman"/>
          <w:color w:val="auto"/>
          <w:kern w:val="2"/>
          <w:sz w:val="32"/>
          <w:szCs w:val="32"/>
          <w:lang w:val="en-US" w:eastAsia="zh-CN" w:bidi="ar"/>
        </w:rPr>
        <w:t>审核评分。其中：银行经营状况和地方经济贡献度两项指标参照最近一次竞争性选择专家评分；业务服务水平</w:t>
      </w:r>
      <w:r>
        <w:rPr>
          <w:rFonts w:hint="default" w:ascii="Times New Roman" w:hAnsi="Times New Roman" w:eastAsia="方正仿宋_GBK" w:cs="Times New Roman"/>
          <w:kern w:val="2"/>
          <w:sz w:val="32"/>
          <w:szCs w:val="32"/>
          <w:lang w:val="en-US" w:eastAsia="zh-CN" w:bidi="ar"/>
        </w:rPr>
        <w:t>参照最近一次</w:t>
      </w:r>
      <w:r>
        <w:rPr>
          <w:rFonts w:hint="eastAsia" w:ascii="Times New Roman" w:hAnsi="Times New Roman" w:eastAsia="方正仿宋_GBK" w:cs="Times New Roman"/>
          <w:kern w:val="2"/>
          <w:sz w:val="32"/>
          <w:szCs w:val="32"/>
          <w:lang w:val="en-US" w:eastAsia="zh-CN" w:bidi="ar"/>
        </w:rPr>
        <w:t>州住房</w:t>
      </w:r>
      <w:r>
        <w:rPr>
          <w:rFonts w:hint="default" w:ascii="Times New Roman" w:hAnsi="Times New Roman" w:eastAsia="方正仿宋_GBK" w:cs="Times New Roman"/>
          <w:kern w:val="2"/>
          <w:sz w:val="32"/>
          <w:szCs w:val="32"/>
          <w:lang w:val="en-US" w:eastAsia="zh-CN" w:bidi="ar"/>
        </w:rPr>
        <w:t>公积金</w:t>
      </w:r>
      <w:r>
        <w:rPr>
          <w:rFonts w:hint="eastAsia" w:ascii="Times New Roman" w:hAnsi="Times New Roman" w:eastAsia="方正仿宋_GBK" w:cs="Times New Roman"/>
          <w:kern w:val="2"/>
          <w:sz w:val="32"/>
          <w:szCs w:val="32"/>
          <w:lang w:val="en-US" w:eastAsia="zh-CN" w:bidi="ar"/>
        </w:rPr>
        <w:t>管理</w:t>
      </w:r>
      <w:r>
        <w:rPr>
          <w:rFonts w:hint="default" w:ascii="Times New Roman" w:hAnsi="Times New Roman" w:eastAsia="方正仿宋_GBK" w:cs="Times New Roman"/>
          <w:kern w:val="2"/>
          <w:sz w:val="32"/>
          <w:szCs w:val="32"/>
          <w:lang w:val="en-US" w:eastAsia="zh-CN" w:bidi="ar"/>
        </w:rPr>
        <w:t>中心对受委托银行业务考核分数结果进行评分</w:t>
      </w:r>
      <w:r>
        <w:rPr>
          <w:rFonts w:hint="default" w:ascii="Times New Roman" w:hAnsi="Times New Roman" w:eastAsia="方正仿宋_GBK" w:cs="Times New Roman"/>
          <w:color w:val="auto"/>
          <w:kern w:val="2"/>
          <w:sz w:val="32"/>
          <w:szCs w:val="32"/>
          <w:lang w:val="en-US" w:eastAsia="zh-CN" w:bidi="ar"/>
        </w:rPr>
        <w:t>、利率水平以银行此次报价利率进行评分。</w:t>
      </w:r>
    </w:p>
    <w:p w14:paraId="5500FD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楷体_GBK" w:hAnsi="方正楷体_GBK" w:eastAsia="方正楷体_GBK" w:cs="方正楷体_GBK"/>
          <w:color w:val="auto"/>
          <w:kern w:val="2"/>
          <w:sz w:val="32"/>
          <w:szCs w:val="32"/>
          <w:lang w:val="en-US" w:eastAsia="zh-CN" w:bidi="ar"/>
        </w:rPr>
      </w:pPr>
      <w:r>
        <w:rPr>
          <w:rFonts w:hint="eastAsia" w:ascii="方正楷体_GBK" w:hAnsi="方正楷体_GBK" w:eastAsia="方正楷体_GBK" w:cs="方正楷体_GBK"/>
          <w:color w:val="auto"/>
          <w:kern w:val="2"/>
          <w:sz w:val="32"/>
          <w:szCs w:val="32"/>
          <w:lang w:val="en-US" w:eastAsia="zh-CN" w:bidi="ar"/>
        </w:rPr>
        <w:t>（五）总分计算方法（100分）</w:t>
      </w:r>
    </w:p>
    <w:p w14:paraId="768F4A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color w:val="auto"/>
          <w:kern w:val="2"/>
          <w:sz w:val="32"/>
          <w:szCs w:val="32"/>
          <w:lang w:val="en-US" w:eastAsia="zh-CN" w:bidi="ar"/>
        </w:rPr>
      </w:pPr>
      <w:r>
        <w:rPr>
          <w:rFonts w:hint="default" w:ascii="Times New Roman" w:hAnsi="Times New Roman" w:eastAsia="方正仿宋_GBK" w:cs="Times New Roman"/>
          <w:color w:val="auto"/>
          <w:kern w:val="2"/>
          <w:sz w:val="32"/>
          <w:szCs w:val="32"/>
          <w:lang w:val="en-US" w:eastAsia="zh-CN" w:bidi="ar"/>
        </w:rPr>
        <w:t>单个评选人员对某个参评银行评分＝经营状况中分项指标得分总和+业务服务水平指标得分+利率水平指标得分+地方经济贡献度中分项指标得分总和。</w:t>
      </w:r>
    </w:p>
    <w:p w14:paraId="6BD2DCB7">
      <w:pPr>
        <w:keepNext w:val="0"/>
        <w:keepLines w:val="0"/>
        <w:pageBreakBefore w:val="0"/>
        <w:kinsoku/>
        <w:wordWrap/>
        <w:overflowPunct/>
        <w:topLinePunct w:val="0"/>
        <w:autoSpaceDE/>
        <w:autoSpaceDN/>
        <w:bidi w:val="0"/>
        <w:adjustRightInd/>
        <w:snapToGrid/>
        <w:spacing w:beforeAutospacing="0" w:afterAutospacing="0" w:line="560" w:lineRule="exact"/>
        <w:rPr>
          <w:rFonts w:hint="eastAsia" w:ascii="仿宋_GB2312" w:hAnsi="仿宋_GB2312" w:eastAsia="仿宋_GB2312" w:cs="仿宋_GB2312"/>
        </w:rPr>
      </w:pPr>
      <w:r>
        <w:rPr>
          <w:rFonts w:hint="default" w:ascii="Times New Roman" w:hAnsi="Times New Roman" w:eastAsia="方正仿宋_GBK" w:cs="Times New Roman"/>
          <w:color w:val="auto"/>
          <w:kern w:val="2"/>
          <w:sz w:val="32"/>
          <w:szCs w:val="32"/>
          <w:lang w:val="en-US" w:eastAsia="zh-CN" w:bidi="ar"/>
        </w:rPr>
        <w:t>参评银行最终得分为评选委员会中全体评选人员评分的算术平均数。</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2E2A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D37974">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D37974">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1Yjk4YjAxN2U0YzMxZTE0MzUzYWU2YjU2MTBhNWUifQ=="/>
  </w:docVars>
  <w:rsids>
    <w:rsidRoot w:val="5DEE489E"/>
    <w:rsid w:val="00273E3D"/>
    <w:rsid w:val="06A37EE2"/>
    <w:rsid w:val="0B522FA7"/>
    <w:rsid w:val="0BA134C0"/>
    <w:rsid w:val="0C1A75A2"/>
    <w:rsid w:val="0F3C4F8C"/>
    <w:rsid w:val="106248E3"/>
    <w:rsid w:val="15C40F54"/>
    <w:rsid w:val="17332B1E"/>
    <w:rsid w:val="18B854BC"/>
    <w:rsid w:val="1AA400AD"/>
    <w:rsid w:val="2A6C4B2E"/>
    <w:rsid w:val="2C701C77"/>
    <w:rsid w:val="329E6BCC"/>
    <w:rsid w:val="33DE7438"/>
    <w:rsid w:val="35F22EE0"/>
    <w:rsid w:val="39D050F8"/>
    <w:rsid w:val="426844A6"/>
    <w:rsid w:val="43D54E1C"/>
    <w:rsid w:val="452A6789"/>
    <w:rsid w:val="45622E1D"/>
    <w:rsid w:val="47274F4A"/>
    <w:rsid w:val="4B7F6FE9"/>
    <w:rsid w:val="4C9D62C0"/>
    <w:rsid w:val="4F756840"/>
    <w:rsid w:val="4FD7228A"/>
    <w:rsid w:val="508659C6"/>
    <w:rsid w:val="5170449F"/>
    <w:rsid w:val="584D65AC"/>
    <w:rsid w:val="5DEE489E"/>
    <w:rsid w:val="61965927"/>
    <w:rsid w:val="695568B3"/>
    <w:rsid w:val="6B170DA2"/>
    <w:rsid w:val="6C42752C"/>
    <w:rsid w:val="6D503E66"/>
    <w:rsid w:val="6EDB5900"/>
    <w:rsid w:val="7454766B"/>
    <w:rsid w:val="7610698A"/>
    <w:rsid w:val="78DD0A20"/>
    <w:rsid w:val="7C952974"/>
    <w:rsid w:val="7D6F00D9"/>
    <w:rsid w:val="7E7D0E10"/>
    <w:rsid w:val="7F4752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5">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ind w:left="1680" w:leftChars="8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6</Pages>
  <Words>2798</Words>
  <Characters>2928</Characters>
  <Lines>0</Lines>
  <Paragraphs>0</Paragraphs>
  <TotalTime>1</TotalTime>
  <ScaleCrop>false</ScaleCrop>
  <LinksUpToDate>false</LinksUpToDate>
  <CharactersWithSpaces>2946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2025-12-15T03:00:00Z</dcterms:created>
  <dc:creator>HP</dc:creator>
  <cp:lastModifiedBy>罗丽</cp:lastModifiedBy>
  <cp:lastPrinted>2026-01-27T00:55:00Z</cp:lastPrinted>
  <dcterms:modified xsi:type="dcterms:W3CDTF">2026-03-18T01:05:07Z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EB5A11D9B1F14CE38E0B7DAE06F33B1F</vt:lpwstr>
  </property>
</Properties>
</file>