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74706">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德宏州公安局交通警察支队</w:t>
      </w:r>
    </w:p>
    <w:p w14:paraId="43F1D841">
      <w:pPr>
        <w:jc w:val="center"/>
        <w:rPr>
          <w:rFonts w:hint="eastAsia" w:ascii="方正小标宋简体" w:eastAsia="方正小标宋简体"/>
          <w:sz w:val="36"/>
          <w:szCs w:val="36"/>
        </w:rPr>
      </w:pPr>
      <w:r>
        <w:rPr>
          <w:rFonts w:hint="eastAsia" w:ascii="方正小标宋简体" w:hAnsi="方正小标宋简体" w:eastAsia="方正小标宋简体" w:cs="方正小标宋简体"/>
          <w:sz w:val="36"/>
          <w:szCs w:val="36"/>
        </w:rPr>
        <w:t>部门</w:t>
      </w:r>
      <w:r>
        <w:rPr>
          <w:rFonts w:hint="eastAsia" w:ascii="方正小标宋简体" w:hAnsi="方正小标宋简体" w:eastAsia="方正小标宋简体" w:cs="方正小标宋简体"/>
          <w:sz w:val="36"/>
          <w:szCs w:val="36"/>
          <w:lang w:val="en-US" w:eastAsia="zh-CN"/>
        </w:rPr>
        <w:t>2020</w:t>
      </w:r>
      <w:r>
        <w:rPr>
          <w:rFonts w:hint="eastAsia" w:ascii="方正小标宋简体" w:hAnsi="方正小标宋简体" w:eastAsia="方正小标宋简体" w:cs="方正小标宋简体"/>
          <w:sz w:val="36"/>
          <w:szCs w:val="36"/>
        </w:rPr>
        <w:t>年预算</w:t>
      </w:r>
      <w:r>
        <w:rPr>
          <w:rFonts w:hint="eastAsia" w:ascii="方正小标宋简体" w:hAnsi="方正小标宋简体" w:eastAsia="方正小标宋简体" w:cs="方正小标宋简体"/>
          <w:sz w:val="36"/>
          <w:szCs w:val="36"/>
          <w:lang w:eastAsia="zh-CN"/>
        </w:rPr>
        <w:t>公开</w:t>
      </w:r>
      <w:r>
        <w:rPr>
          <w:rFonts w:hint="eastAsia" w:ascii="方正小标宋简体" w:eastAsia="方正小标宋简体"/>
          <w:sz w:val="36"/>
          <w:szCs w:val="36"/>
        </w:rPr>
        <w:t>目录</w:t>
      </w:r>
    </w:p>
    <w:p w14:paraId="6FA21B7A">
      <w:pPr>
        <w:jc w:val="left"/>
        <w:rPr>
          <w:rFonts w:hint="eastAsia" w:ascii="黑体" w:hAnsi="黑体" w:eastAsia="黑体"/>
          <w:sz w:val="30"/>
          <w:szCs w:val="30"/>
        </w:rPr>
      </w:pPr>
    </w:p>
    <w:p w14:paraId="0A4D013E">
      <w:pPr>
        <w:jc w:val="left"/>
        <w:rPr>
          <w:rFonts w:hint="eastAsia" w:ascii="黑体" w:hAnsi="黑体" w:eastAsia="黑体"/>
          <w:sz w:val="30"/>
          <w:szCs w:val="30"/>
        </w:rPr>
      </w:pPr>
      <w:r>
        <w:rPr>
          <w:rFonts w:hint="eastAsia" w:ascii="黑体" w:hAnsi="黑体" w:eastAsia="黑体"/>
          <w:sz w:val="30"/>
          <w:szCs w:val="30"/>
        </w:rPr>
        <w:t>第一部分 德宏州公安局交通警察支队部门</w:t>
      </w:r>
      <w:r>
        <w:rPr>
          <w:rFonts w:hint="eastAsia" w:ascii="黑体" w:hAnsi="黑体" w:eastAsia="黑体"/>
          <w:sz w:val="30"/>
          <w:szCs w:val="30"/>
          <w:lang w:val="en-US" w:eastAsia="zh-CN"/>
        </w:rPr>
        <w:t>2020</w:t>
      </w:r>
      <w:r>
        <w:rPr>
          <w:rFonts w:hint="eastAsia" w:ascii="黑体" w:hAnsi="黑体" w:eastAsia="黑体"/>
          <w:sz w:val="30"/>
          <w:szCs w:val="30"/>
        </w:rPr>
        <w:t>年部门预算编制说明</w:t>
      </w:r>
    </w:p>
    <w:p w14:paraId="1B3E6F05">
      <w:pPr>
        <w:jc w:val="left"/>
        <w:rPr>
          <w:rFonts w:hint="eastAsia" w:ascii="黑体" w:hAnsi="黑体" w:eastAsia="黑体"/>
          <w:sz w:val="30"/>
          <w:szCs w:val="30"/>
        </w:rPr>
      </w:pPr>
      <w:r>
        <w:rPr>
          <w:rFonts w:hint="eastAsia" w:ascii="黑体" w:hAnsi="黑体" w:eastAsia="黑体"/>
          <w:sz w:val="30"/>
          <w:szCs w:val="30"/>
        </w:rPr>
        <w:t>第二部分 德宏州公安局交通警察支队部门</w:t>
      </w:r>
      <w:r>
        <w:rPr>
          <w:rFonts w:hint="eastAsia" w:ascii="黑体" w:hAnsi="黑体" w:eastAsia="黑体"/>
          <w:sz w:val="30"/>
          <w:szCs w:val="30"/>
          <w:lang w:val="en-US" w:eastAsia="zh-CN"/>
        </w:rPr>
        <w:t>2020</w:t>
      </w:r>
      <w:r>
        <w:rPr>
          <w:rFonts w:hint="eastAsia" w:ascii="黑体" w:hAnsi="黑体" w:eastAsia="黑体"/>
          <w:sz w:val="30"/>
          <w:szCs w:val="30"/>
        </w:rPr>
        <w:t>年部门预算表</w:t>
      </w:r>
    </w:p>
    <w:p w14:paraId="13DE4F06">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14:paraId="3A898E02">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14:paraId="579E0157">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14:paraId="62A72E70">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14:paraId="101A208F">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14:paraId="75B3BBB5">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14:paraId="4B0C42AC">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14:paraId="03242953">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14:paraId="115DB568">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14:paraId="4176FF10">
      <w:pPr>
        <w:jc w:val="left"/>
        <w:rPr>
          <w:rFonts w:hint="eastAsia" w:ascii="Times New Roman" w:hAnsi="Times New Roman" w:eastAsia="仿宋_GB2312"/>
          <w:sz w:val="30"/>
          <w:szCs w:val="30"/>
        </w:rPr>
      </w:pPr>
      <w:r>
        <w:rPr>
          <w:rFonts w:hint="eastAsia" w:ascii="Times New Roman" w:hAnsi="Times New Roman" w:eastAsia="仿宋_GB2312"/>
          <w:sz w:val="30"/>
          <w:szCs w:val="30"/>
        </w:rPr>
        <w:t>十、</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本级项目支出绩效目标表（本次下达）</w:t>
      </w:r>
    </w:p>
    <w:p w14:paraId="02D898E7">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本级项目支出绩效目标表（另文下达）</w:t>
      </w:r>
    </w:p>
    <w:p w14:paraId="713D6CD9">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w:t>
      </w:r>
      <w:r>
        <w:rPr>
          <w:rFonts w:hint="eastAsia" w:ascii="Times New Roman" w:hAnsi="Times New Roman" w:eastAsia="仿宋_GB2312"/>
          <w:sz w:val="30"/>
          <w:szCs w:val="30"/>
          <w:lang w:eastAsia="zh-CN"/>
        </w:rPr>
        <w:t>州</w:t>
      </w:r>
      <w:r>
        <w:rPr>
          <w:rFonts w:hint="eastAsia" w:ascii="Times New Roman" w:hAnsi="Times New Roman" w:eastAsia="仿宋_GB2312"/>
          <w:sz w:val="30"/>
          <w:szCs w:val="30"/>
        </w:rPr>
        <w:t>对下转移支付绩效目标表</w:t>
      </w:r>
    </w:p>
    <w:p w14:paraId="43B3D850">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14:paraId="202EF503"/>
    <w:p w14:paraId="4DEAE104"/>
    <w:p w14:paraId="45B62BDC"/>
    <w:p w14:paraId="7FAB3286"/>
    <w:p w14:paraId="3ED214E6"/>
    <w:p w14:paraId="0963E3C2"/>
    <w:p w14:paraId="5B683C86"/>
    <w:p w14:paraId="7E173F9A">
      <w:pPr>
        <w:widowControl/>
        <w:jc w:val="center"/>
        <w:rPr>
          <w:rFonts w:hint="eastAsia" w:ascii="方正小标宋简体" w:eastAsia="方正小标宋简体"/>
          <w:kern w:val="0"/>
          <w:sz w:val="36"/>
          <w:szCs w:val="36"/>
          <w:lang w:eastAsia="zh-CN"/>
        </w:rPr>
      </w:pPr>
      <w:r>
        <w:rPr>
          <w:rFonts w:hint="eastAsia" w:ascii="方正小标宋简体" w:eastAsia="方正小标宋简体"/>
          <w:kern w:val="0"/>
          <w:sz w:val="36"/>
          <w:szCs w:val="36"/>
          <w:lang w:eastAsia="zh-CN"/>
        </w:rPr>
        <w:t>德宏州公安局交通警察支队</w:t>
      </w:r>
    </w:p>
    <w:p w14:paraId="2463F496">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部门2020年</w:t>
      </w:r>
      <w:r>
        <w:rPr>
          <w:rFonts w:hint="eastAsia" w:ascii="方正小标宋简体" w:eastAsia="方正小标宋简体"/>
          <w:kern w:val="0"/>
          <w:sz w:val="36"/>
          <w:szCs w:val="36"/>
        </w:rPr>
        <w:t>部门预算编制说明</w:t>
      </w:r>
    </w:p>
    <w:p w14:paraId="7CA1C79B">
      <w:pPr>
        <w:widowControl/>
        <w:jc w:val="left"/>
        <w:rPr>
          <w:rFonts w:ascii="黑体" w:hAnsi="黑体" w:eastAsia="黑体"/>
          <w:kern w:val="0"/>
          <w:sz w:val="30"/>
          <w:szCs w:val="30"/>
        </w:rPr>
      </w:pPr>
    </w:p>
    <w:p w14:paraId="131C7D24">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14:paraId="0DC48986">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14:paraId="66C33240">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德宏州公安局交通警察支队主要工作职责有：负责全州公安交通安全管理和执法工作；起草有关公安交通管理地方地方性规定和规范性文件及相关政策，经批准后组织实施；负责开展交通安全宣传教育；负责车辆管理和驾驶人管理工作；研发运用全州交通管理信息系统及智能交通系统；负责道路交通工程设计审查工作；负责设置和维护交通设施；指导、督导维护交通秩序；指导预防、处理交通事故，侦破交通事故逃逸案件；配合相关部门开展道路交通警卫和交通管制工作；对各县（市）公安交警大队进行业务指导。</w:t>
      </w:r>
    </w:p>
    <w:p w14:paraId="4481A933">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14:paraId="6D8FDD11">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交警支队纳入2019年部门预算编报的单位共1个，其中行政单位1个，支队队下设12个部门分别为：综合科、政治处、纪委、装备财务科、法制宣传科、科技信息化科、交通秩序管理科、特勤大队、涉车犯罪侦查大队9个综合部门，芒市高速管理大队、瑞丽高速管理大队2个直属大队，1个车管所。</w:t>
      </w:r>
    </w:p>
    <w:p w14:paraId="29392DA5">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14:paraId="47633A9B">
      <w:pPr>
        <w:spacing w:line="560" w:lineRule="exact"/>
        <w:ind w:firstLine="643" w:firstLineChars="200"/>
        <w:rPr>
          <w:rFonts w:hint="eastAsia" w:ascii="仿宋" w:hAnsi="仿宋" w:eastAsia="仿宋"/>
          <w:color w:val="000000"/>
          <w:kern w:val="0"/>
          <w:sz w:val="32"/>
          <w:szCs w:val="32"/>
          <w:lang w:bidi="ar"/>
        </w:rPr>
      </w:pPr>
      <w:r>
        <w:rPr>
          <w:rFonts w:hint="eastAsia" w:ascii="楷体" w:hAnsi="楷体" w:eastAsia="楷体" w:cs="仿宋_GB2312"/>
          <w:b/>
          <w:bCs/>
          <w:color w:val="000000"/>
          <w:sz w:val="32"/>
          <w:szCs w:val="32"/>
          <w:lang w:val="en-US" w:eastAsia="zh-CN"/>
        </w:rPr>
        <w:t>（一）把握重点，</w:t>
      </w:r>
      <w:r>
        <w:rPr>
          <w:rFonts w:hint="eastAsia" w:ascii="楷体" w:hAnsi="楷体" w:eastAsia="楷体" w:cs="宋体"/>
          <w:b/>
          <w:bCs/>
          <w:color w:val="000000"/>
          <w:kern w:val="0"/>
          <w:sz w:val="32"/>
          <w:szCs w:val="20"/>
          <w:lang w:eastAsia="zh-CN"/>
        </w:rPr>
        <w:t>以防范风险为核心推动</w:t>
      </w:r>
      <w:r>
        <w:rPr>
          <w:rFonts w:hint="eastAsia" w:ascii="楷体" w:hAnsi="楷体" w:eastAsia="楷体" w:cs="宋体"/>
          <w:b/>
          <w:bCs/>
          <w:color w:val="000000"/>
          <w:kern w:val="0"/>
          <w:sz w:val="32"/>
          <w:szCs w:val="20"/>
        </w:rPr>
        <w:t>交通</w:t>
      </w:r>
      <w:r>
        <w:rPr>
          <w:rFonts w:hint="eastAsia" w:ascii="楷体" w:hAnsi="楷体" w:eastAsia="楷体" w:cs="宋体"/>
          <w:b/>
          <w:bCs/>
          <w:color w:val="000000"/>
          <w:kern w:val="0"/>
          <w:sz w:val="32"/>
          <w:szCs w:val="20"/>
          <w:lang w:eastAsia="zh-CN"/>
        </w:rPr>
        <w:t>事故精准防控</w:t>
      </w:r>
      <w:r>
        <w:rPr>
          <w:rFonts w:hint="eastAsia" w:ascii="楷体" w:hAnsi="楷体" w:eastAsia="楷体" w:cs="宋体"/>
          <w:b/>
          <w:bCs/>
          <w:color w:val="000000"/>
          <w:kern w:val="0"/>
          <w:sz w:val="32"/>
          <w:szCs w:val="20"/>
        </w:rPr>
        <w:t>。</w:t>
      </w:r>
      <w:r>
        <w:rPr>
          <w:rFonts w:hint="eastAsia" w:ascii="仿宋_GB2312" w:hAnsi="仿宋" w:eastAsia="仿宋_GB2312"/>
          <w:color w:val="000000"/>
          <w:kern w:val="0"/>
          <w:sz w:val="32"/>
          <w:szCs w:val="32"/>
          <w:lang w:bidi="ar"/>
        </w:rPr>
        <w:t>要始终坚持以“不发生重特大交通事故”为中心，强化目标导向、结果导向，善于从共治上发挥最大合力。</w:t>
      </w:r>
      <w:r>
        <w:rPr>
          <w:rFonts w:hint="eastAsia" w:ascii="仿宋_GB2312" w:hAnsi="仿宋" w:eastAsia="仿宋_GB2312"/>
          <w:b/>
          <w:color w:val="000000"/>
          <w:kern w:val="0"/>
          <w:sz w:val="32"/>
          <w:szCs w:val="32"/>
          <w:lang w:bidi="ar"/>
        </w:rPr>
        <w:t>一</w:t>
      </w:r>
      <w:r>
        <w:rPr>
          <w:rFonts w:hint="eastAsia" w:ascii="仿宋_GB2312" w:hAnsi="仿宋" w:eastAsia="仿宋_GB2312"/>
          <w:b/>
          <w:color w:val="000000"/>
          <w:kern w:val="0"/>
          <w:sz w:val="32"/>
          <w:szCs w:val="32"/>
          <w:lang w:eastAsia="zh-CN" w:bidi="ar"/>
        </w:rPr>
        <w:t>是</w:t>
      </w:r>
      <w:r>
        <w:rPr>
          <w:rFonts w:hint="eastAsia" w:ascii="仿宋_GB2312" w:hAnsi="仿宋" w:eastAsia="仿宋_GB2312"/>
          <w:b/>
          <w:color w:val="000000"/>
          <w:kern w:val="0"/>
          <w:sz w:val="32"/>
          <w:szCs w:val="32"/>
          <w:lang w:bidi="ar"/>
        </w:rPr>
        <w:t>要完善“一个体系”，</w:t>
      </w:r>
      <w:r>
        <w:rPr>
          <w:rFonts w:hint="eastAsia" w:ascii="仿宋_GB2312" w:hAnsi="仿宋" w:eastAsia="仿宋_GB2312"/>
          <w:b w:val="0"/>
          <w:bCs/>
          <w:color w:val="000000"/>
          <w:kern w:val="0"/>
          <w:sz w:val="32"/>
          <w:szCs w:val="32"/>
          <w:lang w:eastAsia="zh-CN" w:bidi="ar"/>
        </w:rPr>
        <w:t>要</w:t>
      </w:r>
      <w:r>
        <w:rPr>
          <w:rFonts w:hint="eastAsia" w:ascii="仿宋_GB2312" w:hAnsi="仿宋" w:eastAsia="仿宋_GB2312"/>
          <w:color w:val="000000"/>
          <w:kern w:val="0"/>
          <w:sz w:val="32"/>
          <w:szCs w:val="32"/>
          <w:lang w:bidi="ar"/>
        </w:rPr>
        <w:t>紧紧</w:t>
      </w:r>
      <w:r>
        <w:rPr>
          <w:rFonts w:hint="eastAsia" w:ascii="仿宋_GB2312" w:hAnsi="仿宋_GB2312" w:eastAsia="仿宋_GB2312" w:cs="仿宋_GB2312"/>
          <w:bCs/>
          <w:color w:val="000000"/>
          <w:sz w:val="32"/>
          <w:szCs w:val="32"/>
        </w:rPr>
        <w:t>抓住落实《地方党政领导干部安全生产责任制规定》</w:t>
      </w:r>
      <w:r>
        <w:rPr>
          <w:rFonts w:hint="eastAsia" w:ascii="仿宋_GB2312" w:hAnsi="仿宋_GB2312" w:eastAsia="仿宋_GB2312" w:cs="仿宋_GB2312"/>
          <w:color w:val="000000"/>
          <w:sz w:val="32"/>
          <w:szCs w:val="32"/>
        </w:rPr>
        <w:t>机遇，</w:t>
      </w:r>
      <w:r>
        <w:rPr>
          <w:rFonts w:hint="eastAsia" w:ascii="仿宋_GB2312" w:hAnsi="仿宋" w:eastAsia="仿宋_GB2312"/>
          <w:color w:val="000000"/>
          <w:kern w:val="0"/>
          <w:sz w:val="32"/>
          <w:szCs w:val="32"/>
          <w:lang w:bidi="ar"/>
        </w:rPr>
        <w:t>用好用足</w:t>
      </w:r>
      <w:r>
        <w:rPr>
          <w:rFonts w:hint="eastAsia" w:ascii="仿宋_GB2312" w:hAnsi="仿宋" w:eastAsia="仿宋_GB2312"/>
          <w:color w:val="000000"/>
          <w:kern w:val="0"/>
          <w:sz w:val="32"/>
          <w:szCs w:val="32"/>
          <w:lang w:eastAsia="zh-CN" w:bidi="ar"/>
        </w:rPr>
        <w:t>州、市（</w:t>
      </w:r>
      <w:r>
        <w:rPr>
          <w:rFonts w:hint="eastAsia" w:ascii="仿宋_GB2312" w:hAnsi="仿宋" w:eastAsia="仿宋_GB2312"/>
          <w:color w:val="000000"/>
          <w:kern w:val="0"/>
          <w:sz w:val="32"/>
          <w:szCs w:val="32"/>
          <w:lang w:bidi="ar"/>
        </w:rPr>
        <w:t>县</w:t>
      </w:r>
      <w:r>
        <w:rPr>
          <w:rFonts w:hint="eastAsia" w:ascii="仿宋_GB2312" w:hAnsi="仿宋" w:eastAsia="仿宋_GB2312"/>
          <w:color w:val="000000"/>
          <w:kern w:val="0"/>
          <w:sz w:val="32"/>
          <w:szCs w:val="32"/>
          <w:lang w:eastAsia="zh-CN" w:bidi="ar"/>
        </w:rPr>
        <w:t>）两级</w:t>
      </w:r>
      <w:r>
        <w:rPr>
          <w:rFonts w:hint="eastAsia" w:ascii="仿宋_GB2312" w:hAnsi="仿宋" w:eastAsia="仿宋_GB2312"/>
          <w:color w:val="000000"/>
          <w:kern w:val="0"/>
          <w:sz w:val="32"/>
          <w:szCs w:val="32"/>
          <w:lang w:bidi="ar"/>
        </w:rPr>
        <w:t>安委办平台，充分发挥安委办联动协调作用，统筹各部门工作合力，健全和优化配套运行制度、考核奖惩体系，推动</w:t>
      </w:r>
      <w:r>
        <w:rPr>
          <w:rFonts w:hint="eastAsia" w:ascii="仿宋_GB2312" w:hAnsi="仿宋_GB2312" w:eastAsia="仿宋_GB2312" w:cs="仿宋_GB2312"/>
          <w:color w:val="000000"/>
          <w:sz w:val="32"/>
          <w:szCs w:val="32"/>
        </w:rPr>
        <w:t>农村道路“两站两员”建设落地，</w:t>
      </w:r>
      <w:r>
        <w:rPr>
          <w:rFonts w:hint="eastAsia" w:ascii="仿宋_GB2312" w:hAnsi="仿宋" w:eastAsia="仿宋_GB2312"/>
          <w:color w:val="000000"/>
          <w:kern w:val="0"/>
          <w:sz w:val="32"/>
          <w:szCs w:val="32"/>
          <w:lang w:bidi="ar"/>
        </w:rPr>
        <w:t>着力推进道路交通安全社会共治体系建设。</w:t>
      </w:r>
      <w:r>
        <w:rPr>
          <w:rFonts w:hint="eastAsia" w:ascii="仿宋_GB2312" w:hAnsi="仿宋" w:eastAsia="仿宋_GB2312"/>
          <w:b/>
          <w:color w:val="000000"/>
          <w:kern w:val="0"/>
          <w:sz w:val="32"/>
          <w:szCs w:val="32"/>
          <w:lang w:bidi="ar"/>
        </w:rPr>
        <w:t>二要固化“两项机制”</w:t>
      </w:r>
      <w:r>
        <w:rPr>
          <w:rFonts w:hint="eastAsia" w:ascii="仿宋_GB2312" w:hAnsi="仿宋" w:eastAsia="仿宋_GB2312"/>
          <w:b/>
          <w:color w:val="000000"/>
          <w:kern w:val="0"/>
          <w:sz w:val="32"/>
          <w:szCs w:val="32"/>
          <w:lang w:eastAsia="zh-CN" w:bidi="ar"/>
        </w:rPr>
        <w:t>。</w:t>
      </w:r>
      <w:r>
        <w:rPr>
          <w:rFonts w:hint="eastAsia" w:ascii="仿宋_GB2312" w:hAnsi="仿宋" w:eastAsia="仿宋_GB2312"/>
          <w:color w:val="000000"/>
          <w:kern w:val="0"/>
          <w:sz w:val="32"/>
          <w:szCs w:val="32"/>
          <w:lang w:eastAsia="zh-CN" w:bidi="ar"/>
        </w:rPr>
        <w:t>要</w:t>
      </w:r>
      <w:r>
        <w:rPr>
          <w:rFonts w:hint="eastAsia" w:ascii="仿宋_GB2312" w:hAnsi="仿宋" w:eastAsia="仿宋_GB2312"/>
          <w:color w:val="000000"/>
          <w:kern w:val="0"/>
          <w:sz w:val="32"/>
          <w:szCs w:val="32"/>
          <w:lang w:bidi="ar"/>
        </w:rPr>
        <w:t>固化道路隐患动态排查治理工作机制，全力配合相关部门开展公路安全生命防护工程，分期、分批逐步整改公路危险、隐患路段；</w:t>
      </w:r>
      <w:r>
        <w:rPr>
          <w:rFonts w:hint="eastAsia" w:ascii="仿宋_GB2312" w:hAnsi="仿宋" w:eastAsia="仿宋_GB2312"/>
          <w:color w:val="000000"/>
          <w:kern w:val="0"/>
          <w:sz w:val="32"/>
          <w:szCs w:val="32"/>
          <w:lang w:eastAsia="zh-CN" w:bidi="ar"/>
        </w:rPr>
        <w:t>要</w:t>
      </w:r>
      <w:r>
        <w:rPr>
          <w:rFonts w:hint="eastAsia" w:ascii="仿宋_GB2312" w:hAnsi="仿宋" w:eastAsia="仿宋_GB2312"/>
          <w:color w:val="000000"/>
          <w:kern w:val="0"/>
          <w:sz w:val="32"/>
          <w:szCs w:val="32"/>
          <w:lang w:bidi="ar"/>
        </w:rPr>
        <w:t>固化联合开展事故深度调查机制，严格对较大以上道路交通事故全部启动深度调查，切实做到“查办一起案件、震慑一个行业、警醒一大群体”。</w:t>
      </w:r>
      <w:r>
        <w:rPr>
          <w:rFonts w:hint="eastAsia" w:ascii="仿宋_GB2312" w:hAnsi="仿宋" w:eastAsia="仿宋_GB2312"/>
          <w:b/>
          <w:color w:val="000000"/>
          <w:kern w:val="0"/>
          <w:sz w:val="32"/>
          <w:szCs w:val="32"/>
          <w:lang w:bidi="ar"/>
        </w:rPr>
        <w:t>三要压实“三个责任”</w:t>
      </w:r>
      <w:r>
        <w:rPr>
          <w:rFonts w:hint="eastAsia" w:ascii="仿宋_GB2312" w:hAnsi="仿宋" w:eastAsia="仿宋_GB2312"/>
          <w:b/>
          <w:color w:val="000000"/>
          <w:kern w:val="0"/>
          <w:sz w:val="32"/>
          <w:szCs w:val="32"/>
          <w:lang w:eastAsia="zh-CN" w:bidi="ar"/>
        </w:rPr>
        <w:t>。</w:t>
      </w:r>
      <w:r>
        <w:rPr>
          <w:rFonts w:hint="eastAsia" w:ascii="仿宋_GB2312" w:hAnsi="仿宋" w:eastAsia="仿宋_GB2312"/>
          <w:color w:val="000000"/>
          <w:kern w:val="0"/>
          <w:sz w:val="32"/>
          <w:szCs w:val="32"/>
          <w:lang w:eastAsia="zh-CN" w:bidi="ar"/>
        </w:rPr>
        <w:t>要</w:t>
      </w:r>
      <w:r>
        <w:rPr>
          <w:rFonts w:hint="eastAsia" w:ascii="仿宋_GB2312" w:hAnsi="仿宋" w:eastAsia="仿宋_GB2312"/>
          <w:color w:val="000000"/>
          <w:kern w:val="0"/>
          <w:sz w:val="32"/>
          <w:szCs w:val="32"/>
          <w:lang w:bidi="ar"/>
        </w:rPr>
        <w:t>严格督促、倒逼企业落实24小时动态监控制度，建立客货运企业“黑名单”制度，对隐患突出的运输企业联合约谈、叠加惩戒，压实企业主体责任；</w:t>
      </w:r>
      <w:r>
        <w:rPr>
          <w:rFonts w:hint="eastAsia" w:ascii="仿宋_GB2312" w:hAnsi="仿宋" w:eastAsia="仿宋_GB2312"/>
          <w:color w:val="000000"/>
          <w:kern w:val="0"/>
          <w:sz w:val="32"/>
          <w:szCs w:val="32"/>
          <w:lang w:eastAsia="zh-CN" w:bidi="ar"/>
        </w:rPr>
        <w:t>要</w:t>
      </w:r>
      <w:r>
        <w:rPr>
          <w:rFonts w:hint="eastAsia" w:ascii="仿宋_GB2312" w:hAnsi="仿宋" w:eastAsia="仿宋_GB2312"/>
          <w:color w:val="000000"/>
          <w:kern w:val="0"/>
          <w:sz w:val="32"/>
          <w:szCs w:val="32"/>
          <w:lang w:bidi="ar"/>
        </w:rPr>
        <w:t>以</w:t>
      </w:r>
      <w:r>
        <w:rPr>
          <w:rFonts w:hint="eastAsia" w:ascii="仿宋_GB2312" w:hAnsi="仿宋_GB2312" w:eastAsia="仿宋_GB2312" w:cs="仿宋_GB2312"/>
          <w:color w:val="000000"/>
          <w:sz w:val="32"/>
          <w:szCs w:val="32"/>
        </w:rPr>
        <w:t>“创建无较大以上交通事故县区活动”为载体</w:t>
      </w:r>
      <w:r>
        <w:rPr>
          <w:rFonts w:hint="eastAsia" w:ascii="仿宋_GB2312" w:hAnsi="仿宋" w:eastAsia="仿宋_GB2312"/>
          <w:color w:val="000000"/>
          <w:kern w:val="0"/>
          <w:sz w:val="32"/>
          <w:szCs w:val="32"/>
          <w:lang w:bidi="ar"/>
        </w:rPr>
        <w:t>，压实行业主管责任；</w:t>
      </w:r>
      <w:r>
        <w:rPr>
          <w:rFonts w:hint="eastAsia" w:ascii="仿宋_GB2312" w:hAnsi="仿宋" w:eastAsia="仿宋_GB2312"/>
          <w:color w:val="000000"/>
          <w:kern w:val="0"/>
          <w:sz w:val="32"/>
          <w:szCs w:val="32"/>
          <w:lang w:eastAsia="zh-CN" w:bidi="ar"/>
        </w:rPr>
        <w:t>要</w:t>
      </w:r>
      <w:r>
        <w:rPr>
          <w:rFonts w:hint="eastAsia" w:ascii="仿宋_GB2312" w:hAnsi="仿宋" w:eastAsia="仿宋_GB2312"/>
          <w:color w:val="000000"/>
          <w:kern w:val="0"/>
          <w:sz w:val="32"/>
          <w:szCs w:val="32"/>
          <w:lang w:bidi="ar"/>
        </w:rPr>
        <w:t>建立</w:t>
      </w:r>
      <w:r>
        <w:rPr>
          <w:rFonts w:hint="eastAsia" w:ascii="仿宋_GB2312" w:hAnsi="仿宋" w:eastAsia="仿宋_GB2312"/>
          <w:color w:val="000000"/>
          <w:kern w:val="0"/>
          <w:sz w:val="32"/>
          <w:szCs w:val="32"/>
          <w:lang w:eastAsia="zh-CN" w:bidi="ar"/>
        </w:rPr>
        <w:t>州、市两级</w:t>
      </w:r>
      <w:r>
        <w:rPr>
          <w:rFonts w:hint="eastAsia" w:ascii="仿宋_GB2312" w:hAnsi="仿宋" w:eastAsia="仿宋_GB2312"/>
          <w:color w:val="000000"/>
          <w:kern w:val="0"/>
          <w:sz w:val="32"/>
          <w:szCs w:val="32"/>
          <w:lang w:bidi="ar"/>
        </w:rPr>
        <w:t>包干责任链条，</w:t>
      </w:r>
      <w:r>
        <w:rPr>
          <w:rFonts w:hint="eastAsia" w:ascii="仿宋_GB2312" w:eastAsia="仿宋_GB2312"/>
          <w:color w:val="000000"/>
          <w:sz w:val="32"/>
          <w:szCs w:val="32"/>
        </w:rPr>
        <w:t>强化警路联合、警保联动、警企联动，</w:t>
      </w:r>
      <w:r>
        <w:rPr>
          <w:rFonts w:hint="eastAsia" w:ascii="仿宋_GB2312" w:hAnsi="仿宋" w:eastAsia="仿宋_GB2312"/>
          <w:color w:val="000000"/>
          <w:kern w:val="0"/>
          <w:sz w:val="32"/>
          <w:szCs w:val="32"/>
          <w:lang w:bidi="ar"/>
        </w:rPr>
        <w:t>压实综合监管责任。</w:t>
      </w:r>
    </w:p>
    <w:p w14:paraId="5A53EFDF">
      <w:pPr>
        <w:keepNext w:val="0"/>
        <w:keepLines w:val="0"/>
        <w:pageBreakBefore w:val="0"/>
        <w:widowControl w:val="0"/>
        <w:numPr>
          <w:ilvl w:val="0"/>
          <w:numId w:val="0"/>
        </w:numPr>
        <w:kinsoku/>
        <w:overflowPunct/>
        <w:topLinePunct w:val="0"/>
        <w:autoSpaceDN/>
        <w:bidi w:val="0"/>
        <w:adjustRightInd/>
        <w:spacing w:before="0" w:beforeLines="0" w:after="0" w:afterLines="0" w:line="600" w:lineRule="exact"/>
        <w:ind w:left="0" w:leftChars="0" w:right="0" w:rightChars="0" w:firstLine="643" w:firstLineChars="200"/>
        <w:textAlignment w:val="auto"/>
        <w:outlineLvl w:val="9"/>
        <w:rPr>
          <w:rFonts w:hint="eastAsia" w:ascii="仿宋" w:hAnsi="仿宋" w:eastAsia="仿宋" w:cs="仿宋_GB2312"/>
          <w:color w:val="000000"/>
          <w:sz w:val="32"/>
          <w:szCs w:val="32"/>
          <w:lang w:val="en-US" w:eastAsia="zh-CN"/>
        </w:rPr>
      </w:pPr>
      <w:r>
        <w:rPr>
          <w:rFonts w:hint="eastAsia" w:ascii="楷体" w:hAnsi="楷体" w:eastAsia="楷体"/>
          <w:b/>
          <w:bCs/>
          <w:snapToGrid/>
          <w:color w:val="000000"/>
          <w:kern w:val="2"/>
          <w:sz w:val="32"/>
          <w:shd w:val="clear" w:color="auto" w:fill="FFFFFF"/>
          <w:lang w:val="en-US" w:eastAsia="zh-CN"/>
        </w:rPr>
        <w:t>(二）聚焦主责，</w:t>
      </w:r>
      <w:r>
        <w:rPr>
          <w:rFonts w:hint="eastAsia" w:ascii="楷体" w:hAnsi="楷体" w:eastAsia="楷体"/>
          <w:b/>
          <w:bCs/>
          <w:snapToGrid w:val="0"/>
          <w:color w:val="000000"/>
          <w:kern w:val="0"/>
          <w:sz w:val="32"/>
          <w:shd w:val="clear" w:color="auto" w:fill="FFFFFF"/>
        </w:rPr>
        <w:t>扎实开展道路交通安全管理</w:t>
      </w:r>
      <w:r>
        <w:rPr>
          <w:rFonts w:hint="eastAsia" w:ascii="楷体" w:hAnsi="楷体" w:eastAsia="楷体"/>
          <w:b/>
          <w:bCs/>
          <w:snapToGrid w:val="0"/>
          <w:color w:val="000000"/>
          <w:kern w:val="0"/>
          <w:sz w:val="32"/>
          <w:shd w:val="clear" w:color="auto" w:fill="FFFFFF"/>
          <w:lang w:eastAsia="zh-CN"/>
        </w:rPr>
        <w:t>专项整治</w:t>
      </w:r>
      <w:r>
        <w:rPr>
          <w:rFonts w:hint="eastAsia" w:ascii="楷体" w:hAnsi="楷体" w:eastAsia="楷体"/>
          <w:b/>
          <w:bCs/>
          <w:snapToGrid w:val="0"/>
          <w:color w:val="000000"/>
          <w:kern w:val="0"/>
          <w:sz w:val="32"/>
          <w:shd w:val="clear" w:color="auto" w:fill="FFFFFF"/>
        </w:rPr>
        <w:t>行动。</w:t>
      </w:r>
      <w:r>
        <w:rPr>
          <w:rFonts w:hint="eastAsia" w:ascii="仿宋" w:hAnsi="仿宋" w:eastAsia="仿宋"/>
          <w:b w:val="0"/>
          <w:i w:val="0"/>
          <w:snapToGrid/>
          <w:color w:val="000000"/>
          <w:sz w:val="31"/>
        </w:rPr>
        <w:t>《生物多样性公约》第十五次缔约方大会(COP15)</w:t>
      </w:r>
      <w:r>
        <w:rPr>
          <w:rFonts w:hint="eastAsia" w:ascii="仿宋" w:hAnsi="仿宋" w:eastAsia="仿宋"/>
          <w:b w:val="0"/>
          <w:i w:val="0"/>
          <w:snapToGrid/>
          <w:color w:val="000000"/>
          <w:sz w:val="31"/>
          <w:lang w:eastAsia="zh-CN"/>
        </w:rPr>
        <w:t>将于</w:t>
      </w:r>
      <w:r>
        <w:rPr>
          <w:rFonts w:hint="eastAsia" w:ascii="仿宋" w:hAnsi="仿宋" w:eastAsia="仿宋"/>
          <w:b w:val="0"/>
          <w:i w:val="0"/>
          <w:snapToGrid/>
          <w:color w:val="000000"/>
          <w:sz w:val="31"/>
          <w:lang w:val="en-US" w:eastAsia="zh-CN"/>
        </w:rPr>
        <w:t>2020年10月在昆明召开。此次大会是党中央、国务院交于我省的重大政治任务。要充分认识</w:t>
      </w:r>
      <w:r>
        <w:rPr>
          <w:rFonts w:hint="eastAsia" w:ascii="仿宋" w:hAnsi="仿宋" w:eastAsia="仿宋"/>
          <w:b w:val="0"/>
          <w:i w:val="0"/>
          <w:snapToGrid/>
          <w:color w:val="000000"/>
          <w:sz w:val="31"/>
        </w:rPr>
        <w:t>道路交通安保工作的重大意义，</w:t>
      </w:r>
      <w:r>
        <w:rPr>
          <w:rFonts w:hint="eastAsia" w:ascii="仿宋" w:hAnsi="仿宋" w:eastAsia="仿宋"/>
          <w:b w:val="0"/>
          <w:i w:val="0"/>
          <w:snapToGrid/>
          <w:color w:val="000000"/>
          <w:sz w:val="31"/>
          <w:lang w:eastAsia="zh-CN"/>
        </w:rPr>
        <w:t>从</w:t>
      </w:r>
      <w:r>
        <w:rPr>
          <w:rFonts w:hint="eastAsia" w:ascii="仿宋" w:hAnsi="仿宋" w:eastAsia="仿宋"/>
          <w:b w:val="0"/>
          <w:i w:val="0"/>
          <w:snapToGrid/>
          <w:color w:val="000000"/>
          <w:sz w:val="31"/>
        </w:rPr>
        <w:t>讲政治、讲大局、讲担当，坚决完成好大会安保维稳任务。对照</w:t>
      </w:r>
      <w:r>
        <w:rPr>
          <w:rFonts w:hint="eastAsia" w:ascii="仿宋" w:hAnsi="仿宋" w:eastAsia="仿宋"/>
          <w:b w:val="0"/>
          <w:i w:val="0"/>
          <w:snapToGrid/>
          <w:color w:val="000000"/>
          <w:sz w:val="31"/>
          <w:lang w:eastAsia="zh-CN"/>
        </w:rPr>
        <w:t>州公安局、省厅交警总队明确</w:t>
      </w:r>
      <w:r>
        <w:rPr>
          <w:rFonts w:hint="eastAsia" w:ascii="仿宋" w:hAnsi="仿宋" w:eastAsia="仿宋"/>
          <w:b w:val="0"/>
          <w:i w:val="0"/>
          <w:snapToGrid/>
          <w:color w:val="000000"/>
          <w:sz w:val="31"/>
        </w:rPr>
        <w:t>的职责任务，进一步细化工作要求，主动参与、相互配合，切实抓好各项工作措施的落实。</w:t>
      </w:r>
      <w:r>
        <w:rPr>
          <w:rFonts w:hint="eastAsia" w:ascii="仿宋" w:hAnsi="仿宋" w:eastAsia="仿宋"/>
          <w:b/>
          <w:bCs/>
          <w:color w:val="000000"/>
          <w:sz w:val="32"/>
          <w:szCs w:val="32"/>
          <w:lang w:eastAsia="zh-CN"/>
        </w:rPr>
        <w:t>一是抓实源头隐患清零行动。</w:t>
      </w:r>
      <w:r>
        <w:rPr>
          <w:rFonts w:hint="eastAsia" w:ascii="仿宋" w:hAnsi="仿宋" w:eastAsia="仿宋"/>
          <w:color w:val="000000"/>
          <w:sz w:val="32"/>
          <w:szCs w:val="32"/>
          <w:lang w:eastAsia="zh-CN"/>
        </w:rPr>
        <w:t>开展常态化道路隐患排查治理、强化运输企业安全监管、开展</w:t>
      </w:r>
      <w:r>
        <w:rPr>
          <w:rFonts w:hint="eastAsia" w:ascii="仿宋" w:hAnsi="仿宋" w:eastAsia="仿宋"/>
          <w:color w:val="000000"/>
          <w:sz w:val="32"/>
          <w:szCs w:val="32"/>
          <w:lang w:val="en-US" w:eastAsia="zh-CN"/>
        </w:rPr>
        <w:t>8类重点车源头隐患动态清零、联合交通运输部门开展重点车辆动态监控落实情况及安全带使用情况“两个专项检查”，推进农村公路安全生命防护工程建设、排查整改长下坡路段、隧道设施、出入口区域、占道施工、交通应急事件易发频发等路段的安全隐患等方面的工作要求。</w:t>
      </w:r>
      <w:r>
        <w:rPr>
          <w:rFonts w:hint="eastAsia" w:ascii="仿宋" w:hAnsi="仿宋" w:eastAsia="仿宋"/>
          <w:b/>
          <w:bCs/>
          <w:color w:val="000000"/>
          <w:sz w:val="32"/>
          <w:szCs w:val="32"/>
          <w:lang w:val="en-US" w:eastAsia="zh-CN"/>
        </w:rPr>
        <w:t>二是抓实路面秩序净化行动。</w:t>
      </w:r>
      <w:r>
        <w:rPr>
          <w:rFonts w:hint="eastAsia" w:ascii="仿宋" w:hAnsi="仿宋" w:eastAsia="仿宋" w:cs="仿宋_GB2312"/>
          <w:b w:val="0"/>
          <w:bCs w:val="0"/>
          <w:color w:val="000000"/>
          <w:sz w:val="32"/>
        </w:rPr>
        <w:t>持续开展城市交通秩序整治行动</w:t>
      </w:r>
      <w:r>
        <w:rPr>
          <w:rFonts w:hint="eastAsia" w:ascii="仿宋" w:hAnsi="仿宋" w:eastAsia="仿宋" w:cs="仿宋_GB2312"/>
          <w:b w:val="0"/>
          <w:bCs w:val="0"/>
          <w:color w:val="000000"/>
          <w:sz w:val="32"/>
          <w:lang w:eastAsia="zh-CN"/>
        </w:rPr>
        <w:t>、</w:t>
      </w:r>
      <w:r>
        <w:rPr>
          <w:rFonts w:hint="eastAsia" w:ascii="仿宋" w:hAnsi="仿宋" w:eastAsia="仿宋" w:cs="仿宋_GB2312"/>
          <w:b w:val="0"/>
          <w:bCs w:val="0"/>
          <w:color w:val="000000"/>
          <w:sz w:val="32"/>
        </w:rPr>
        <w:t>持续开展周末夜查专项行动</w:t>
      </w:r>
      <w:r>
        <w:rPr>
          <w:rFonts w:hint="eastAsia" w:ascii="仿宋" w:hAnsi="仿宋" w:eastAsia="仿宋" w:cs="仿宋_GB2312"/>
          <w:b w:val="0"/>
          <w:bCs w:val="0"/>
          <w:color w:val="000000"/>
          <w:sz w:val="32"/>
          <w:lang w:eastAsia="zh-CN"/>
        </w:rPr>
        <w:t>、</w:t>
      </w:r>
      <w:r>
        <w:rPr>
          <w:rFonts w:hint="eastAsia" w:ascii="仿宋" w:hAnsi="仿宋" w:eastAsia="仿宋" w:cs="仿宋_GB2312"/>
          <w:b w:val="0"/>
          <w:bCs w:val="0"/>
          <w:color w:val="000000"/>
          <w:sz w:val="32"/>
        </w:rPr>
        <w:t>持续开展国省道、高速公路主干公路交通秩序专项整治</w:t>
      </w:r>
      <w:r>
        <w:rPr>
          <w:rFonts w:hint="eastAsia" w:ascii="仿宋" w:hAnsi="仿宋" w:eastAsia="仿宋" w:cs="仿宋_GB2312"/>
          <w:b w:val="0"/>
          <w:bCs w:val="0"/>
          <w:color w:val="000000"/>
          <w:sz w:val="32"/>
          <w:lang w:eastAsia="zh-CN"/>
        </w:rPr>
        <w:t>、</w:t>
      </w:r>
      <w:r>
        <w:rPr>
          <w:rFonts w:hint="eastAsia" w:ascii="仿宋" w:hAnsi="仿宋" w:eastAsia="仿宋" w:cs="仿宋_GB2312"/>
          <w:b w:val="0"/>
          <w:bCs w:val="0"/>
          <w:color w:val="000000"/>
          <w:sz w:val="32"/>
        </w:rPr>
        <w:t>持续开展区域联合整治</w:t>
      </w:r>
      <w:r>
        <w:rPr>
          <w:rFonts w:hint="eastAsia" w:ascii="仿宋" w:hAnsi="仿宋" w:eastAsia="仿宋" w:cs="仿宋_GB2312"/>
          <w:b w:val="0"/>
          <w:bCs w:val="0"/>
          <w:color w:val="000000"/>
          <w:sz w:val="32"/>
          <w:lang w:eastAsia="zh-CN"/>
        </w:rPr>
        <w:t>、持续开展</w:t>
      </w:r>
      <w:r>
        <w:rPr>
          <w:rFonts w:hint="eastAsia" w:ascii="仿宋" w:hAnsi="仿宋" w:eastAsia="仿宋"/>
          <w:b w:val="0"/>
          <w:bCs w:val="0"/>
          <w:color w:val="000000"/>
          <w:sz w:val="32"/>
        </w:rPr>
        <w:t>滇西片区区域联合整治</w:t>
      </w:r>
      <w:r>
        <w:rPr>
          <w:rFonts w:hint="eastAsia" w:ascii="仿宋" w:hAnsi="仿宋" w:eastAsia="仿宋"/>
          <w:b w:val="0"/>
          <w:bCs w:val="0"/>
          <w:color w:val="000000"/>
          <w:sz w:val="32"/>
          <w:lang w:eastAsia="zh-CN"/>
        </w:rPr>
        <w:t>、</w:t>
      </w:r>
      <w:r>
        <w:rPr>
          <w:rFonts w:hint="eastAsia" w:ascii="仿宋" w:hAnsi="仿宋" w:eastAsia="仿宋"/>
          <w:b w:val="0"/>
          <w:bCs w:val="0"/>
          <w:color w:val="000000"/>
          <w:sz w:val="32"/>
        </w:rPr>
        <w:t>持续开展每周全省全州统一行动</w:t>
      </w:r>
      <w:r>
        <w:rPr>
          <w:rFonts w:hint="eastAsia" w:ascii="仿宋" w:hAnsi="仿宋" w:eastAsia="仿宋"/>
          <w:b w:val="0"/>
          <w:bCs w:val="0"/>
          <w:color w:val="000000"/>
          <w:sz w:val="32"/>
          <w:lang w:eastAsia="zh-CN"/>
        </w:rPr>
        <w:t>、</w:t>
      </w:r>
      <w:r>
        <w:rPr>
          <w:rFonts w:hint="eastAsia" w:ascii="仿宋" w:hAnsi="仿宋" w:eastAsia="仿宋"/>
          <w:b w:val="0"/>
          <w:bCs w:val="0"/>
          <w:color w:val="000000"/>
          <w:sz w:val="32"/>
        </w:rPr>
        <w:t>持续开展酒驾醉驾常态治理工作</w:t>
      </w:r>
      <w:r>
        <w:rPr>
          <w:rFonts w:hint="eastAsia" w:ascii="仿宋" w:hAnsi="仿宋" w:eastAsia="仿宋"/>
          <w:b w:val="0"/>
          <w:bCs w:val="0"/>
          <w:color w:val="000000"/>
          <w:sz w:val="32"/>
          <w:lang w:eastAsia="zh-CN"/>
        </w:rPr>
        <w:t>、</w:t>
      </w:r>
      <w:r>
        <w:rPr>
          <w:rFonts w:hint="eastAsia" w:ascii="仿宋" w:hAnsi="仿宋" w:eastAsia="仿宋"/>
          <w:b w:val="0"/>
          <w:bCs w:val="0"/>
          <w:color w:val="000000"/>
          <w:sz w:val="32"/>
        </w:rPr>
        <w:t>持续开展严厉打击小型客车、摩托车交通违法行为专项行动</w:t>
      </w:r>
      <w:r>
        <w:rPr>
          <w:rFonts w:hint="eastAsia" w:ascii="仿宋" w:hAnsi="仿宋" w:eastAsia="仿宋"/>
          <w:b w:val="0"/>
          <w:bCs w:val="0"/>
          <w:color w:val="000000"/>
          <w:sz w:val="32"/>
          <w:lang w:eastAsia="zh-CN"/>
        </w:rPr>
        <w:t>等</w:t>
      </w:r>
      <w:r>
        <w:rPr>
          <w:rFonts w:hint="eastAsia" w:ascii="仿宋" w:hAnsi="仿宋" w:eastAsia="仿宋"/>
          <w:b w:val="0"/>
          <w:bCs w:val="0"/>
          <w:color w:val="000000"/>
          <w:sz w:val="32"/>
          <w:lang w:val="en-US" w:eastAsia="zh-CN"/>
        </w:rPr>
        <w:t>7个方面的工作。</w:t>
      </w:r>
      <w:r>
        <w:rPr>
          <w:rFonts w:hint="eastAsia" w:ascii="仿宋" w:hAnsi="仿宋" w:eastAsia="仿宋"/>
          <w:b/>
          <w:bCs/>
          <w:color w:val="000000"/>
          <w:sz w:val="32"/>
          <w:lang w:val="en-US" w:eastAsia="zh-CN"/>
        </w:rPr>
        <w:t>三是抓实农村安全守护行动。</w:t>
      </w:r>
      <w:r>
        <w:rPr>
          <w:rFonts w:hint="eastAsia" w:ascii="仿宋" w:hAnsi="仿宋" w:eastAsia="仿宋"/>
          <w:color w:val="000000"/>
          <w:sz w:val="32"/>
        </w:rPr>
        <w:t>扎实推进农村公安派出所全面履行道路交通安全管理职责</w:t>
      </w:r>
      <w:r>
        <w:rPr>
          <w:rFonts w:hint="eastAsia" w:ascii="仿宋" w:hAnsi="仿宋" w:eastAsia="仿宋"/>
          <w:color w:val="000000"/>
          <w:sz w:val="32"/>
          <w:lang w:eastAsia="zh-CN"/>
        </w:rPr>
        <w:t>、</w:t>
      </w:r>
      <w:r>
        <w:rPr>
          <w:rFonts w:hint="eastAsia" w:ascii="仿宋" w:hAnsi="仿宋" w:eastAsia="仿宋"/>
          <w:color w:val="000000"/>
          <w:sz w:val="32"/>
        </w:rPr>
        <w:t>完善规范农村交通安全“两站两员”建设</w:t>
      </w:r>
      <w:r>
        <w:rPr>
          <w:rFonts w:hint="eastAsia" w:ascii="仿宋" w:hAnsi="仿宋" w:eastAsia="仿宋"/>
          <w:color w:val="000000"/>
          <w:sz w:val="32"/>
          <w:lang w:eastAsia="zh-CN"/>
        </w:rPr>
        <w:t>、</w:t>
      </w:r>
      <w:r>
        <w:rPr>
          <w:rFonts w:hint="eastAsia" w:ascii="仿宋" w:hAnsi="仿宋" w:eastAsia="仿宋"/>
          <w:color w:val="000000"/>
          <w:sz w:val="32"/>
        </w:rPr>
        <w:t>积极推进“警保合作”</w:t>
      </w:r>
      <w:r>
        <w:rPr>
          <w:rFonts w:hint="eastAsia" w:ascii="仿宋" w:hAnsi="仿宋" w:eastAsia="仿宋"/>
          <w:color w:val="000000"/>
          <w:sz w:val="32"/>
          <w:lang w:eastAsia="zh-CN"/>
        </w:rPr>
        <w:t>、</w:t>
      </w:r>
      <w:r>
        <w:rPr>
          <w:rFonts w:hint="eastAsia" w:ascii="仿宋" w:hAnsi="仿宋" w:eastAsia="仿宋"/>
          <w:color w:val="000000"/>
          <w:sz w:val="32"/>
        </w:rPr>
        <w:t>推广农村交通安全管理信息系统及APP建设应用</w:t>
      </w:r>
      <w:r>
        <w:rPr>
          <w:rFonts w:hint="eastAsia" w:ascii="仿宋" w:hAnsi="仿宋" w:eastAsia="仿宋"/>
          <w:color w:val="000000"/>
          <w:sz w:val="32"/>
          <w:lang w:eastAsia="zh-CN"/>
        </w:rPr>
        <w:t>、</w:t>
      </w:r>
      <w:r>
        <w:rPr>
          <w:rFonts w:hint="eastAsia" w:ascii="仿宋" w:hAnsi="仿宋" w:eastAsia="仿宋"/>
          <w:color w:val="000000"/>
          <w:sz w:val="32"/>
        </w:rPr>
        <w:t>建设微信群强化重点驾驶人管理</w:t>
      </w:r>
      <w:r>
        <w:rPr>
          <w:rFonts w:hint="eastAsia" w:ascii="仿宋" w:hAnsi="仿宋" w:eastAsia="仿宋"/>
          <w:color w:val="000000"/>
          <w:sz w:val="32"/>
          <w:lang w:eastAsia="zh-CN"/>
        </w:rPr>
        <w:t>，深入</w:t>
      </w:r>
      <w:r>
        <w:rPr>
          <w:rFonts w:hint="eastAsia" w:ascii="仿宋" w:hAnsi="仿宋" w:eastAsia="仿宋"/>
          <w:color w:val="000000"/>
          <w:sz w:val="32"/>
        </w:rPr>
        <w:t>开展</w:t>
      </w:r>
      <w:r>
        <w:rPr>
          <w:rFonts w:hint="eastAsia" w:ascii="仿宋" w:hAnsi="仿宋" w:eastAsia="仿宋"/>
          <w:color w:val="000000"/>
          <w:sz w:val="32"/>
          <w:lang w:eastAsia="zh-CN"/>
        </w:rPr>
        <w:t>农村交通秩序</w:t>
      </w:r>
      <w:r>
        <w:rPr>
          <w:rFonts w:hint="eastAsia" w:ascii="仿宋" w:hAnsi="仿宋" w:eastAsia="仿宋"/>
          <w:color w:val="000000"/>
          <w:sz w:val="32"/>
        </w:rPr>
        <w:t>联合整治，严厉查处农村面包车超员、摩托车、低速货车、三轮汽车、拖拉机违法载人等突出违法行为</w:t>
      </w:r>
      <w:r>
        <w:rPr>
          <w:rFonts w:hint="eastAsia" w:ascii="仿宋" w:hAnsi="仿宋" w:eastAsia="仿宋"/>
          <w:color w:val="000000"/>
          <w:sz w:val="32"/>
          <w:lang w:eastAsia="zh-CN"/>
        </w:rPr>
        <w:t>等工作措施。</w:t>
      </w:r>
      <w:r>
        <w:rPr>
          <w:rFonts w:hint="eastAsia" w:ascii="仿宋" w:hAnsi="仿宋" w:eastAsia="仿宋"/>
          <w:b/>
          <w:bCs/>
          <w:color w:val="000000"/>
          <w:sz w:val="32"/>
          <w:lang w:eastAsia="zh-CN"/>
        </w:rPr>
        <w:t>四是抓实宣传警示曝光行动。</w:t>
      </w:r>
      <w:r>
        <w:rPr>
          <w:rFonts w:hint="eastAsia" w:ascii="仿宋" w:hAnsi="仿宋" w:eastAsia="仿宋" w:cs="仿宋_GB2312"/>
          <w:b w:val="0"/>
          <w:bCs w:val="0"/>
          <w:color w:val="000000"/>
          <w:kern w:val="0"/>
          <w:sz w:val="32"/>
          <w:szCs w:val="32"/>
        </w:rPr>
        <w:t>创新宣传形式，营造浓厚氛围</w:t>
      </w:r>
      <w:r>
        <w:rPr>
          <w:rFonts w:hint="eastAsia" w:ascii="仿宋" w:hAnsi="仿宋" w:eastAsia="仿宋" w:cs="仿宋_GB2312"/>
          <w:b w:val="0"/>
          <w:bCs w:val="0"/>
          <w:color w:val="000000"/>
          <w:kern w:val="0"/>
          <w:sz w:val="32"/>
          <w:szCs w:val="32"/>
          <w:lang w:eastAsia="zh-CN"/>
        </w:rPr>
        <w:t>；</w:t>
      </w:r>
      <w:r>
        <w:rPr>
          <w:rFonts w:hint="eastAsia" w:ascii="仿宋" w:hAnsi="仿宋" w:eastAsia="仿宋" w:cs="仿宋_GB2312"/>
          <w:b w:val="0"/>
          <w:bCs w:val="0"/>
          <w:color w:val="000000"/>
          <w:sz w:val="32"/>
          <w:szCs w:val="32"/>
        </w:rPr>
        <w:t>用好</w:t>
      </w:r>
      <w:r>
        <w:rPr>
          <w:rFonts w:hint="eastAsia" w:ascii="仿宋" w:hAnsi="仿宋" w:eastAsia="仿宋" w:cs="仿宋_GB2312"/>
          <w:b w:val="0"/>
          <w:bCs w:val="0"/>
          <w:color w:val="000000"/>
          <w:kern w:val="0"/>
          <w:sz w:val="32"/>
          <w:szCs w:val="32"/>
        </w:rPr>
        <w:t>宣传主阵地，</w:t>
      </w:r>
      <w:r>
        <w:rPr>
          <w:rFonts w:hint="eastAsia" w:ascii="仿宋" w:hAnsi="仿宋" w:eastAsia="仿宋" w:cs="仿宋_GB2312"/>
          <w:b w:val="0"/>
          <w:bCs w:val="0"/>
          <w:color w:val="000000"/>
          <w:sz w:val="32"/>
          <w:szCs w:val="32"/>
        </w:rPr>
        <w:t>推动驾驶人源头宣传教育</w:t>
      </w:r>
      <w:r>
        <w:rPr>
          <w:rFonts w:hint="eastAsia" w:ascii="仿宋" w:hAnsi="仿宋" w:eastAsia="仿宋" w:cs="仿宋_GB2312"/>
          <w:b w:val="0"/>
          <w:bCs w:val="0"/>
          <w:color w:val="000000"/>
          <w:sz w:val="32"/>
          <w:szCs w:val="32"/>
          <w:lang w:eastAsia="zh-CN"/>
        </w:rPr>
        <w:t>；</w:t>
      </w:r>
      <w:r>
        <w:rPr>
          <w:rFonts w:hint="eastAsia" w:ascii="仿宋" w:hAnsi="仿宋" w:eastAsia="仿宋" w:cs="仿宋_GB2312"/>
          <w:b w:val="0"/>
          <w:bCs w:val="0"/>
          <w:color w:val="000000"/>
          <w:sz w:val="32"/>
          <w:szCs w:val="32"/>
        </w:rPr>
        <w:t>持续开展“大曝光”，发挥社会监督作用</w:t>
      </w:r>
      <w:r>
        <w:rPr>
          <w:rFonts w:hint="eastAsia" w:ascii="仿宋" w:hAnsi="仿宋" w:eastAsia="仿宋" w:cs="仿宋_GB2312"/>
          <w:b w:val="0"/>
          <w:bCs w:val="0"/>
          <w:color w:val="000000"/>
          <w:sz w:val="32"/>
          <w:szCs w:val="32"/>
          <w:lang w:eastAsia="zh-CN"/>
        </w:rPr>
        <w:t>；</w:t>
      </w:r>
      <w:r>
        <w:rPr>
          <w:rFonts w:hint="eastAsia" w:ascii="仿宋" w:hAnsi="仿宋" w:eastAsia="仿宋" w:cs="仿宋_GB2312"/>
          <w:b w:val="0"/>
          <w:bCs w:val="0"/>
          <w:color w:val="000000"/>
          <w:sz w:val="32"/>
          <w:szCs w:val="32"/>
        </w:rPr>
        <w:t>抓好交通安全提示，促进安全意识提升。加强</w:t>
      </w:r>
      <w:r>
        <w:rPr>
          <w:rFonts w:hint="eastAsia" w:ascii="仿宋" w:hAnsi="仿宋" w:eastAsia="仿宋" w:cs="仿宋_GB2312"/>
          <w:b w:val="0"/>
          <w:bCs w:val="0"/>
          <w:color w:val="000000"/>
          <w:kern w:val="2"/>
          <w:sz w:val="32"/>
          <w:szCs w:val="32"/>
        </w:rPr>
        <w:t>典型宣传，</w:t>
      </w:r>
      <w:r>
        <w:rPr>
          <w:rFonts w:hint="eastAsia" w:ascii="仿宋" w:hAnsi="仿宋" w:eastAsia="仿宋" w:cs="仿宋_GB2312"/>
          <w:b w:val="0"/>
          <w:bCs w:val="0"/>
          <w:color w:val="000000"/>
          <w:sz w:val="32"/>
          <w:szCs w:val="32"/>
        </w:rPr>
        <w:t>积极做好</w:t>
      </w:r>
      <w:r>
        <w:rPr>
          <w:rFonts w:hint="eastAsia" w:ascii="仿宋" w:hAnsi="仿宋" w:eastAsia="仿宋" w:cs="仿宋_GB2312"/>
          <w:b w:val="0"/>
          <w:bCs w:val="0"/>
          <w:color w:val="000000"/>
          <w:kern w:val="2"/>
          <w:sz w:val="32"/>
          <w:szCs w:val="32"/>
        </w:rPr>
        <w:t>舆论引导。</w:t>
      </w:r>
      <w:r>
        <w:rPr>
          <w:rFonts w:hint="eastAsia" w:ascii="仿宋" w:hAnsi="仿宋" w:eastAsia="仿宋" w:cs="仿宋_GB2312"/>
          <w:b/>
          <w:color w:val="000000"/>
          <w:kern w:val="2"/>
          <w:sz w:val="32"/>
          <w:szCs w:val="32"/>
          <w:lang w:eastAsia="zh-CN"/>
        </w:rPr>
        <w:t>五是抓实社会协同共治行动。</w:t>
      </w:r>
      <w:r>
        <w:rPr>
          <w:rFonts w:hint="eastAsia" w:ascii="仿宋" w:hAnsi="仿宋" w:eastAsia="仿宋" w:cs="仿宋_GB2312"/>
          <w:b w:val="0"/>
          <w:bCs/>
          <w:color w:val="000000"/>
          <w:kern w:val="2"/>
          <w:sz w:val="32"/>
          <w:szCs w:val="32"/>
          <w:lang w:eastAsia="zh-CN"/>
        </w:rPr>
        <w:t>加强请示汇报协调，进一步压实党委政府领导责任、部门监管责任、企业主体责任，深化交通事故深度调查，突出事故防控重点地区，强化警示约谈，积极构建“警保联动”新模式、新机制。</w:t>
      </w:r>
    </w:p>
    <w:p w14:paraId="4E87115B">
      <w:pPr>
        <w:keepNext w:val="0"/>
        <w:keepLines w:val="0"/>
        <w:pageBreakBefore w:val="0"/>
        <w:widowControl w:val="0"/>
        <w:suppressLineNumbers w:val="0"/>
        <w:kinsoku/>
        <w:wordWrap w:val="0"/>
        <w:overflowPunct/>
        <w:topLinePunct w:val="0"/>
        <w:autoSpaceDE w:val="0"/>
        <w:autoSpaceDN/>
        <w:bidi w:val="0"/>
        <w:adjustRightInd/>
        <w:snapToGrid w:val="0"/>
        <w:spacing w:before="0" w:beforeLines="0" w:after="0" w:afterLines="0" w:afterAutospacing="0" w:line="600" w:lineRule="exact"/>
        <w:ind w:right="0" w:rightChars="0"/>
        <w:jc w:val="both"/>
        <w:textAlignment w:val="auto"/>
        <w:outlineLvl w:val="9"/>
        <w:rPr>
          <w:rFonts w:hint="eastAsia" w:ascii="仿宋" w:hAnsi="仿宋" w:eastAsia="仿宋" w:cs="仿宋_GB2312"/>
          <w:b w:val="0"/>
          <w:color w:val="000000"/>
          <w:kern w:val="0"/>
          <w:sz w:val="32"/>
          <w:szCs w:val="32"/>
          <w:u w:val="none"/>
          <w:shd w:val="clear" w:color="auto" w:fill="FFFFFF"/>
          <w:lang w:val="en-US" w:eastAsia="zh-CN"/>
        </w:rPr>
      </w:pPr>
      <w:r>
        <w:rPr>
          <w:rFonts w:hint="eastAsia" w:ascii="楷体" w:hAnsi="楷体" w:eastAsia="楷体" w:cs="仿宋_GB2312"/>
          <w:b/>
          <w:bCs/>
          <w:color w:val="000000"/>
          <w:sz w:val="32"/>
          <w:szCs w:val="32"/>
          <w:lang w:val="en-US" w:eastAsia="zh-CN"/>
        </w:rPr>
        <w:t xml:space="preserve">   （三）便民利民，扎实抓好“放管服”改革便民利民服务措施落实。</w:t>
      </w:r>
      <w:r>
        <w:rPr>
          <w:rFonts w:hint="eastAsia" w:ascii="仿宋" w:hAnsi="仿宋" w:eastAsia="仿宋" w:cs="仿宋_GB2312"/>
          <w:b/>
          <w:bCs/>
          <w:color w:val="000000"/>
          <w:sz w:val="32"/>
          <w:szCs w:val="32"/>
          <w:lang w:val="en-US" w:eastAsia="zh-CN"/>
        </w:rPr>
        <w:t>一是要提高思想认识。</w:t>
      </w:r>
      <w:r>
        <w:rPr>
          <w:rFonts w:hint="eastAsia" w:ascii="仿宋" w:hAnsi="仿宋" w:eastAsia="仿宋" w:cs="仿宋_GB2312"/>
          <w:b w:val="0"/>
          <w:bCs w:val="0"/>
          <w:color w:val="000000"/>
          <w:kern w:val="0"/>
          <w:sz w:val="32"/>
          <w:szCs w:val="32"/>
          <w:u w:val="none"/>
          <w:shd w:val="clear" w:color="auto" w:fill="FFFFFF"/>
          <w:lang w:val="en-US" w:eastAsia="zh-CN"/>
        </w:rPr>
        <w:t>支队、</w:t>
      </w:r>
      <w:r>
        <w:rPr>
          <w:rFonts w:hint="eastAsia" w:ascii="仿宋" w:hAnsi="仿宋" w:eastAsia="仿宋" w:cs="仿宋_GB2312"/>
          <w:b w:val="0"/>
          <w:color w:val="000000"/>
          <w:kern w:val="0"/>
          <w:sz w:val="32"/>
          <w:szCs w:val="32"/>
          <w:u w:val="none"/>
          <w:shd w:val="clear" w:color="auto" w:fill="FFFFFF"/>
          <w:lang w:val="en-US" w:eastAsia="zh-CN"/>
        </w:rPr>
        <w:t>各县市公安局交警大队要以省厅、州局部署的“治庸懒、强担当、树新风”主题实践为契机，认真对照德宏州公安局专题调研突出问题清单中涉及公安交警的内容，进一步增强紧迫感，细化分解任务，落实责任人，压实责任。要加强协调保障，积极做好人力、物力、财力保障，提前组织民警、辅警学习培训，确保理解到位、执行到位。针对进度迟缓、成效不明显的工作，深入分析原因，采取有效措施，确保按计划完成各项工作。</w:t>
      </w:r>
      <w:r>
        <w:rPr>
          <w:rFonts w:hint="eastAsia" w:ascii="仿宋" w:hAnsi="仿宋" w:eastAsia="仿宋" w:cs="仿宋_GB2312"/>
          <w:b/>
          <w:bCs/>
          <w:color w:val="000000"/>
          <w:kern w:val="0"/>
          <w:sz w:val="32"/>
          <w:szCs w:val="32"/>
          <w:u w:val="none"/>
          <w:shd w:val="clear" w:color="auto" w:fill="FFFFFF"/>
          <w:lang w:val="en-US" w:eastAsia="zh-CN"/>
        </w:rPr>
        <w:t>二是要放管结合，优化服务。</w:t>
      </w:r>
      <w:r>
        <w:rPr>
          <w:rFonts w:hint="eastAsia" w:ascii="仿宋" w:hAnsi="仿宋" w:eastAsia="仿宋" w:cs="仿宋_GB2312"/>
          <w:b w:val="0"/>
          <w:color w:val="000000"/>
          <w:kern w:val="0"/>
          <w:sz w:val="32"/>
          <w:szCs w:val="32"/>
          <w:u w:val="none"/>
          <w:shd w:val="clear" w:color="auto" w:fill="FFFFFF"/>
          <w:lang w:val="en-US" w:eastAsia="zh-CN"/>
        </w:rPr>
        <w:t>对各社会代办点的代办业务，要严格资格审查，加强业务培训，要确保放得下、接得住，保证业务规范、服务高效便民。</w:t>
      </w:r>
      <w:r>
        <w:rPr>
          <w:rFonts w:hint="eastAsia" w:ascii="仿宋" w:hAnsi="仿宋" w:eastAsia="仿宋" w:cs="仿宋_GB2312"/>
          <w:b/>
          <w:bCs/>
          <w:color w:val="000000"/>
          <w:kern w:val="0"/>
          <w:sz w:val="32"/>
          <w:szCs w:val="32"/>
          <w:u w:val="none"/>
          <w:shd w:val="clear" w:color="auto" w:fill="FFFFFF"/>
          <w:lang w:val="en-US" w:eastAsia="zh-CN"/>
        </w:rPr>
        <w:t>三是要健全监管机制。</w:t>
      </w:r>
      <w:r>
        <w:rPr>
          <w:rFonts w:hint="eastAsia" w:ascii="仿宋" w:hAnsi="仿宋" w:eastAsia="仿宋" w:cs="仿宋_GB2312"/>
          <w:b w:val="0"/>
          <w:color w:val="000000"/>
          <w:kern w:val="0"/>
          <w:sz w:val="32"/>
          <w:szCs w:val="32"/>
          <w:u w:val="none"/>
          <w:shd w:val="clear" w:color="auto" w:fill="FFFFFF"/>
          <w:lang w:val="en-US" w:eastAsia="zh-CN"/>
        </w:rPr>
        <w:t>充分利用科技手段强化日常监管，特别是对驾驶人考试、办理车辆检验报废、核发临牌等问题，要切实加强分析研判，建立完善监管、查处、问责的长效机制，对核实存在违法违纪情况的，要严格落实“一案双查”，既追究当事人责任，又倒查相关领导责任和监管责任，堵塞管理漏洞，提升车驾管业务规范化水平。</w:t>
      </w:r>
    </w:p>
    <w:p w14:paraId="5CBBA0A7">
      <w:pPr>
        <w:keepNext w:val="0"/>
        <w:keepLines w:val="0"/>
        <w:pageBreakBefore w:val="0"/>
        <w:widowControl w:val="0"/>
        <w:numPr>
          <w:ilvl w:val="0"/>
          <w:numId w:val="0"/>
        </w:numPr>
        <w:kinsoku/>
        <w:overflowPunct/>
        <w:topLinePunct w:val="0"/>
        <w:autoSpaceDN/>
        <w:bidi w:val="0"/>
        <w:adjustRightInd/>
        <w:spacing w:before="0" w:beforeLines="0" w:after="0" w:afterLines="0" w:line="600" w:lineRule="exact"/>
        <w:ind w:left="0" w:leftChars="0" w:right="0" w:rightChars="0"/>
        <w:textAlignment w:val="auto"/>
        <w:outlineLvl w:val="9"/>
        <w:rPr>
          <w:rFonts w:hint="eastAsia" w:ascii="仿宋" w:hAnsi="仿宋" w:eastAsia="仿宋" w:cs="仿宋_GB2312"/>
          <w:b w:val="0"/>
          <w:color w:val="000000"/>
          <w:kern w:val="0"/>
          <w:sz w:val="32"/>
          <w:szCs w:val="32"/>
          <w:u w:val="none"/>
          <w:shd w:val="clear" w:color="auto" w:fill="FFFFFF"/>
          <w:lang w:val="en-US" w:eastAsia="zh-CN"/>
        </w:rPr>
      </w:pPr>
      <w:r>
        <w:rPr>
          <w:rFonts w:hint="eastAsia" w:ascii="楷体" w:hAnsi="楷体" w:eastAsia="楷体" w:cs="仿宋_GB2312"/>
          <w:b/>
          <w:bCs/>
          <w:color w:val="000000"/>
          <w:sz w:val="32"/>
          <w:szCs w:val="32"/>
          <w:lang w:val="en-US" w:eastAsia="zh-CN"/>
        </w:rPr>
        <w:t xml:space="preserve">   （四）提高站位，扎实推进扫黑除恶专项斗争纵深开展。</w:t>
      </w:r>
      <w:r>
        <w:rPr>
          <w:rFonts w:hint="eastAsia" w:ascii="仿宋" w:hAnsi="仿宋" w:eastAsia="仿宋" w:cs="楷体_GB2312"/>
          <w:b/>
          <w:bCs/>
          <w:color w:val="000000"/>
          <w:sz w:val="32"/>
          <w:szCs w:val="32"/>
          <w:lang w:eastAsia="zh-CN"/>
        </w:rPr>
        <w:t>一是要</w:t>
      </w:r>
      <w:r>
        <w:rPr>
          <w:rFonts w:hint="eastAsia" w:ascii="仿宋" w:hAnsi="仿宋" w:eastAsia="仿宋" w:cs="仿宋_GB2312"/>
          <w:b/>
          <w:bCs/>
          <w:color w:val="000000"/>
          <w:sz w:val="32"/>
          <w:szCs w:val="32"/>
        </w:rPr>
        <w:t>进一步</w:t>
      </w:r>
      <w:r>
        <w:rPr>
          <w:rFonts w:hint="eastAsia" w:ascii="仿宋" w:hAnsi="仿宋" w:eastAsia="仿宋" w:cs="仿宋_GB2312"/>
          <w:b/>
          <w:bCs/>
          <w:color w:val="000000"/>
          <w:sz w:val="32"/>
          <w:szCs w:val="32"/>
          <w:lang w:eastAsia="zh-CN"/>
        </w:rPr>
        <w:t>统一思想、</w:t>
      </w:r>
      <w:r>
        <w:rPr>
          <w:rFonts w:hint="eastAsia" w:ascii="仿宋" w:hAnsi="仿宋" w:eastAsia="仿宋" w:cs="仿宋_GB2312"/>
          <w:b/>
          <w:bCs/>
          <w:color w:val="000000"/>
          <w:sz w:val="32"/>
          <w:szCs w:val="32"/>
        </w:rPr>
        <w:t>提高政治站位</w:t>
      </w:r>
      <w:r>
        <w:rPr>
          <w:rFonts w:hint="eastAsia" w:ascii="仿宋" w:hAnsi="仿宋" w:eastAsia="仿宋" w:cs="仿宋_GB2312"/>
          <w:b/>
          <w:bCs/>
          <w:color w:val="000000"/>
          <w:sz w:val="32"/>
          <w:szCs w:val="32"/>
          <w:lang w:eastAsia="zh-CN"/>
        </w:rPr>
        <w:t>。</w:t>
      </w:r>
      <w:r>
        <w:rPr>
          <w:rFonts w:hint="eastAsia" w:ascii="仿宋" w:hAnsi="仿宋" w:eastAsia="仿宋" w:cs="仿宋_GB2312"/>
          <w:color w:val="000000"/>
          <w:sz w:val="32"/>
          <w:szCs w:val="32"/>
        </w:rPr>
        <w:t>准确把握</w:t>
      </w:r>
      <w:r>
        <w:rPr>
          <w:rFonts w:hint="eastAsia" w:ascii="仿宋" w:hAnsi="仿宋" w:eastAsia="仿宋" w:cs="仿宋_GB2312"/>
          <w:b w:val="0"/>
          <w:bCs w:val="0"/>
          <w:color w:val="000000"/>
          <w:sz w:val="32"/>
          <w:szCs w:val="32"/>
        </w:rPr>
        <w:t>扫黑除恶专项斗争专项斗争</w:t>
      </w:r>
      <w:r>
        <w:rPr>
          <w:rFonts w:hint="eastAsia" w:ascii="仿宋" w:hAnsi="仿宋" w:eastAsia="仿宋" w:cs="仿宋_GB2312"/>
          <w:color w:val="000000"/>
          <w:sz w:val="32"/>
          <w:szCs w:val="32"/>
        </w:rPr>
        <w:t>精神实质和核心要义，</w:t>
      </w:r>
      <w:r>
        <w:rPr>
          <w:rFonts w:hint="eastAsia" w:ascii="仿宋" w:hAnsi="仿宋" w:eastAsia="仿宋" w:cs="仿宋"/>
          <w:color w:val="000000"/>
          <w:sz w:val="32"/>
          <w:szCs w:val="32"/>
        </w:rPr>
        <w:t>坚定开展扫黑除恶专项斗争的信心和决心，切实增强“四个意识”，充分发挥职能作用，以高度的政治责任感、历史使命感、工作紧迫感，层层压实责任，力争在道路交通安全领域扫黑除恶工作中抓出实效。</w:t>
      </w:r>
      <w:r>
        <w:rPr>
          <w:rFonts w:hint="eastAsia" w:ascii="仿宋" w:hAnsi="仿宋" w:eastAsia="仿宋" w:cs="楷体_GB2312"/>
          <w:b/>
          <w:bCs/>
          <w:color w:val="000000"/>
          <w:sz w:val="32"/>
          <w:szCs w:val="32"/>
          <w:lang w:eastAsia="zh-CN"/>
        </w:rPr>
        <w:t>二是要把握公安交警主责主业，</w:t>
      </w:r>
      <w:r>
        <w:rPr>
          <w:rFonts w:hint="eastAsia" w:ascii="仿宋" w:hAnsi="仿宋" w:eastAsia="仿宋" w:cs="楷体_GB2312"/>
          <w:b/>
          <w:bCs/>
          <w:color w:val="000000"/>
          <w:sz w:val="32"/>
          <w:szCs w:val="32"/>
        </w:rPr>
        <w:t>深挖线索摸排</w:t>
      </w:r>
      <w:r>
        <w:rPr>
          <w:rFonts w:hint="eastAsia" w:ascii="仿宋" w:hAnsi="仿宋" w:eastAsia="仿宋" w:cs="仿宋"/>
          <w:color w:val="000000"/>
          <w:sz w:val="32"/>
          <w:szCs w:val="32"/>
        </w:rPr>
        <w:t>。</w:t>
      </w:r>
      <w:r>
        <w:rPr>
          <w:rFonts w:hint="eastAsia" w:ascii="仿宋" w:hAnsi="仿宋" w:eastAsia="仿宋"/>
          <w:color w:val="000000"/>
          <w:sz w:val="32"/>
          <w:szCs w:val="32"/>
        </w:rPr>
        <w:t>把辖区“两客一危”运输企业作为隐患排查的重点企业，定期对违法未处理、逾期未检验、达到报废标准、安全技术条件达不到要求的车辆进行梳理，确保车辆隐患“扼杀”在源头。组织警力深入容易发生黑恶势力的客企业、驾校，组织客运公司、货运公司、驾校负责人以及骨干工作人员进行扫黑除恶专项斗争宣传工作，确保入脑入心。要求客、货运输企业坚决杜绝垄断经营、非法营运、煽动驾驶员罢运、组织策划非法上访事件等行为，呼吁企业向违法犯罪行为</w:t>
      </w:r>
      <w:r>
        <w:rPr>
          <w:rFonts w:hint="eastAsia" w:ascii="仿宋" w:hAnsi="仿宋" w:eastAsia="仿宋"/>
          <w:color w:val="000000"/>
          <w:sz w:val="32"/>
          <w:szCs w:val="32"/>
          <w:lang w:val="en-US" w:eastAsia="zh-CN"/>
        </w:rPr>
        <w:t>作</w:t>
      </w:r>
      <w:r>
        <w:rPr>
          <w:rFonts w:hint="eastAsia" w:ascii="仿宋" w:hAnsi="仿宋" w:eastAsia="仿宋"/>
          <w:color w:val="000000"/>
          <w:sz w:val="32"/>
          <w:szCs w:val="32"/>
        </w:rPr>
        <w:t>斗争。</w:t>
      </w:r>
      <w:r>
        <w:rPr>
          <w:rFonts w:hint="eastAsia" w:ascii="仿宋" w:hAnsi="仿宋" w:eastAsia="仿宋" w:cs="仿宋_GB2312"/>
          <w:color w:val="000000"/>
          <w:sz w:val="32"/>
          <w:szCs w:val="32"/>
        </w:rPr>
        <w:t>重点排查买分卖分，以“消分”、“代扣分”等名义欺骗群众、扰乱公共秩序等违法行为。全面排查当事人因处理交通事故故意煽动群众围堵交警部门影响正常办公秩序，恶意攻击事故处理民警等方面的黑恶势力线索</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依托缉查布控系统重点加强假牌、套牌车辆的摸排，在查获的假牌、套牌车辆要重点排查是否存在涉黑、涉恶情形。</w:t>
      </w:r>
      <w:r>
        <w:rPr>
          <w:rFonts w:hint="eastAsia" w:ascii="仿宋" w:hAnsi="仿宋" w:eastAsia="仿宋" w:cs="楷体_GB2312"/>
          <w:b/>
          <w:bCs/>
          <w:color w:val="000000"/>
          <w:sz w:val="32"/>
          <w:szCs w:val="32"/>
          <w:lang w:eastAsia="zh-CN"/>
        </w:rPr>
        <w:t>三是要结合公安交警实际</w:t>
      </w:r>
      <w:r>
        <w:rPr>
          <w:rFonts w:hint="eastAsia" w:ascii="仿宋" w:hAnsi="仿宋" w:eastAsia="仿宋" w:cs="楷体_GB2312"/>
          <w:b/>
          <w:bCs/>
          <w:color w:val="000000"/>
          <w:sz w:val="32"/>
          <w:szCs w:val="32"/>
        </w:rPr>
        <w:t>持续开展</w:t>
      </w:r>
      <w:r>
        <w:rPr>
          <w:rFonts w:hint="eastAsia" w:ascii="仿宋" w:hAnsi="仿宋" w:eastAsia="仿宋" w:cs="楷体_GB2312"/>
          <w:b/>
          <w:bCs/>
          <w:color w:val="000000"/>
          <w:sz w:val="32"/>
          <w:szCs w:val="32"/>
          <w:lang w:eastAsia="zh-CN"/>
        </w:rPr>
        <w:t>乱点</w:t>
      </w:r>
      <w:r>
        <w:rPr>
          <w:rFonts w:hint="eastAsia" w:ascii="仿宋" w:hAnsi="仿宋" w:eastAsia="仿宋" w:cs="楷体_GB2312"/>
          <w:b/>
          <w:bCs/>
          <w:color w:val="000000"/>
          <w:sz w:val="32"/>
          <w:szCs w:val="32"/>
        </w:rPr>
        <w:t>大整治</w:t>
      </w:r>
      <w:r>
        <w:rPr>
          <w:rFonts w:hint="eastAsia" w:ascii="仿宋" w:hAnsi="仿宋" w:eastAsia="仿宋" w:cs="楷体_GB2312"/>
          <w:b/>
          <w:bCs/>
          <w:color w:val="000000"/>
          <w:sz w:val="32"/>
          <w:szCs w:val="32"/>
          <w:lang w:eastAsia="zh-CN"/>
        </w:rPr>
        <w:t>，营造强大声势</w:t>
      </w:r>
      <w:r>
        <w:rPr>
          <w:rFonts w:hint="eastAsia" w:ascii="仿宋" w:hAnsi="仿宋" w:eastAsia="仿宋" w:cs="楷体_GB2312"/>
          <w:b/>
          <w:bCs/>
          <w:color w:val="000000"/>
          <w:sz w:val="32"/>
          <w:szCs w:val="32"/>
        </w:rPr>
        <w:t>。</w:t>
      </w:r>
      <w:r>
        <w:rPr>
          <w:rFonts w:hint="eastAsia" w:ascii="仿宋" w:hAnsi="仿宋" w:eastAsia="仿宋" w:cs="仿宋"/>
          <w:color w:val="000000"/>
          <w:sz w:val="32"/>
          <w:szCs w:val="32"/>
        </w:rPr>
        <w:t>按照“有黑扫黑、有恶除恶、有乱治乱”的工作要求，</w:t>
      </w:r>
      <w:r>
        <w:rPr>
          <w:rFonts w:hint="eastAsia" w:ascii="仿宋" w:hAnsi="仿宋" w:eastAsia="仿宋" w:cs="仿宋"/>
          <w:b/>
          <w:bCs/>
          <w:color w:val="000000"/>
          <w:sz w:val="32"/>
          <w:szCs w:val="32"/>
        </w:rPr>
        <w:t>坚持</w:t>
      </w:r>
      <w:r>
        <w:rPr>
          <w:rFonts w:hint="eastAsia" w:ascii="仿宋" w:hAnsi="仿宋" w:eastAsia="仿宋" w:cs="仿宋"/>
          <w:color w:val="000000"/>
          <w:sz w:val="32"/>
          <w:szCs w:val="32"/>
        </w:rPr>
        <w:t>日常严管与专项打击、全州统一集中整治、区域联治相结合，</w:t>
      </w:r>
      <w:r>
        <w:rPr>
          <w:rFonts w:hint="eastAsia" w:ascii="仿宋" w:hAnsi="仿宋" w:eastAsia="仿宋" w:cs="仿宋"/>
          <w:b/>
          <w:bCs/>
          <w:color w:val="000000"/>
          <w:sz w:val="32"/>
          <w:szCs w:val="32"/>
        </w:rPr>
        <w:t>坚持</w:t>
      </w:r>
      <w:r>
        <w:rPr>
          <w:rFonts w:hint="eastAsia" w:ascii="仿宋" w:hAnsi="仿宋" w:eastAsia="仿宋" w:cs="仿宋"/>
          <w:color w:val="000000"/>
          <w:sz w:val="32"/>
          <w:szCs w:val="32"/>
        </w:rPr>
        <w:t>严格执法与广泛宣传、源头劝导、曝光惩戒相结合，</w:t>
      </w:r>
      <w:r>
        <w:rPr>
          <w:rFonts w:hint="eastAsia" w:ascii="仿宋" w:hAnsi="仿宋" w:eastAsia="仿宋" w:cs="仿宋"/>
          <w:b/>
          <w:bCs/>
          <w:color w:val="000000"/>
          <w:sz w:val="32"/>
          <w:szCs w:val="32"/>
        </w:rPr>
        <w:t>坚持</w:t>
      </w:r>
      <w:r>
        <w:rPr>
          <w:rFonts w:hint="eastAsia" w:ascii="仿宋" w:hAnsi="仿宋" w:eastAsia="仿宋" w:cs="仿宋"/>
          <w:color w:val="000000"/>
          <w:sz w:val="32"/>
          <w:szCs w:val="32"/>
        </w:rPr>
        <w:t>定点查缉与流动执法、滚动巡逻、精准拦截相结合，持续保持对酒驾、醉驾、无证、超速、超员、超载等易致祸致乱的严重道路交通违法犯罪行为采取严打高压态势，彻底铲除交通管理领域黑恶违法犯罪滋生土壤。</w:t>
      </w:r>
      <w:r>
        <w:rPr>
          <w:rFonts w:hint="eastAsia" w:ascii="仿宋" w:hAnsi="仿宋" w:eastAsia="仿宋" w:cs="仿宋"/>
          <w:b/>
          <w:bCs/>
          <w:color w:val="000000"/>
          <w:sz w:val="32"/>
          <w:szCs w:val="32"/>
          <w:lang w:eastAsia="zh-CN"/>
        </w:rPr>
        <w:t>四是要把</w:t>
      </w:r>
      <w:r>
        <w:rPr>
          <w:rFonts w:hint="eastAsia" w:ascii="仿宋" w:hAnsi="仿宋" w:eastAsia="仿宋" w:cs="仿宋"/>
          <w:b/>
          <w:bCs/>
          <w:color w:val="000000"/>
          <w:sz w:val="32"/>
          <w:szCs w:val="32"/>
        </w:rPr>
        <w:t>中央督导作为推动工作的重大契机</w:t>
      </w:r>
      <w:r>
        <w:rPr>
          <w:rFonts w:hint="eastAsia" w:ascii="仿宋" w:hAnsi="仿宋" w:eastAsia="仿宋" w:cs="仿宋"/>
          <w:b/>
          <w:bCs/>
          <w:color w:val="000000"/>
          <w:sz w:val="32"/>
          <w:szCs w:val="32"/>
          <w:lang w:eastAsia="zh-CN"/>
        </w:rPr>
        <w:t>。</w:t>
      </w:r>
      <w:r>
        <w:rPr>
          <w:rFonts w:hint="eastAsia" w:ascii="仿宋" w:hAnsi="仿宋" w:eastAsia="仿宋" w:cs="仿宋"/>
          <w:color w:val="000000"/>
          <w:sz w:val="32"/>
          <w:szCs w:val="32"/>
        </w:rPr>
        <w:t>进一步加大与行业监管部门间的协作配合，进一步完善涉黑涉恶线索发现移交、行业监管漏洞通报整改机制，全面开展对交通领域的涉黑涉恶滋生土地大清理、大整治，达到彻底铲除目的。</w:t>
      </w:r>
      <w:r>
        <w:rPr>
          <w:rFonts w:hint="eastAsia" w:ascii="仿宋" w:hAnsi="仿宋" w:eastAsia="仿宋"/>
          <w:b/>
          <w:color w:val="000000"/>
          <w:sz w:val="32"/>
          <w:szCs w:val="32"/>
          <w:lang w:eastAsia="zh-CN"/>
        </w:rPr>
        <w:t>五是要</w:t>
      </w:r>
      <w:r>
        <w:rPr>
          <w:rFonts w:hint="eastAsia" w:ascii="仿宋" w:hAnsi="仿宋" w:eastAsia="仿宋"/>
          <w:b/>
          <w:color w:val="000000"/>
          <w:sz w:val="32"/>
          <w:szCs w:val="32"/>
        </w:rPr>
        <w:t>强化支队</w:t>
      </w:r>
      <w:r>
        <w:rPr>
          <w:rFonts w:hint="eastAsia" w:ascii="仿宋" w:hAnsi="仿宋" w:eastAsia="仿宋"/>
          <w:b/>
          <w:color w:val="000000"/>
          <w:sz w:val="32"/>
          <w:szCs w:val="32"/>
          <w:lang w:eastAsia="zh-CN"/>
        </w:rPr>
        <w:t>、大队</w:t>
      </w:r>
      <w:r>
        <w:rPr>
          <w:rFonts w:hint="eastAsia" w:ascii="仿宋" w:hAnsi="仿宋" w:eastAsia="仿宋"/>
          <w:b/>
          <w:color w:val="000000"/>
          <w:sz w:val="32"/>
          <w:szCs w:val="32"/>
        </w:rPr>
        <w:t>扫黑办统筹协调作用。</w:t>
      </w:r>
      <w:r>
        <w:rPr>
          <w:rFonts w:hint="eastAsia" w:ascii="仿宋" w:hAnsi="仿宋" w:eastAsia="仿宋"/>
          <w:color w:val="000000"/>
          <w:sz w:val="32"/>
          <w:szCs w:val="32"/>
        </w:rPr>
        <w:t>进一步完善</w:t>
      </w:r>
      <w:bookmarkStart w:id="0" w:name="OLE_LINK14"/>
      <w:r>
        <w:rPr>
          <w:rFonts w:hint="eastAsia" w:ascii="仿宋" w:hAnsi="仿宋" w:eastAsia="仿宋"/>
          <w:color w:val="000000"/>
          <w:sz w:val="32"/>
          <w:szCs w:val="32"/>
        </w:rPr>
        <w:t>责任</w:t>
      </w:r>
      <w:bookmarkEnd w:id="0"/>
      <w:r>
        <w:rPr>
          <w:rFonts w:hint="eastAsia" w:ascii="仿宋" w:hAnsi="仿宋" w:eastAsia="仿宋"/>
          <w:color w:val="000000"/>
          <w:sz w:val="32"/>
          <w:szCs w:val="32"/>
        </w:rPr>
        <w:t>体系，加强统筹协调，按照《德宏州公安局交警支队落实中央扫黑除恶第20督导组工作通报对接会边督边整改包保责任制》、《德宏州公安机关交警部门开展扫黑除恶专项斗争责任书》和</w:t>
      </w:r>
      <w:r>
        <w:rPr>
          <w:rFonts w:hint="eastAsia" w:ascii="仿宋" w:hAnsi="仿宋" w:eastAsia="仿宋" w:cs="仿宋_GB2312"/>
          <w:color w:val="000000"/>
          <w:sz w:val="32"/>
          <w:szCs w:val="32"/>
        </w:rPr>
        <w:t>《</w:t>
      </w:r>
      <w:r>
        <w:rPr>
          <w:rFonts w:hint="eastAsia" w:ascii="仿宋" w:hAnsi="仿宋" w:eastAsia="仿宋" w:cs="黑体"/>
          <w:bCs/>
          <w:color w:val="000000"/>
          <w:sz w:val="32"/>
          <w:szCs w:val="32"/>
        </w:rPr>
        <w:t>德宏州公安局交警支队扫黑除恶专项斗争任务分解通知</w:t>
      </w:r>
      <w:r>
        <w:rPr>
          <w:rFonts w:hint="eastAsia" w:ascii="仿宋" w:hAnsi="仿宋" w:eastAsia="仿宋" w:cs="仿宋_GB2312"/>
          <w:color w:val="000000"/>
          <w:sz w:val="32"/>
          <w:szCs w:val="32"/>
        </w:rPr>
        <w:t>》等</w:t>
      </w:r>
      <w:r>
        <w:rPr>
          <w:rFonts w:hint="eastAsia" w:ascii="仿宋" w:hAnsi="仿宋" w:eastAsia="仿宋" w:cs="仿宋_GB2312"/>
          <w:color w:val="000000"/>
          <w:sz w:val="32"/>
          <w:szCs w:val="32"/>
          <w:lang w:eastAsia="zh-CN"/>
        </w:rPr>
        <w:t>要求，</w:t>
      </w:r>
      <w:r>
        <w:rPr>
          <w:rFonts w:hint="eastAsia" w:ascii="仿宋" w:hAnsi="仿宋" w:eastAsia="仿宋"/>
          <w:color w:val="000000"/>
          <w:sz w:val="32"/>
          <w:szCs w:val="32"/>
        </w:rPr>
        <w:t>压实</w:t>
      </w:r>
      <w:r>
        <w:rPr>
          <w:rFonts w:hint="eastAsia" w:ascii="仿宋" w:hAnsi="仿宋" w:eastAsia="仿宋"/>
          <w:color w:val="000000"/>
          <w:sz w:val="32"/>
          <w:szCs w:val="32"/>
          <w:lang w:eastAsia="zh-CN"/>
        </w:rPr>
        <w:t>各级</w:t>
      </w:r>
      <w:r>
        <w:rPr>
          <w:rFonts w:hint="eastAsia" w:ascii="仿宋" w:hAnsi="仿宋" w:eastAsia="仿宋"/>
          <w:color w:val="000000"/>
          <w:sz w:val="32"/>
          <w:szCs w:val="32"/>
        </w:rPr>
        <w:t>各部门职责，整合全警数据资源、人力资源，形成单个侧重</w:t>
      </w:r>
      <w:r>
        <w:rPr>
          <w:rFonts w:hint="eastAsia" w:ascii="仿宋" w:hAnsi="仿宋" w:eastAsia="仿宋"/>
          <w:color w:val="000000"/>
          <w:sz w:val="32"/>
          <w:szCs w:val="32"/>
          <w:lang w:eastAsia="zh-CN"/>
        </w:rPr>
        <w:t>、</w:t>
      </w:r>
      <w:r>
        <w:rPr>
          <w:rFonts w:hint="eastAsia" w:ascii="仿宋" w:hAnsi="仿宋" w:eastAsia="仿宋"/>
          <w:color w:val="000000"/>
          <w:sz w:val="32"/>
          <w:szCs w:val="32"/>
        </w:rPr>
        <w:t>整体联动</w:t>
      </w:r>
      <w:r>
        <w:rPr>
          <w:rFonts w:hint="eastAsia" w:ascii="仿宋" w:hAnsi="仿宋" w:eastAsia="仿宋"/>
          <w:color w:val="000000"/>
          <w:sz w:val="32"/>
          <w:szCs w:val="32"/>
          <w:lang w:eastAsia="zh-CN"/>
        </w:rPr>
        <w:t>、</w:t>
      </w:r>
      <w:r>
        <w:rPr>
          <w:rFonts w:hint="eastAsia" w:ascii="仿宋" w:hAnsi="仿宋" w:eastAsia="仿宋"/>
          <w:color w:val="000000"/>
          <w:sz w:val="32"/>
          <w:szCs w:val="32"/>
        </w:rPr>
        <w:t>通力配合的工作格局。</w:t>
      </w:r>
    </w:p>
    <w:p w14:paraId="5985DFED">
      <w:pPr>
        <w:keepNext w:val="0"/>
        <w:keepLines w:val="0"/>
        <w:pageBreakBefore w:val="0"/>
        <w:kinsoku/>
        <w:wordWrap/>
        <w:overflowPunct/>
        <w:topLinePunct w:val="0"/>
        <w:autoSpaceDE/>
        <w:autoSpaceDN/>
        <w:bidi w:val="0"/>
        <w:adjustRightInd/>
        <w:snapToGrid/>
        <w:spacing w:before="0" w:beforeLines="0" w:after="0" w:afterLines="0" w:line="600" w:lineRule="exact"/>
        <w:ind w:right="0" w:rightChars="0" w:firstLine="643" w:firstLineChars="200"/>
        <w:textAlignment w:val="auto"/>
        <w:outlineLvl w:val="9"/>
        <w:rPr>
          <w:rFonts w:hint="eastAsia" w:ascii="仿宋" w:hAnsi="仿宋" w:eastAsia="仿宋"/>
          <w:b w:val="0"/>
          <w:snapToGrid/>
          <w:color w:val="000000"/>
          <w:kern w:val="2"/>
          <w:sz w:val="32"/>
          <w:shd w:val="clear" w:color="auto" w:fill="FFFFFF"/>
        </w:rPr>
      </w:pPr>
      <w:r>
        <w:rPr>
          <w:rFonts w:hint="eastAsia" w:ascii="楷体" w:hAnsi="楷体" w:eastAsia="楷体" w:cs="仿宋_GB2312"/>
          <w:b/>
          <w:bCs/>
          <w:color w:val="000000"/>
          <w:sz w:val="32"/>
          <w:szCs w:val="32"/>
          <w:lang w:val="en-US" w:eastAsia="zh-CN"/>
        </w:rPr>
        <w:t>（五）忠诚担当</w:t>
      </w:r>
      <w:r>
        <w:rPr>
          <w:rFonts w:hint="eastAsia" w:ascii="楷体" w:hAnsi="楷体" w:eastAsia="楷体"/>
          <w:b/>
          <w:color w:val="000000"/>
          <w:sz w:val="32"/>
          <w:szCs w:val="32"/>
        </w:rPr>
        <w:t>，着力建设</w:t>
      </w:r>
      <w:r>
        <w:rPr>
          <w:rFonts w:hint="eastAsia" w:ascii="楷体" w:hAnsi="楷体" w:eastAsia="楷体"/>
          <w:b/>
          <w:color w:val="000000"/>
          <w:sz w:val="32"/>
          <w:szCs w:val="32"/>
          <w:lang w:eastAsia="zh-CN"/>
        </w:rPr>
        <w:t>新时代</w:t>
      </w:r>
      <w:r>
        <w:rPr>
          <w:rFonts w:hint="eastAsia" w:ascii="楷体" w:hAnsi="楷体" w:eastAsia="楷体"/>
          <w:b/>
          <w:color w:val="000000"/>
          <w:sz w:val="32"/>
          <w:szCs w:val="32"/>
        </w:rPr>
        <w:t>过硬公安交警队伍</w:t>
      </w:r>
      <w:r>
        <w:rPr>
          <w:rFonts w:hint="eastAsia" w:ascii="楷体" w:hAnsi="楷体" w:eastAsia="楷体"/>
          <w:b/>
          <w:color w:val="000000"/>
          <w:sz w:val="32"/>
          <w:szCs w:val="32"/>
          <w:lang w:eastAsia="zh-CN"/>
        </w:rPr>
        <w:t>。</w:t>
      </w:r>
      <w:r>
        <w:rPr>
          <w:rFonts w:hint="eastAsia" w:ascii="仿宋_GB2312" w:hAnsi="仿宋_GB2312" w:eastAsia="仿宋_GB2312"/>
          <w:b w:val="0"/>
          <w:bCs/>
          <w:color w:val="000000"/>
          <w:sz w:val="32"/>
          <w:szCs w:val="32"/>
          <w:lang w:eastAsia="zh-CN"/>
        </w:rPr>
        <w:t>深入学习贯彻习近平新时代中国特色社会主义思想，以党的十九大</w:t>
      </w:r>
      <w:r>
        <w:rPr>
          <w:rFonts w:hint="eastAsia" w:ascii="仿宋_GB2312" w:hAnsi="仿宋_GB2312" w:eastAsia="仿宋_GB2312"/>
          <w:b w:val="0"/>
          <w:bCs/>
          <w:color w:val="000000"/>
          <w:sz w:val="32"/>
          <w:szCs w:val="32"/>
          <w:lang w:val="en-US" w:eastAsia="zh-CN"/>
        </w:rPr>
        <w:t>和</w:t>
      </w:r>
      <w:bookmarkStart w:id="1" w:name="_GoBack"/>
      <w:bookmarkEnd w:id="1"/>
      <w:r>
        <w:rPr>
          <w:rFonts w:hint="eastAsia" w:ascii="仿宋_GB2312" w:hAnsi="仿宋_GB2312" w:eastAsia="仿宋_GB2312"/>
          <w:b w:val="0"/>
          <w:bCs/>
          <w:color w:val="000000"/>
          <w:sz w:val="32"/>
          <w:szCs w:val="32"/>
          <w:lang w:eastAsia="zh-CN"/>
        </w:rPr>
        <w:t>十九届四中全会精神为指导，</w:t>
      </w:r>
      <w:r>
        <w:rPr>
          <w:rFonts w:hint="eastAsia" w:ascii="仿宋" w:hAnsi="仿宋" w:eastAsia="仿宋" w:cs="宋体"/>
          <w:b w:val="0"/>
          <w:bCs/>
          <w:color w:val="000000"/>
          <w:kern w:val="0"/>
          <w:sz w:val="32"/>
          <w:lang w:eastAsia="zh-CN"/>
        </w:rPr>
        <w:t>牢牢把握政治建警的首要任务、牢牢把握政治建设的重大原则、牢牢把握政治建设的实践要求，</w:t>
      </w:r>
      <w:r>
        <w:rPr>
          <w:rFonts w:hint="eastAsia" w:ascii="Times New Roman" w:hAnsi="Times New Roman" w:eastAsia="仿宋"/>
          <w:color w:val="000000"/>
          <w:sz w:val="32"/>
          <w:szCs w:val="32"/>
          <w:lang w:eastAsia="zh-CN"/>
        </w:rPr>
        <w:t>把抓班子、带队伍作为分内之事、应尽之责，两手抓、两手硬，努力打造一支过硬的公安交警队伍，为</w:t>
      </w:r>
      <w:r>
        <w:rPr>
          <w:rFonts w:hint="eastAsia" w:ascii="仿宋" w:hAnsi="仿宋" w:eastAsia="仿宋" w:cs="宋体"/>
          <w:b w:val="0"/>
          <w:bCs w:val="0"/>
          <w:color w:val="000000"/>
          <w:kern w:val="0"/>
          <w:sz w:val="32"/>
          <w:lang w:eastAsia="zh-CN"/>
        </w:rPr>
        <w:t>公安改革的顺利推进做好做足准备。</w:t>
      </w:r>
      <w:r>
        <w:rPr>
          <w:rFonts w:hint="eastAsia" w:ascii="仿宋" w:hAnsi="仿宋" w:eastAsia="仿宋"/>
          <w:b/>
          <w:bCs/>
          <w:color w:val="000000"/>
          <w:sz w:val="32"/>
          <w:lang w:eastAsia="zh-CN"/>
        </w:rPr>
        <w:t>一是要</w:t>
      </w:r>
      <w:r>
        <w:rPr>
          <w:rFonts w:hint="eastAsia" w:ascii="仿宋" w:hAnsi="仿宋" w:eastAsia="仿宋"/>
          <w:b/>
          <w:bCs/>
          <w:snapToGrid/>
          <w:color w:val="000000"/>
          <w:kern w:val="2"/>
          <w:sz w:val="32"/>
          <w:shd w:val="clear" w:color="auto" w:fill="FFFFFF"/>
          <w:lang w:eastAsia="zh-CN"/>
        </w:rPr>
        <w:t>提</w:t>
      </w:r>
      <w:r>
        <w:rPr>
          <w:rFonts w:hint="eastAsia" w:ascii="仿宋" w:hAnsi="仿宋" w:eastAsia="仿宋"/>
          <w:b/>
          <w:bCs/>
          <w:snapToGrid/>
          <w:color w:val="000000"/>
          <w:kern w:val="2"/>
          <w:sz w:val="32"/>
          <w:shd w:val="clear" w:color="auto" w:fill="FFFFFF"/>
          <w:lang w:val="en-US" w:eastAsia="zh-CN"/>
        </w:rPr>
        <w:t>高</w:t>
      </w:r>
      <w:r>
        <w:rPr>
          <w:rFonts w:hint="eastAsia" w:ascii="仿宋" w:hAnsi="仿宋" w:eastAsia="仿宋"/>
          <w:b/>
          <w:bCs/>
          <w:snapToGrid/>
          <w:color w:val="000000"/>
          <w:kern w:val="2"/>
          <w:sz w:val="32"/>
          <w:shd w:val="clear" w:color="auto" w:fill="FFFFFF"/>
          <w:lang w:eastAsia="zh-CN"/>
        </w:rPr>
        <w:t>政治站位，统一全警思想，</w:t>
      </w:r>
      <w:r>
        <w:rPr>
          <w:rFonts w:hint="eastAsia" w:ascii="仿宋" w:hAnsi="仿宋" w:eastAsia="仿宋"/>
          <w:b/>
          <w:bCs/>
          <w:color w:val="000000"/>
          <w:sz w:val="32"/>
          <w:lang w:eastAsia="zh-CN"/>
        </w:rPr>
        <w:t>扎实开展“不忘初心、牢记使命”</w:t>
      </w:r>
      <w:r>
        <w:rPr>
          <w:rFonts w:hint="eastAsia" w:ascii="仿宋" w:hAnsi="仿宋" w:eastAsia="仿宋"/>
          <w:b/>
          <w:bCs/>
          <w:color w:val="000000"/>
          <w:sz w:val="32"/>
          <w:lang w:val="en-US" w:eastAsia="zh-CN"/>
        </w:rPr>
        <w:t>主题</w:t>
      </w:r>
      <w:r>
        <w:rPr>
          <w:rFonts w:hint="eastAsia" w:ascii="仿宋" w:hAnsi="仿宋" w:eastAsia="仿宋"/>
          <w:b/>
          <w:bCs/>
          <w:color w:val="000000"/>
          <w:sz w:val="32"/>
          <w:lang w:eastAsia="zh-CN"/>
        </w:rPr>
        <w:t>教育及“治庸懒、强担当、树新风”主题实践。</w:t>
      </w:r>
      <w:r>
        <w:rPr>
          <w:rFonts w:hint="eastAsia" w:ascii="仿宋" w:hAnsi="仿宋" w:eastAsia="仿宋"/>
          <w:b w:val="0"/>
          <w:bCs w:val="0"/>
          <w:snapToGrid/>
          <w:color w:val="000000"/>
          <w:kern w:val="2"/>
          <w:sz w:val="32"/>
          <w:shd w:val="clear" w:color="auto" w:fill="FFFFFF"/>
        </w:rPr>
        <w:t>要提高政治站位和责任担当，</w:t>
      </w:r>
      <w:r>
        <w:rPr>
          <w:rFonts w:hint="eastAsia" w:ascii="仿宋" w:hAnsi="仿宋" w:eastAsia="仿宋"/>
          <w:b w:val="0"/>
          <w:bCs w:val="0"/>
          <w:snapToGrid/>
          <w:color w:val="000000"/>
          <w:kern w:val="2"/>
          <w:sz w:val="32"/>
          <w:shd w:val="clear" w:color="auto" w:fill="FFFFFF"/>
          <w:lang w:eastAsia="zh-CN"/>
        </w:rPr>
        <w:t>深入思想发动，进一步</w:t>
      </w:r>
      <w:r>
        <w:rPr>
          <w:rFonts w:hint="eastAsia" w:ascii="仿宋" w:hAnsi="仿宋" w:eastAsia="仿宋"/>
          <w:b w:val="0"/>
          <w:bCs w:val="0"/>
          <w:snapToGrid/>
          <w:color w:val="000000"/>
          <w:kern w:val="2"/>
          <w:sz w:val="32"/>
          <w:shd w:val="clear" w:color="auto" w:fill="FFFFFF"/>
        </w:rPr>
        <w:t>把全体民警的思想和行动统一到</w:t>
      </w:r>
      <w:r>
        <w:rPr>
          <w:rFonts w:hint="eastAsia" w:ascii="仿宋" w:hAnsi="仿宋" w:eastAsia="仿宋"/>
          <w:b w:val="0"/>
          <w:bCs w:val="0"/>
          <w:snapToGrid/>
          <w:color w:val="000000"/>
          <w:kern w:val="2"/>
          <w:sz w:val="32"/>
          <w:shd w:val="clear" w:color="auto" w:fill="FFFFFF"/>
          <w:lang w:eastAsia="zh-CN"/>
        </w:rPr>
        <w:t>省厅</w:t>
      </w:r>
      <w:r>
        <w:rPr>
          <w:rFonts w:hint="eastAsia" w:ascii="仿宋" w:hAnsi="仿宋" w:eastAsia="仿宋"/>
          <w:b w:val="0"/>
          <w:bCs w:val="0"/>
          <w:snapToGrid/>
          <w:color w:val="000000"/>
          <w:kern w:val="2"/>
          <w:sz w:val="32"/>
          <w:shd w:val="clear" w:color="auto" w:fill="FFFFFF"/>
        </w:rPr>
        <w:t>党委、</w:t>
      </w:r>
      <w:r>
        <w:rPr>
          <w:rFonts w:hint="eastAsia" w:ascii="仿宋" w:hAnsi="仿宋" w:eastAsia="仿宋"/>
          <w:b w:val="0"/>
          <w:bCs w:val="0"/>
          <w:snapToGrid/>
          <w:color w:val="000000"/>
          <w:kern w:val="2"/>
          <w:sz w:val="32"/>
          <w:shd w:val="clear" w:color="auto" w:fill="FFFFFF"/>
          <w:lang w:eastAsia="zh-CN"/>
        </w:rPr>
        <w:t>州局</w:t>
      </w:r>
      <w:r>
        <w:rPr>
          <w:rFonts w:hint="eastAsia" w:ascii="仿宋" w:hAnsi="仿宋" w:eastAsia="仿宋"/>
          <w:b w:val="0"/>
          <w:bCs w:val="0"/>
          <w:snapToGrid/>
          <w:color w:val="000000"/>
          <w:kern w:val="2"/>
          <w:sz w:val="32"/>
          <w:shd w:val="clear" w:color="auto" w:fill="FFFFFF"/>
        </w:rPr>
        <w:t>党委的决策部署上来，进一步严明纪律作风，坚决克服厌战、松懈、麻痹思想，坚决纠治解决工作不在状态和“软、懒、散”等问题，坚决杜绝队伍“大、恶、丑”案件发生。</w:t>
      </w:r>
      <w:r>
        <w:rPr>
          <w:rFonts w:hint="eastAsia" w:ascii="仿宋" w:hAnsi="仿宋" w:eastAsia="仿宋"/>
          <w:b/>
          <w:bCs/>
          <w:snapToGrid/>
          <w:color w:val="000000"/>
          <w:kern w:val="2"/>
          <w:sz w:val="32"/>
          <w:shd w:val="clear" w:color="auto" w:fill="FFFFFF"/>
          <w:lang w:eastAsia="zh-CN"/>
        </w:rPr>
        <w:t>二是要紧扣重要任务，聚集主题主线，不断激发队伍生动活力。</w:t>
      </w:r>
      <w:r>
        <w:rPr>
          <w:rFonts w:hint="eastAsia" w:ascii="仿宋" w:hAnsi="仿宋" w:eastAsia="仿宋"/>
          <w:b w:val="0"/>
          <w:snapToGrid/>
          <w:color w:val="000000"/>
          <w:kern w:val="2"/>
          <w:sz w:val="32"/>
          <w:shd w:val="clear" w:color="auto" w:fill="FFFFFF"/>
        </w:rPr>
        <w:t>要进一步激励士气斗志，深入落实关心关爱民警各项措施，最大限度地调动</w:t>
      </w:r>
      <w:r>
        <w:rPr>
          <w:rFonts w:hint="eastAsia" w:ascii="仿宋" w:hAnsi="仿宋" w:eastAsia="仿宋"/>
          <w:b w:val="0"/>
          <w:snapToGrid/>
          <w:color w:val="000000"/>
          <w:kern w:val="2"/>
          <w:sz w:val="32"/>
          <w:shd w:val="clear" w:color="auto" w:fill="FFFFFF"/>
          <w:lang w:eastAsia="zh-CN"/>
        </w:rPr>
        <w:t>全体</w:t>
      </w:r>
      <w:r>
        <w:rPr>
          <w:rFonts w:hint="eastAsia" w:ascii="仿宋" w:hAnsi="仿宋" w:eastAsia="仿宋"/>
          <w:b w:val="0"/>
          <w:snapToGrid/>
          <w:color w:val="000000"/>
          <w:kern w:val="2"/>
          <w:sz w:val="32"/>
          <w:shd w:val="clear" w:color="auto" w:fill="FFFFFF"/>
        </w:rPr>
        <w:t>民警的积极性、主动性、创造性。要传递组织温暖，在落实爱警惠警举措上下功夫。要强化典型引领，做好战时表彰奖励，切实增强表彰奖励的正面激励效应。要进一步提高能力素质，提升全警警务实战能力和安全防护能力。</w:t>
      </w:r>
      <w:r>
        <w:rPr>
          <w:rFonts w:hint="eastAsia" w:ascii="仿宋" w:hAnsi="仿宋" w:eastAsia="仿宋"/>
          <w:b/>
          <w:bCs/>
          <w:snapToGrid/>
          <w:color w:val="000000"/>
          <w:kern w:val="2"/>
          <w:sz w:val="32"/>
          <w:shd w:val="clear" w:color="auto" w:fill="FFFFFF"/>
          <w:lang w:eastAsia="zh-CN"/>
        </w:rPr>
        <w:t>三是</w:t>
      </w:r>
      <w:r>
        <w:rPr>
          <w:rFonts w:hint="eastAsia" w:ascii="仿宋" w:hAnsi="仿宋" w:eastAsia="仿宋"/>
          <w:b/>
          <w:bCs/>
          <w:snapToGrid/>
          <w:color w:val="000000"/>
          <w:kern w:val="2"/>
          <w:sz w:val="32"/>
          <w:shd w:val="clear" w:color="auto" w:fill="FFFFFF"/>
        </w:rPr>
        <w:t>要坚持全面从严治党治警</w:t>
      </w:r>
      <w:r>
        <w:rPr>
          <w:rFonts w:hint="eastAsia" w:ascii="仿宋" w:hAnsi="仿宋" w:eastAsia="仿宋"/>
          <w:b/>
          <w:bCs/>
          <w:snapToGrid/>
          <w:color w:val="000000"/>
          <w:kern w:val="2"/>
          <w:sz w:val="32"/>
          <w:shd w:val="clear" w:color="auto" w:fill="FFFFFF"/>
          <w:lang w:eastAsia="zh-CN"/>
        </w:rPr>
        <w:t>，</w:t>
      </w:r>
      <w:r>
        <w:rPr>
          <w:rFonts w:hint="eastAsia" w:ascii="仿宋" w:hAnsi="仿宋" w:eastAsia="仿宋"/>
          <w:b/>
          <w:bCs/>
          <w:snapToGrid/>
          <w:color w:val="000000"/>
          <w:kern w:val="2"/>
          <w:sz w:val="32"/>
          <w:shd w:val="clear" w:color="auto" w:fill="FFFFFF"/>
        </w:rPr>
        <w:t>加大监督执纪问责力度</w:t>
      </w:r>
      <w:r>
        <w:rPr>
          <w:rFonts w:hint="eastAsia" w:ascii="仿宋" w:hAnsi="仿宋" w:eastAsia="仿宋"/>
          <w:b/>
          <w:bCs/>
          <w:snapToGrid/>
          <w:color w:val="000000"/>
          <w:kern w:val="2"/>
          <w:sz w:val="32"/>
          <w:shd w:val="clear" w:color="auto" w:fill="FFFFFF"/>
          <w:lang w:eastAsia="zh-CN"/>
        </w:rPr>
        <w:t>。</w:t>
      </w:r>
      <w:r>
        <w:rPr>
          <w:rFonts w:hint="eastAsia" w:ascii="仿宋" w:hAnsi="仿宋" w:eastAsia="仿宋"/>
          <w:b w:val="0"/>
          <w:snapToGrid/>
          <w:color w:val="000000"/>
          <w:kern w:val="2"/>
          <w:sz w:val="32"/>
          <w:shd w:val="clear" w:color="auto" w:fill="FFFFFF"/>
        </w:rPr>
        <w:t>坚决站稳政治立场，提高政治觉悟和政治能力，要全面深化</w:t>
      </w:r>
      <w:r>
        <w:rPr>
          <w:rFonts w:hint="eastAsia" w:ascii="仿宋" w:hAnsi="仿宋" w:eastAsia="仿宋"/>
          <w:b w:val="0"/>
          <w:snapToGrid/>
          <w:color w:val="000000"/>
          <w:kern w:val="2"/>
          <w:sz w:val="32"/>
          <w:shd w:val="clear" w:color="auto" w:fill="FFFFFF"/>
          <w:lang w:eastAsia="zh-CN"/>
        </w:rPr>
        <w:t>党风廉政建设工作</w:t>
      </w:r>
      <w:r>
        <w:rPr>
          <w:rFonts w:hint="eastAsia" w:ascii="仿宋" w:hAnsi="仿宋" w:eastAsia="仿宋"/>
          <w:b w:val="0"/>
          <w:snapToGrid/>
          <w:color w:val="000000"/>
          <w:kern w:val="2"/>
          <w:sz w:val="32"/>
          <w:shd w:val="clear" w:color="auto" w:fill="FFFFFF"/>
        </w:rPr>
        <w:t>，不断打牢队伍履职担当的思想根基，确保队伍绝对忠诚、绝对纯洁、绝对可靠，努力实现“五个坚决防止、三个确保”的安保维稳目标。</w:t>
      </w:r>
    </w:p>
    <w:p w14:paraId="2A69F206">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14:paraId="47FBC0E5">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2020</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个。财政全供给单位中行政单位</w:t>
      </w:r>
      <w:r>
        <w:rPr>
          <w:rFonts w:hint="eastAsia" w:eastAsia="仿宋_GB2312"/>
          <w:kern w:val="0"/>
          <w:sz w:val="30"/>
          <w:szCs w:val="30"/>
          <w:lang w:val="en-US" w:eastAsia="zh-CN"/>
        </w:rPr>
        <w:t>1</w:t>
      </w:r>
      <w:r>
        <w:rPr>
          <w:rFonts w:eastAsia="仿宋_GB2312"/>
          <w:kern w:val="0"/>
          <w:sz w:val="30"/>
          <w:szCs w:val="30"/>
        </w:rPr>
        <w:t>个。</w:t>
      </w:r>
    </w:p>
    <w:p w14:paraId="1B2A11FC">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交警支队2019年部门预算，是严格按照编报预算时在职在编实有人数、离退休人数和在编实有车辆预算定额标准编制，因人员详细数据属涉密内容，根据《云南省国家保密局关于不应公开公安机关有关预决算信息的函》（云保局函【</w:t>
      </w:r>
      <w:r>
        <w:rPr>
          <w:rFonts w:hint="default" w:eastAsia="仿宋_GB2312"/>
          <w:kern w:val="0"/>
          <w:sz w:val="30"/>
          <w:szCs w:val="30"/>
          <w:lang w:val="en-US" w:eastAsia="zh-CN"/>
        </w:rPr>
        <w:t>2018】34号），警力、装备配备、情报收集、重大刑事案件侦破、重大活动安保等属于公安涉密事项，依法不予公开。</w:t>
      </w:r>
    </w:p>
    <w:p w14:paraId="58BE499E">
      <w:pPr>
        <w:widowControl/>
        <w:jc w:val="left"/>
        <w:rPr>
          <w:rFonts w:eastAsia="仿宋_GB2312"/>
          <w:kern w:val="0"/>
          <w:sz w:val="30"/>
          <w:szCs w:val="30"/>
        </w:rPr>
      </w:pPr>
    </w:p>
    <w:p w14:paraId="42D7B419">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14:paraId="4D5A460E">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14:paraId="41121461">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年部门财务总收入</w:t>
      </w:r>
      <w:r>
        <w:rPr>
          <w:rFonts w:hint="eastAsia" w:eastAsia="仿宋_GB2312"/>
          <w:kern w:val="0"/>
          <w:sz w:val="30"/>
          <w:szCs w:val="30"/>
        </w:rPr>
        <w:t>6707.1</w:t>
      </w:r>
      <w:r>
        <w:rPr>
          <w:rFonts w:eastAsia="仿宋_GB2312"/>
          <w:kern w:val="0"/>
          <w:sz w:val="30"/>
          <w:szCs w:val="30"/>
        </w:rPr>
        <w:t>万元，其中：一般公共预算</w:t>
      </w:r>
      <w:r>
        <w:rPr>
          <w:rFonts w:hint="eastAsia" w:eastAsia="仿宋_GB2312"/>
          <w:kern w:val="0"/>
          <w:sz w:val="30"/>
          <w:szCs w:val="30"/>
        </w:rPr>
        <w:t>财政拨款6707.1</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14:paraId="6C232FE9">
      <w:pPr>
        <w:widowControl/>
        <w:ind w:firstLine="450" w:firstLineChars="150"/>
        <w:jc w:val="left"/>
        <w:rPr>
          <w:rFonts w:ascii="楷体_GB2312" w:eastAsia="楷体_GB2312"/>
          <w:kern w:val="0"/>
          <w:sz w:val="30"/>
          <w:szCs w:val="30"/>
        </w:rPr>
      </w:pPr>
      <w:r>
        <w:rPr>
          <w:rFonts w:ascii="楷体_GB2312" w:eastAsia="楷体_GB2312"/>
          <w:kern w:val="0"/>
          <w:sz w:val="30"/>
          <w:szCs w:val="30"/>
        </w:rPr>
        <w:t>（二）财政拨款收入情况</w:t>
      </w:r>
    </w:p>
    <w:p w14:paraId="06425DF7">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年部门财政拨款收入</w:t>
      </w:r>
      <w:r>
        <w:rPr>
          <w:rFonts w:hint="eastAsia" w:eastAsia="仿宋_GB2312"/>
          <w:kern w:val="0"/>
          <w:sz w:val="30"/>
          <w:szCs w:val="30"/>
        </w:rPr>
        <w:t>6707.1</w:t>
      </w:r>
      <w:r>
        <w:rPr>
          <w:rFonts w:eastAsia="仿宋_GB2312"/>
          <w:kern w:val="0"/>
          <w:sz w:val="30"/>
          <w:szCs w:val="30"/>
        </w:rPr>
        <w:t>万元，其中:本年收入</w:t>
      </w:r>
      <w:r>
        <w:rPr>
          <w:rFonts w:hint="eastAsia" w:eastAsia="仿宋_GB2312"/>
          <w:kern w:val="0"/>
          <w:sz w:val="30"/>
          <w:szCs w:val="30"/>
        </w:rPr>
        <w:t>6707.1</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rPr>
        <w:t>6707.1</w:t>
      </w:r>
      <w:r>
        <w:rPr>
          <w:rFonts w:eastAsia="仿宋_GB2312"/>
          <w:kern w:val="0"/>
          <w:sz w:val="30"/>
          <w:szCs w:val="30"/>
        </w:rPr>
        <w:t>万元（本级财力</w:t>
      </w:r>
      <w:r>
        <w:rPr>
          <w:rFonts w:hint="eastAsia" w:eastAsia="仿宋_GB2312"/>
          <w:kern w:val="0"/>
          <w:sz w:val="30"/>
          <w:szCs w:val="30"/>
        </w:rPr>
        <w:t>2497.17</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，其他非税收入安排4209.93</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14:paraId="1B2EFC49">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黑体" w:hAnsi="黑体" w:eastAsia="黑体"/>
          <w:kern w:val="0"/>
          <w:sz w:val="30"/>
          <w:szCs w:val="30"/>
        </w:rPr>
      </w:pPr>
      <w:r>
        <w:rPr>
          <w:rFonts w:hint="eastAsia" w:ascii="黑体" w:hAnsi="黑体" w:eastAsia="黑体"/>
          <w:kern w:val="0"/>
          <w:sz w:val="30"/>
          <w:szCs w:val="30"/>
          <w:lang w:eastAsia="zh-CN"/>
        </w:rPr>
        <w:t>四、</w:t>
      </w:r>
      <w:r>
        <w:rPr>
          <w:rFonts w:ascii="黑体" w:hAnsi="黑体" w:eastAsia="黑体"/>
          <w:kern w:val="0"/>
          <w:sz w:val="30"/>
          <w:szCs w:val="30"/>
        </w:rPr>
        <w:t>预算单位支出情况</w:t>
      </w:r>
    </w:p>
    <w:p w14:paraId="56779579">
      <w:pPr>
        <w:widowControl/>
        <w:ind w:firstLine="600" w:firstLineChars="200"/>
        <w:jc w:val="left"/>
        <w:rPr>
          <w:rFonts w:hint="eastAsia" w:eastAsia="仿宋_GB2312"/>
          <w:kern w:val="0"/>
          <w:sz w:val="30"/>
          <w:szCs w:val="30"/>
        </w:rPr>
      </w:pPr>
      <w:r>
        <w:rPr>
          <w:rFonts w:hint="eastAsia" w:eastAsia="仿宋_GB2312"/>
          <w:kern w:val="0"/>
          <w:sz w:val="30"/>
          <w:szCs w:val="30"/>
          <w:lang w:val="en-US" w:eastAsia="zh-CN"/>
        </w:rPr>
        <w:t>2020</w:t>
      </w:r>
      <w:r>
        <w:rPr>
          <w:rFonts w:eastAsia="仿宋_GB2312"/>
          <w:kern w:val="0"/>
          <w:sz w:val="30"/>
          <w:szCs w:val="30"/>
        </w:rPr>
        <w:t>年部门预算总支出</w:t>
      </w:r>
      <w:r>
        <w:rPr>
          <w:rFonts w:hint="eastAsia" w:eastAsia="仿宋_GB2312"/>
          <w:kern w:val="0"/>
          <w:sz w:val="30"/>
          <w:szCs w:val="30"/>
        </w:rPr>
        <w:t>6707.1</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安排支出</w:t>
      </w:r>
      <w:r>
        <w:rPr>
          <w:rFonts w:hint="eastAsia" w:eastAsia="仿宋_GB2312"/>
          <w:kern w:val="0"/>
          <w:sz w:val="30"/>
          <w:szCs w:val="30"/>
        </w:rPr>
        <w:t>6707.1</w:t>
      </w:r>
      <w:r>
        <w:rPr>
          <w:rFonts w:eastAsia="仿宋_GB2312"/>
          <w:kern w:val="0"/>
          <w:sz w:val="30"/>
          <w:szCs w:val="30"/>
        </w:rPr>
        <w:t>万元，其中，基本支出</w:t>
      </w:r>
      <w:r>
        <w:rPr>
          <w:rFonts w:hint="eastAsia" w:eastAsia="仿宋_GB2312"/>
          <w:kern w:val="0"/>
          <w:sz w:val="30"/>
          <w:szCs w:val="30"/>
        </w:rPr>
        <w:t>3,822.27</w:t>
      </w:r>
      <w:r>
        <w:rPr>
          <w:rFonts w:eastAsia="仿宋_GB2312"/>
          <w:kern w:val="0"/>
          <w:sz w:val="30"/>
          <w:szCs w:val="30"/>
        </w:rPr>
        <w:t>万元，项目支出</w:t>
      </w:r>
      <w:r>
        <w:rPr>
          <w:rFonts w:hint="eastAsia" w:eastAsia="仿宋_GB2312"/>
          <w:kern w:val="0"/>
          <w:sz w:val="30"/>
          <w:szCs w:val="30"/>
        </w:rPr>
        <w:t>2,884.83</w:t>
      </w:r>
    </w:p>
    <w:p w14:paraId="61B16830">
      <w:pPr>
        <w:widowControl/>
        <w:jc w:val="left"/>
        <w:rPr>
          <w:rFonts w:eastAsia="仿宋_GB2312"/>
          <w:kern w:val="0"/>
          <w:sz w:val="30"/>
          <w:szCs w:val="30"/>
        </w:rPr>
      </w:pPr>
      <w:r>
        <w:rPr>
          <w:rFonts w:eastAsia="仿宋_GB2312"/>
          <w:kern w:val="0"/>
          <w:sz w:val="30"/>
          <w:szCs w:val="30"/>
        </w:rPr>
        <w:t>万元。</w:t>
      </w:r>
    </w:p>
    <w:p w14:paraId="4AF334AD">
      <w:pPr>
        <w:widowControl/>
        <w:ind w:firstLine="450" w:firstLineChars="150"/>
        <w:jc w:val="left"/>
        <w:rPr>
          <w:rFonts w:eastAsia="仿宋_GB2312"/>
          <w:kern w:val="0"/>
          <w:sz w:val="30"/>
          <w:szCs w:val="30"/>
        </w:rPr>
      </w:pPr>
      <w:r>
        <w:rPr>
          <w:rFonts w:ascii="楷体_GB2312" w:eastAsia="楷体_GB2312"/>
          <w:kern w:val="0"/>
          <w:sz w:val="30"/>
          <w:szCs w:val="30"/>
        </w:rPr>
        <w:t>（一）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14:paraId="72568FE3">
      <w:pPr>
        <w:widowControl/>
        <w:ind w:firstLine="600" w:firstLineChars="200"/>
        <w:jc w:val="left"/>
        <w:rPr>
          <w:rFonts w:eastAsia="仿宋_GB2312"/>
          <w:kern w:val="0"/>
          <w:sz w:val="30"/>
          <w:szCs w:val="30"/>
        </w:rPr>
      </w:pPr>
      <w:r>
        <w:rPr>
          <w:rFonts w:eastAsia="仿宋_GB2312"/>
          <w:kern w:val="0"/>
          <w:sz w:val="30"/>
          <w:szCs w:val="30"/>
        </w:rPr>
        <w:t>功能科目分组，</w:t>
      </w:r>
      <w:r>
        <w:rPr>
          <w:rFonts w:ascii="仿宋_GB2312" w:hAnsi="宋体" w:eastAsia="仿宋_GB2312" w:cs="仿宋_GB2312"/>
          <w:color w:val="333333"/>
          <w:sz w:val="30"/>
          <w:szCs w:val="30"/>
        </w:rPr>
        <w:t>主要用于公共安全支出、社会保障和就业支出、住房保障支出。其中：</w:t>
      </w:r>
      <w:r>
        <w:rPr>
          <w:rFonts w:hint="default" w:ascii="仿宋_GB2312" w:hAnsi="宋体" w:eastAsia="仿宋_GB2312" w:cs="仿宋_GB2312"/>
          <w:color w:val="333333"/>
          <w:sz w:val="30"/>
          <w:szCs w:val="30"/>
          <w:shd w:val="clear" w:color="auto" w:fill="FFFFFF"/>
        </w:rPr>
        <w:t>“公共安全支出”6397.16万元，主要用于政府维护社会公共安全中公安道路交通安全管理方面的支出。“</w:t>
      </w:r>
      <w:r>
        <w:rPr>
          <w:rFonts w:hint="default" w:ascii="仿宋_GB2312" w:hAnsi="宋体" w:eastAsia="仿宋_GB2312" w:cs="仿宋_GB2312"/>
          <w:color w:val="333333"/>
          <w:sz w:val="30"/>
          <w:szCs w:val="30"/>
        </w:rPr>
        <w:t>社会保障和就业支出”178.58万元，主要用于省级财政负担的民警职工基本养老保险及职业年金单位缴费支出。“住房保障支出”131.36万元，主要用于省级财政负担的住房公积金单位缴费支出。</w:t>
      </w:r>
    </w:p>
    <w:p w14:paraId="36A9FBB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kern w:val="0"/>
          <w:sz w:val="30"/>
          <w:szCs w:val="30"/>
        </w:rPr>
      </w:pPr>
      <w:r>
        <w:rPr>
          <w:rFonts w:hint="eastAsia" w:ascii="楷体_GB2312" w:eastAsia="楷体_GB2312"/>
          <w:kern w:val="0"/>
          <w:sz w:val="30"/>
          <w:szCs w:val="30"/>
          <w:lang w:eastAsia="zh-CN"/>
        </w:rPr>
        <w:t>（二）</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14:paraId="143D5231">
      <w:pPr>
        <w:widowControl/>
        <w:ind w:firstLine="600" w:firstLineChars="200"/>
        <w:jc w:val="left"/>
        <w:rPr>
          <w:rFonts w:eastAsia="仿宋_GB2312"/>
          <w:kern w:val="0"/>
          <w:sz w:val="30"/>
          <w:szCs w:val="30"/>
        </w:rPr>
      </w:pPr>
      <w:r>
        <w:rPr>
          <w:rFonts w:eastAsia="仿宋_GB2312"/>
          <w:kern w:val="0"/>
          <w:sz w:val="30"/>
          <w:szCs w:val="30"/>
        </w:rPr>
        <w:t>经济科目分组（其中：基本支出</w:t>
      </w:r>
      <w:r>
        <w:rPr>
          <w:rFonts w:hint="eastAsia" w:eastAsia="仿宋_GB2312"/>
          <w:kern w:val="0"/>
          <w:sz w:val="30"/>
          <w:szCs w:val="30"/>
        </w:rPr>
        <w:t>3822.27</w:t>
      </w:r>
      <w:r>
        <w:rPr>
          <w:rFonts w:eastAsia="仿宋_GB2312"/>
          <w:kern w:val="0"/>
          <w:sz w:val="30"/>
          <w:szCs w:val="30"/>
        </w:rPr>
        <w:t>万元，项目支出</w:t>
      </w:r>
      <w:r>
        <w:rPr>
          <w:rFonts w:hint="eastAsia" w:eastAsia="仿宋_GB2312"/>
          <w:kern w:val="0"/>
          <w:sz w:val="30"/>
          <w:szCs w:val="30"/>
          <w:lang w:eastAsia="zh-CN"/>
        </w:rPr>
        <w:t>2884.83</w:t>
      </w:r>
      <w:r>
        <w:rPr>
          <w:rFonts w:eastAsia="仿宋_GB2312"/>
          <w:kern w:val="0"/>
          <w:sz w:val="30"/>
          <w:szCs w:val="30"/>
        </w:rPr>
        <w:t>万元）。</w:t>
      </w:r>
    </w:p>
    <w:p w14:paraId="408EB89A">
      <w:pPr>
        <w:widowControl/>
        <w:ind w:firstLine="600" w:firstLineChars="200"/>
        <w:jc w:val="left"/>
        <w:rPr>
          <w:rFonts w:eastAsia="仿宋_GB2312"/>
          <w:kern w:val="0"/>
          <w:sz w:val="30"/>
          <w:szCs w:val="30"/>
        </w:rPr>
      </w:pPr>
      <w:r>
        <w:rPr>
          <w:rFonts w:hint="eastAsia" w:eastAsia="仿宋_GB2312"/>
          <w:kern w:val="0"/>
          <w:sz w:val="30"/>
          <w:szCs w:val="30"/>
          <w:lang w:val="en-US" w:eastAsia="zh-CN"/>
        </w:rPr>
        <w:t>机关工资福利支出：2067.59</w:t>
      </w:r>
      <w:r>
        <w:rPr>
          <w:rFonts w:eastAsia="仿宋_GB2312"/>
          <w:kern w:val="0"/>
          <w:sz w:val="30"/>
          <w:szCs w:val="30"/>
        </w:rPr>
        <w:t>万元（其中：基本支出</w:t>
      </w:r>
      <w:r>
        <w:rPr>
          <w:rFonts w:hint="eastAsia" w:eastAsia="仿宋_GB2312"/>
          <w:kern w:val="0"/>
          <w:sz w:val="30"/>
          <w:szCs w:val="30"/>
          <w:lang w:val="en-US" w:eastAsia="zh-CN"/>
        </w:rPr>
        <w:t>2067.59</w:t>
      </w:r>
      <w:r>
        <w:rPr>
          <w:rFonts w:eastAsia="仿宋_GB2312"/>
          <w:kern w:val="0"/>
          <w:sz w:val="30"/>
          <w:szCs w:val="30"/>
        </w:rPr>
        <w:t>万元）。</w:t>
      </w:r>
    </w:p>
    <w:p w14:paraId="7655CC32">
      <w:pPr>
        <w:widowControl/>
        <w:ind w:firstLine="600" w:firstLineChars="200"/>
        <w:jc w:val="left"/>
        <w:rPr>
          <w:rFonts w:eastAsia="仿宋_GB2312"/>
          <w:kern w:val="0"/>
          <w:sz w:val="30"/>
          <w:szCs w:val="30"/>
        </w:rPr>
      </w:pPr>
      <w:r>
        <w:rPr>
          <w:rFonts w:hint="eastAsia" w:eastAsia="仿宋_GB2312"/>
          <w:kern w:val="0"/>
          <w:sz w:val="30"/>
          <w:szCs w:val="30"/>
        </w:rPr>
        <w:t>机关商品和服务支出</w:t>
      </w:r>
      <w:r>
        <w:rPr>
          <w:rFonts w:hint="eastAsia" w:eastAsia="仿宋_GB2312"/>
          <w:kern w:val="0"/>
          <w:sz w:val="30"/>
          <w:szCs w:val="30"/>
          <w:lang w:val="en-US" w:eastAsia="zh-CN"/>
        </w:rPr>
        <w:t>2004.32</w:t>
      </w:r>
      <w:r>
        <w:rPr>
          <w:rFonts w:eastAsia="仿宋_GB2312"/>
          <w:kern w:val="0"/>
          <w:sz w:val="30"/>
          <w:szCs w:val="30"/>
        </w:rPr>
        <w:t>万元（其中：基本支出</w:t>
      </w:r>
      <w:r>
        <w:rPr>
          <w:rFonts w:hint="eastAsia" w:eastAsia="仿宋_GB2312"/>
          <w:kern w:val="0"/>
          <w:sz w:val="30"/>
          <w:szCs w:val="30"/>
          <w:lang w:val="en-US" w:eastAsia="zh-CN"/>
        </w:rPr>
        <w:t>1754.49</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项目支出</w:t>
      </w:r>
      <w:r>
        <w:rPr>
          <w:rFonts w:hint="eastAsia" w:eastAsia="仿宋_GB2312"/>
          <w:kern w:val="0"/>
          <w:sz w:val="30"/>
          <w:szCs w:val="30"/>
          <w:lang w:val="en-US" w:eastAsia="zh-CN"/>
        </w:rPr>
        <w:t>249.83</w:t>
      </w:r>
      <w:r>
        <w:rPr>
          <w:rFonts w:eastAsia="仿宋_GB2312"/>
          <w:kern w:val="0"/>
          <w:sz w:val="30"/>
          <w:szCs w:val="30"/>
        </w:rPr>
        <w:t>万元）。</w:t>
      </w:r>
    </w:p>
    <w:p w14:paraId="79466B23">
      <w:pPr>
        <w:widowControl/>
        <w:ind w:firstLine="600" w:firstLineChars="200"/>
        <w:jc w:val="left"/>
        <w:rPr>
          <w:rFonts w:eastAsia="仿宋_GB2312"/>
          <w:kern w:val="0"/>
          <w:sz w:val="30"/>
          <w:szCs w:val="30"/>
        </w:rPr>
      </w:pPr>
      <w:r>
        <w:rPr>
          <w:rFonts w:hint="eastAsia" w:eastAsia="仿宋_GB2312"/>
          <w:kern w:val="0"/>
          <w:sz w:val="30"/>
          <w:szCs w:val="30"/>
        </w:rPr>
        <w:t>机关资本性支出</w:t>
      </w:r>
      <w:r>
        <w:rPr>
          <w:rFonts w:hint="eastAsia" w:eastAsia="仿宋_GB2312"/>
          <w:kern w:val="0"/>
          <w:sz w:val="30"/>
          <w:szCs w:val="30"/>
          <w:lang w:val="en-US" w:eastAsia="zh-CN"/>
        </w:rPr>
        <w:t>1435</w:t>
      </w:r>
      <w:r>
        <w:rPr>
          <w:rFonts w:eastAsia="仿宋_GB2312"/>
          <w:kern w:val="0"/>
          <w:sz w:val="30"/>
          <w:szCs w:val="30"/>
        </w:rPr>
        <w:t>万元（其中：基本支出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项目支出</w:t>
      </w:r>
      <w:r>
        <w:rPr>
          <w:rFonts w:hint="eastAsia" w:eastAsia="仿宋_GB2312"/>
          <w:kern w:val="0"/>
          <w:sz w:val="30"/>
          <w:szCs w:val="30"/>
          <w:lang w:val="en-US" w:eastAsia="zh-CN"/>
        </w:rPr>
        <w:t>1435</w:t>
      </w:r>
      <w:r>
        <w:rPr>
          <w:rFonts w:eastAsia="仿宋_GB2312"/>
          <w:kern w:val="0"/>
          <w:sz w:val="30"/>
          <w:szCs w:val="30"/>
        </w:rPr>
        <w:t>万元）</w:t>
      </w:r>
    </w:p>
    <w:p w14:paraId="03B8E2CD">
      <w:pPr>
        <w:widowControl/>
        <w:ind w:firstLine="600" w:firstLineChars="200"/>
        <w:jc w:val="left"/>
        <w:rPr>
          <w:rFonts w:eastAsia="仿宋_GB2312"/>
          <w:kern w:val="0"/>
          <w:sz w:val="30"/>
          <w:szCs w:val="30"/>
        </w:rPr>
      </w:pPr>
      <w:r>
        <w:rPr>
          <w:rFonts w:hint="eastAsia" w:eastAsia="仿宋_GB2312"/>
          <w:kern w:val="0"/>
          <w:sz w:val="30"/>
          <w:szCs w:val="30"/>
        </w:rPr>
        <w:t>机关资本性支出（基本建设）1200</w:t>
      </w:r>
      <w:r>
        <w:rPr>
          <w:rFonts w:eastAsia="仿宋_GB2312"/>
          <w:kern w:val="0"/>
          <w:sz w:val="30"/>
          <w:szCs w:val="30"/>
        </w:rPr>
        <w:t>万元（其中：基本支出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w:t>
      </w:r>
      <w:r>
        <w:rPr>
          <w:rFonts w:eastAsia="仿宋_GB2312"/>
          <w:kern w:val="0"/>
          <w:sz w:val="30"/>
          <w:szCs w:val="30"/>
        </w:rPr>
        <w:t>项目支出</w:t>
      </w:r>
      <w:r>
        <w:rPr>
          <w:rFonts w:hint="eastAsia" w:eastAsia="仿宋_GB2312"/>
          <w:kern w:val="0"/>
          <w:sz w:val="30"/>
          <w:szCs w:val="30"/>
          <w:lang w:val="en-US" w:eastAsia="zh-CN"/>
        </w:rPr>
        <w:t>1200</w:t>
      </w:r>
      <w:r>
        <w:rPr>
          <w:rFonts w:eastAsia="仿宋_GB2312"/>
          <w:kern w:val="0"/>
          <w:sz w:val="30"/>
          <w:szCs w:val="30"/>
        </w:rPr>
        <w:t>万元）</w:t>
      </w:r>
    </w:p>
    <w:p w14:paraId="14D4E13C">
      <w:pPr>
        <w:widowControl/>
        <w:ind w:firstLine="600" w:firstLineChars="200"/>
        <w:jc w:val="left"/>
        <w:rPr>
          <w:rFonts w:eastAsia="仿宋_GB2312"/>
          <w:kern w:val="0"/>
          <w:sz w:val="30"/>
          <w:szCs w:val="30"/>
        </w:rPr>
      </w:pPr>
      <w:r>
        <w:rPr>
          <w:rFonts w:hint="eastAsia" w:eastAsia="仿宋_GB2312"/>
          <w:kern w:val="0"/>
          <w:sz w:val="30"/>
          <w:szCs w:val="30"/>
        </w:rPr>
        <w:t>对个人和家庭的补助0.19</w:t>
      </w:r>
      <w:r>
        <w:rPr>
          <w:rFonts w:eastAsia="仿宋_GB2312"/>
          <w:kern w:val="0"/>
          <w:sz w:val="30"/>
          <w:szCs w:val="30"/>
        </w:rPr>
        <w:t>万元（其中：基本支出</w:t>
      </w:r>
      <w:r>
        <w:rPr>
          <w:rFonts w:hint="eastAsia" w:eastAsia="仿宋_GB2312"/>
          <w:kern w:val="0"/>
          <w:sz w:val="30"/>
          <w:szCs w:val="30"/>
          <w:lang w:val="en-US" w:eastAsia="zh-CN"/>
        </w:rPr>
        <w:t>0.19</w:t>
      </w:r>
      <w:r>
        <w:rPr>
          <w:rFonts w:eastAsia="仿宋_GB2312"/>
          <w:kern w:val="0"/>
          <w:sz w:val="30"/>
          <w:szCs w:val="30"/>
        </w:rPr>
        <w:t>万元）</w:t>
      </w:r>
    </w:p>
    <w:p w14:paraId="236FA4C8">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kern w:val="0"/>
          <w:sz w:val="30"/>
          <w:szCs w:val="30"/>
          <w:lang w:val="en-US" w:eastAsia="zh-CN"/>
        </w:rPr>
      </w:pPr>
      <w:r>
        <w:rPr>
          <w:rFonts w:hint="eastAsia" w:ascii="黑体" w:hAnsi="黑体" w:eastAsia="黑体"/>
          <w:kern w:val="0"/>
          <w:sz w:val="30"/>
          <w:szCs w:val="30"/>
          <w:lang w:eastAsia="zh-CN"/>
        </w:rPr>
        <w:t>五、州</w:t>
      </w:r>
      <w:r>
        <w:rPr>
          <w:rFonts w:ascii="黑体" w:hAnsi="黑体" w:eastAsia="黑体"/>
          <w:kern w:val="0"/>
          <w:sz w:val="30"/>
          <w:szCs w:val="30"/>
        </w:rPr>
        <w:t>对下转项转移支付情况</w:t>
      </w:r>
    </w:p>
    <w:p w14:paraId="47BC704B">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w:t>
      </w:r>
      <w:r>
        <w:rPr>
          <w:rFonts w:hint="eastAsia" w:ascii="楷体_GB2312" w:eastAsia="楷体_GB2312"/>
          <w:kern w:val="0"/>
          <w:sz w:val="30"/>
          <w:szCs w:val="30"/>
          <w:lang w:eastAsia="zh-CN"/>
        </w:rPr>
        <w:t>州</w:t>
      </w:r>
      <w:r>
        <w:rPr>
          <w:rFonts w:ascii="楷体_GB2312" w:eastAsia="楷体_GB2312"/>
          <w:kern w:val="0"/>
          <w:sz w:val="30"/>
          <w:szCs w:val="30"/>
        </w:rPr>
        <w:t>对下专项转移支付项目清单项目情况</w:t>
      </w:r>
    </w:p>
    <w:p w14:paraId="67F82C87">
      <w:pPr>
        <w:widowControl/>
        <w:ind w:firstLine="600" w:firstLineChars="200"/>
        <w:jc w:val="left"/>
        <w:rPr>
          <w:rFonts w:eastAsia="仿宋_GB2312"/>
          <w:kern w:val="0"/>
          <w:sz w:val="30"/>
          <w:szCs w:val="30"/>
        </w:rPr>
      </w:pPr>
      <w:r>
        <w:rPr>
          <w:rFonts w:eastAsia="仿宋_GB2312"/>
          <w:kern w:val="0"/>
          <w:sz w:val="30"/>
          <w:szCs w:val="30"/>
        </w:rPr>
        <w:t>部门</w:t>
      </w:r>
      <w:r>
        <w:rPr>
          <w:rFonts w:hint="eastAsia" w:eastAsia="仿宋_GB2312"/>
          <w:kern w:val="0"/>
          <w:sz w:val="30"/>
          <w:szCs w:val="30"/>
          <w:lang w:eastAsia="zh-CN"/>
        </w:rPr>
        <w:t>无州</w:t>
      </w:r>
      <w:r>
        <w:rPr>
          <w:rFonts w:eastAsia="仿宋_GB2312"/>
          <w:kern w:val="0"/>
          <w:sz w:val="30"/>
          <w:szCs w:val="30"/>
        </w:rPr>
        <w:t>对下专项转移支付项目</w:t>
      </w:r>
      <w:r>
        <w:rPr>
          <w:rFonts w:hint="eastAsia" w:eastAsia="仿宋_GB2312"/>
          <w:kern w:val="0"/>
          <w:sz w:val="30"/>
          <w:szCs w:val="30"/>
          <w:lang w:eastAsia="zh-CN"/>
        </w:rPr>
        <w:t>，</w:t>
      </w:r>
      <w:r>
        <w:rPr>
          <w:rFonts w:eastAsia="仿宋_GB2312"/>
          <w:kern w:val="0"/>
          <w:sz w:val="30"/>
          <w:szCs w:val="30"/>
        </w:rPr>
        <w:t>清单项目为：金额</w:t>
      </w:r>
      <w:r>
        <w:rPr>
          <w:rFonts w:hint="eastAsia" w:eastAsia="仿宋_GB2312"/>
          <w:kern w:val="0"/>
          <w:sz w:val="30"/>
          <w:szCs w:val="30"/>
          <w:lang w:val="en-US" w:eastAsia="zh-CN"/>
        </w:rPr>
        <w:t>0</w:t>
      </w:r>
      <w:r>
        <w:rPr>
          <w:rFonts w:eastAsia="仿宋_GB2312"/>
          <w:kern w:val="0"/>
          <w:sz w:val="30"/>
          <w:szCs w:val="30"/>
        </w:rPr>
        <w:t>万元。</w:t>
      </w:r>
    </w:p>
    <w:p w14:paraId="44DB7F33">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w:t>
      </w:r>
      <w:r>
        <w:rPr>
          <w:rFonts w:hint="eastAsia" w:ascii="楷体_GB2312" w:eastAsia="楷体_GB2312"/>
          <w:kern w:val="0"/>
          <w:sz w:val="30"/>
          <w:szCs w:val="30"/>
          <w:lang w:eastAsia="zh-CN"/>
        </w:rPr>
        <w:t>、省</w:t>
      </w:r>
      <w:r>
        <w:rPr>
          <w:rFonts w:ascii="楷体_GB2312" w:eastAsia="楷体_GB2312"/>
          <w:kern w:val="0"/>
          <w:sz w:val="30"/>
          <w:szCs w:val="30"/>
        </w:rPr>
        <w:t>配套事项</w:t>
      </w:r>
    </w:p>
    <w:p w14:paraId="3DFCAC12">
      <w:pPr>
        <w:widowControl/>
        <w:ind w:firstLine="600" w:firstLineChars="200"/>
        <w:jc w:val="left"/>
        <w:rPr>
          <w:rFonts w:eastAsia="仿宋_GB2312"/>
          <w:kern w:val="0"/>
          <w:sz w:val="30"/>
          <w:szCs w:val="30"/>
        </w:rPr>
      </w:pPr>
      <w:r>
        <w:rPr>
          <w:rFonts w:eastAsia="仿宋_GB2312"/>
          <w:kern w:val="0"/>
          <w:sz w:val="30"/>
          <w:szCs w:val="30"/>
        </w:rPr>
        <w:t>部门</w:t>
      </w:r>
      <w:r>
        <w:rPr>
          <w:rFonts w:hint="eastAsia" w:eastAsia="仿宋_GB2312"/>
          <w:kern w:val="0"/>
          <w:sz w:val="30"/>
          <w:szCs w:val="30"/>
          <w:lang w:eastAsia="zh-CN"/>
        </w:rPr>
        <w:t>无州</w:t>
      </w:r>
      <w:r>
        <w:rPr>
          <w:rFonts w:eastAsia="仿宋_GB2312"/>
          <w:kern w:val="0"/>
          <w:sz w:val="30"/>
          <w:szCs w:val="30"/>
        </w:rPr>
        <w:t>对下专项转移支付项目</w:t>
      </w:r>
      <w:r>
        <w:rPr>
          <w:rFonts w:hint="eastAsia" w:eastAsia="仿宋_GB2312"/>
          <w:kern w:val="0"/>
          <w:sz w:val="30"/>
          <w:szCs w:val="30"/>
          <w:lang w:eastAsia="zh-CN"/>
        </w:rPr>
        <w:t>，</w:t>
      </w:r>
      <w:r>
        <w:rPr>
          <w:rFonts w:eastAsia="仿宋_GB2312"/>
          <w:kern w:val="0"/>
          <w:sz w:val="30"/>
          <w:szCs w:val="30"/>
        </w:rPr>
        <w:t>清单项目为：金额</w:t>
      </w:r>
      <w:r>
        <w:rPr>
          <w:rFonts w:hint="eastAsia" w:eastAsia="仿宋_GB2312"/>
          <w:kern w:val="0"/>
          <w:sz w:val="30"/>
          <w:szCs w:val="30"/>
          <w:lang w:val="en-US" w:eastAsia="zh-CN"/>
        </w:rPr>
        <w:t>0</w:t>
      </w:r>
      <w:r>
        <w:rPr>
          <w:rFonts w:eastAsia="仿宋_GB2312"/>
          <w:kern w:val="0"/>
          <w:sz w:val="30"/>
          <w:szCs w:val="30"/>
        </w:rPr>
        <w:t>万元。</w:t>
      </w:r>
    </w:p>
    <w:p w14:paraId="4236152F">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14:paraId="7C10B292">
      <w:pPr>
        <w:widowControl/>
        <w:ind w:firstLine="600" w:firstLineChars="200"/>
        <w:jc w:val="left"/>
        <w:rPr>
          <w:rFonts w:eastAsia="仿宋_GB2312"/>
          <w:kern w:val="0"/>
          <w:sz w:val="30"/>
          <w:szCs w:val="30"/>
        </w:rPr>
      </w:pPr>
      <w:r>
        <w:rPr>
          <w:rFonts w:eastAsia="仿宋_GB2312"/>
          <w:kern w:val="0"/>
          <w:sz w:val="30"/>
          <w:szCs w:val="30"/>
        </w:rPr>
        <w:t>部门</w:t>
      </w:r>
      <w:r>
        <w:rPr>
          <w:rFonts w:hint="eastAsia" w:eastAsia="仿宋_GB2312"/>
          <w:kern w:val="0"/>
          <w:sz w:val="30"/>
          <w:szCs w:val="30"/>
          <w:lang w:eastAsia="zh-CN"/>
        </w:rPr>
        <w:t>无州</w:t>
      </w:r>
      <w:r>
        <w:rPr>
          <w:rFonts w:eastAsia="仿宋_GB2312"/>
          <w:kern w:val="0"/>
          <w:sz w:val="30"/>
          <w:szCs w:val="30"/>
        </w:rPr>
        <w:t>对下专项转移支付项目</w:t>
      </w:r>
      <w:r>
        <w:rPr>
          <w:rFonts w:hint="eastAsia" w:eastAsia="仿宋_GB2312"/>
          <w:kern w:val="0"/>
          <w:sz w:val="30"/>
          <w:szCs w:val="30"/>
          <w:lang w:eastAsia="zh-CN"/>
        </w:rPr>
        <w:t>，</w:t>
      </w:r>
      <w:r>
        <w:rPr>
          <w:rFonts w:eastAsia="仿宋_GB2312"/>
          <w:kern w:val="0"/>
          <w:sz w:val="30"/>
          <w:szCs w:val="30"/>
        </w:rPr>
        <w:t>清单项目为：金额</w:t>
      </w:r>
      <w:r>
        <w:rPr>
          <w:rFonts w:hint="eastAsia" w:eastAsia="仿宋_GB2312"/>
          <w:kern w:val="0"/>
          <w:sz w:val="30"/>
          <w:szCs w:val="30"/>
          <w:lang w:val="en-US" w:eastAsia="zh-CN"/>
        </w:rPr>
        <w:t>0</w:t>
      </w:r>
      <w:r>
        <w:rPr>
          <w:rFonts w:eastAsia="仿宋_GB2312"/>
          <w:kern w:val="0"/>
          <w:sz w:val="30"/>
          <w:szCs w:val="30"/>
        </w:rPr>
        <w:t>万元。</w:t>
      </w:r>
    </w:p>
    <w:p w14:paraId="303C640D">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14:paraId="33858F26">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“无”</w:t>
      </w:r>
    </w:p>
    <w:p w14:paraId="6FF801FD">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0</w:t>
      </w:r>
      <w:r>
        <w:rPr>
          <w:rFonts w:eastAsia="仿宋_GB2312"/>
          <w:kern w:val="0"/>
          <w:sz w:val="30"/>
          <w:szCs w:val="30"/>
        </w:rPr>
        <w:t>个，采购预算资金</w:t>
      </w:r>
      <w:r>
        <w:rPr>
          <w:rFonts w:hint="eastAsia" w:eastAsia="仿宋_GB2312"/>
          <w:kern w:val="0"/>
          <w:sz w:val="30"/>
          <w:szCs w:val="30"/>
          <w:lang w:val="en-US" w:eastAsia="zh-CN"/>
        </w:rPr>
        <w:t>0</w:t>
      </w:r>
      <w:r>
        <w:rPr>
          <w:rFonts w:eastAsia="仿宋_GB2312"/>
          <w:kern w:val="0"/>
          <w:sz w:val="30"/>
          <w:szCs w:val="30"/>
        </w:rPr>
        <w:t>万元。</w:t>
      </w:r>
    </w:p>
    <w:p w14:paraId="2DEFE36D">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14:paraId="78837C12">
      <w:pPr>
        <w:widowControl/>
        <w:ind w:firstLine="600" w:firstLineChars="200"/>
        <w:jc w:val="left"/>
        <w:rPr>
          <w:rFonts w:hint="eastAsia" w:ascii="楷体_GB2312" w:eastAsia="楷体_GB2312"/>
          <w:kern w:val="0"/>
          <w:sz w:val="30"/>
          <w:szCs w:val="30"/>
          <w:lang w:eastAsia="zh-CN"/>
        </w:rPr>
      </w:pPr>
      <w:r>
        <w:rPr>
          <w:rFonts w:hint="eastAsia" w:ascii="楷体" w:hAnsi="楷体" w:eastAsia="楷体" w:cs="楷体"/>
          <w:b w:val="0"/>
          <w:bCs w:val="0"/>
          <w:kern w:val="0"/>
          <w:sz w:val="30"/>
          <w:szCs w:val="30"/>
        </w:rPr>
        <w:t>（一）</w:t>
      </w:r>
      <w:r>
        <w:rPr>
          <w:rFonts w:hint="eastAsia" w:ascii="楷体_GB2312" w:eastAsia="楷体_GB2312"/>
          <w:kern w:val="0"/>
          <w:sz w:val="30"/>
          <w:szCs w:val="30"/>
          <w:lang w:eastAsia="zh-CN"/>
        </w:rPr>
        <w:t>部门“三公”经费增减变化情况及原因说明</w:t>
      </w:r>
    </w:p>
    <w:p w14:paraId="091F68FC">
      <w:pPr>
        <w:widowControl/>
        <w:ind w:firstLine="600" w:firstLineChars="200"/>
        <w:jc w:val="left"/>
        <w:rPr>
          <w:rFonts w:hint="default" w:eastAsia="仿宋_GB2312" w:cs="Times New Roman"/>
          <w:kern w:val="0"/>
          <w:sz w:val="30"/>
          <w:szCs w:val="30"/>
          <w:lang w:val="en-US"/>
        </w:rPr>
      </w:pPr>
      <w:r>
        <w:rPr>
          <w:rFonts w:hint="eastAsia" w:eastAsia="仿宋_GB2312" w:cs="Times New Roman"/>
          <w:kern w:val="0"/>
          <w:sz w:val="30"/>
          <w:szCs w:val="30"/>
          <w:lang w:val="en-US" w:eastAsia="zh-CN"/>
        </w:rPr>
        <w:t>2019年与2018年</w:t>
      </w:r>
      <w:r>
        <w:rPr>
          <w:rFonts w:hint="eastAsia" w:eastAsia="仿宋_GB2312" w:cs="Times New Roman"/>
          <w:kern w:val="0"/>
          <w:sz w:val="30"/>
          <w:szCs w:val="30"/>
          <w:lang w:eastAsia="zh-CN"/>
        </w:rPr>
        <w:t>部门“三公”经费</w:t>
      </w:r>
      <w:r>
        <w:rPr>
          <w:rFonts w:hint="eastAsia" w:eastAsia="仿宋_GB2312" w:cs="Times New Roman"/>
          <w:kern w:val="0"/>
          <w:sz w:val="30"/>
          <w:szCs w:val="30"/>
          <w:lang w:val="en-US" w:eastAsia="zh-CN"/>
        </w:rPr>
        <w:t>预算</w:t>
      </w:r>
      <w:r>
        <w:rPr>
          <w:rFonts w:hint="eastAsia" w:eastAsia="仿宋_GB2312" w:cs="Times New Roman"/>
          <w:kern w:val="0"/>
          <w:sz w:val="30"/>
          <w:szCs w:val="30"/>
          <w:lang w:eastAsia="zh-CN"/>
        </w:rPr>
        <w:t>增减变化情况见下图，主要变动原因为</w:t>
      </w:r>
      <w:r>
        <w:rPr>
          <w:rFonts w:hint="eastAsia" w:eastAsia="仿宋_GB2312" w:cs="Times New Roman"/>
          <w:kern w:val="0"/>
          <w:sz w:val="30"/>
          <w:szCs w:val="30"/>
          <w:lang w:val="en-US" w:eastAsia="zh-CN"/>
        </w:rPr>
        <w:t>2020年增加车辆购置经费预算。</w:t>
      </w:r>
    </w:p>
    <w:tbl>
      <w:tblPr>
        <w:tblStyle w:val="4"/>
        <w:tblpPr w:leftFromText="180" w:rightFromText="180" w:vertAnchor="text" w:horzAnchor="page" w:tblpXSpec="center" w:tblpY="319"/>
        <w:tblOverlap w:val="never"/>
        <w:tblW w:w="93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15" w:type="dxa"/>
          <w:left w:w="15" w:type="dxa"/>
          <w:bottom w:w="15" w:type="dxa"/>
          <w:right w:w="15" w:type="dxa"/>
        </w:tblCellMar>
      </w:tblPr>
      <w:tblGrid>
        <w:gridCol w:w="3376"/>
        <w:gridCol w:w="1879"/>
        <w:gridCol w:w="1608"/>
        <w:gridCol w:w="1335"/>
        <w:gridCol w:w="1142"/>
      </w:tblGrid>
      <w:tr w14:paraId="652436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411" w:hRule="atLeast"/>
          <w:jc w:val="center"/>
        </w:trPr>
        <w:tc>
          <w:tcPr>
            <w:tcW w:w="3376" w:type="dxa"/>
            <w:vMerge w:val="restart"/>
            <w:tcBorders>
              <w:tl2br w:val="nil"/>
              <w:tr2bl w:val="nil"/>
            </w:tcBorders>
            <w:shd w:val="clear" w:color="auto" w:fill="auto"/>
            <w:vAlign w:val="center"/>
          </w:tcPr>
          <w:p w14:paraId="6D105753">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2"/>
                <w:szCs w:val="22"/>
                <w:u w:val="none"/>
                <w:lang w:val="en-US" w:eastAsia="zh-CN" w:bidi="ar"/>
              </w:rPr>
              <w:t>项目</w:t>
            </w:r>
          </w:p>
        </w:tc>
        <w:tc>
          <w:tcPr>
            <w:tcW w:w="1879" w:type="dxa"/>
            <w:vMerge w:val="restart"/>
            <w:tcBorders>
              <w:tl2br w:val="nil"/>
              <w:tr2bl w:val="nil"/>
            </w:tcBorders>
            <w:shd w:val="clear" w:color="auto" w:fill="auto"/>
            <w:vAlign w:val="center"/>
          </w:tcPr>
          <w:p w14:paraId="03A2D6C9">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2"/>
                <w:szCs w:val="22"/>
                <w:u w:val="none"/>
                <w:lang w:val="en-US" w:eastAsia="zh-CN" w:bidi="ar"/>
              </w:rPr>
              <w:t>2020年初预算数</w:t>
            </w:r>
          </w:p>
        </w:tc>
        <w:tc>
          <w:tcPr>
            <w:tcW w:w="1608" w:type="dxa"/>
            <w:vMerge w:val="restart"/>
            <w:tcBorders>
              <w:tl2br w:val="nil"/>
              <w:tr2bl w:val="nil"/>
            </w:tcBorders>
            <w:shd w:val="clear" w:color="auto" w:fill="auto"/>
            <w:vAlign w:val="center"/>
          </w:tcPr>
          <w:p w14:paraId="5558B76E">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2"/>
                <w:szCs w:val="22"/>
                <w:u w:val="none"/>
                <w:lang w:val="en-US" w:eastAsia="zh-CN" w:bidi="ar"/>
              </w:rPr>
              <w:t>2019年预算数</w:t>
            </w:r>
          </w:p>
        </w:tc>
        <w:tc>
          <w:tcPr>
            <w:tcW w:w="2477" w:type="dxa"/>
            <w:gridSpan w:val="2"/>
            <w:tcBorders>
              <w:tl2br w:val="nil"/>
              <w:tr2bl w:val="nil"/>
            </w:tcBorders>
            <w:shd w:val="clear" w:color="auto" w:fill="auto"/>
            <w:vAlign w:val="center"/>
          </w:tcPr>
          <w:p w14:paraId="1260E01D">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2"/>
                <w:szCs w:val="22"/>
                <w:u w:val="none"/>
                <w:lang w:val="en-US" w:eastAsia="zh-CN" w:bidi="ar"/>
              </w:rPr>
              <w:t>本年预算与上年预算对比</w:t>
            </w:r>
          </w:p>
        </w:tc>
      </w:tr>
      <w:tr w14:paraId="45F5D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348" w:hRule="atLeast"/>
          <w:jc w:val="center"/>
        </w:trPr>
        <w:tc>
          <w:tcPr>
            <w:tcW w:w="3376" w:type="dxa"/>
            <w:vMerge w:val="continue"/>
            <w:tcBorders>
              <w:tl2br w:val="nil"/>
              <w:tr2bl w:val="nil"/>
            </w:tcBorders>
            <w:shd w:val="clear" w:color="auto" w:fill="auto"/>
            <w:vAlign w:val="center"/>
          </w:tcPr>
          <w:p w14:paraId="29345F78">
            <w:pPr>
              <w:jc w:val="center"/>
              <w:rPr>
                <w:rFonts w:hint="eastAsia" w:ascii="仿宋" w:hAnsi="仿宋" w:eastAsia="仿宋" w:cs="仿宋"/>
                <w:sz w:val="24"/>
                <w:szCs w:val="24"/>
              </w:rPr>
            </w:pPr>
          </w:p>
        </w:tc>
        <w:tc>
          <w:tcPr>
            <w:tcW w:w="1879" w:type="dxa"/>
            <w:vMerge w:val="continue"/>
            <w:tcBorders>
              <w:tl2br w:val="nil"/>
              <w:tr2bl w:val="nil"/>
            </w:tcBorders>
            <w:shd w:val="clear" w:color="auto" w:fill="auto"/>
            <w:vAlign w:val="center"/>
          </w:tcPr>
          <w:p w14:paraId="7D047B8B">
            <w:pPr>
              <w:jc w:val="center"/>
              <w:rPr>
                <w:rFonts w:hint="eastAsia" w:ascii="仿宋" w:hAnsi="仿宋" w:eastAsia="仿宋" w:cs="仿宋"/>
                <w:sz w:val="24"/>
                <w:szCs w:val="24"/>
              </w:rPr>
            </w:pPr>
          </w:p>
        </w:tc>
        <w:tc>
          <w:tcPr>
            <w:tcW w:w="1608" w:type="dxa"/>
            <w:vMerge w:val="continue"/>
            <w:tcBorders>
              <w:tl2br w:val="nil"/>
              <w:tr2bl w:val="nil"/>
            </w:tcBorders>
            <w:shd w:val="clear" w:color="auto" w:fill="auto"/>
            <w:vAlign w:val="center"/>
          </w:tcPr>
          <w:p w14:paraId="614E7A87">
            <w:pPr>
              <w:jc w:val="center"/>
              <w:rPr>
                <w:rFonts w:hint="eastAsia" w:ascii="仿宋" w:hAnsi="仿宋" w:eastAsia="仿宋" w:cs="仿宋"/>
                <w:sz w:val="24"/>
                <w:szCs w:val="24"/>
              </w:rPr>
            </w:pPr>
          </w:p>
        </w:tc>
        <w:tc>
          <w:tcPr>
            <w:tcW w:w="1335" w:type="dxa"/>
            <w:tcBorders>
              <w:tl2br w:val="nil"/>
              <w:tr2bl w:val="nil"/>
            </w:tcBorders>
            <w:shd w:val="clear" w:color="auto" w:fill="auto"/>
            <w:vAlign w:val="center"/>
          </w:tcPr>
          <w:p w14:paraId="647D0E92">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增减额</w:t>
            </w:r>
          </w:p>
        </w:tc>
        <w:tc>
          <w:tcPr>
            <w:tcW w:w="1142" w:type="dxa"/>
            <w:tcBorders>
              <w:tl2br w:val="nil"/>
              <w:tr2bl w:val="nil"/>
            </w:tcBorders>
            <w:shd w:val="clear" w:color="auto" w:fill="auto"/>
            <w:vAlign w:val="center"/>
          </w:tcPr>
          <w:p w14:paraId="4428D213">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增减幅度</w:t>
            </w:r>
          </w:p>
        </w:tc>
      </w:tr>
      <w:tr w14:paraId="4E227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8" w:hRule="atLeast"/>
          <w:jc w:val="center"/>
        </w:trPr>
        <w:tc>
          <w:tcPr>
            <w:tcW w:w="3376" w:type="dxa"/>
            <w:tcBorders>
              <w:tl2br w:val="nil"/>
              <w:tr2bl w:val="nil"/>
            </w:tcBorders>
            <w:shd w:val="clear" w:color="auto" w:fill="auto"/>
            <w:vAlign w:val="center"/>
          </w:tcPr>
          <w:p w14:paraId="606F7C08">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合计</w:t>
            </w:r>
          </w:p>
        </w:tc>
        <w:tc>
          <w:tcPr>
            <w:tcW w:w="1879" w:type="dxa"/>
            <w:tcBorders>
              <w:tl2br w:val="nil"/>
              <w:tr2bl w:val="nil"/>
            </w:tcBorders>
            <w:shd w:val="clear" w:color="auto" w:fill="auto"/>
            <w:vAlign w:val="center"/>
          </w:tcPr>
          <w:p w14:paraId="7B09C3A2">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270.00</w:t>
            </w:r>
          </w:p>
        </w:tc>
        <w:tc>
          <w:tcPr>
            <w:tcW w:w="1608" w:type="dxa"/>
            <w:tcBorders>
              <w:tl2br w:val="nil"/>
              <w:tr2bl w:val="nil"/>
            </w:tcBorders>
            <w:shd w:val="clear" w:color="auto" w:fill="auto"/>
            <w:vAlign w:val="center"/>
          </w:tcPr>
          <w:p w14:paraId="54CE4AFB">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75.00</w:t>
            </w:r>
          </w:p>
        </w:tc>
        <w:tc>
          <w:tcPr>
            <w:tcW w:w="1335" w:type="dxa"/>
            <w:tcBorders>
              <w:tl2br w:val="nil"/>
              <w:tr2bl w:val="nil"/>
            </w:tcBorders>
            <w:shd w:val="clear" w:color="auto" w:fill="auto"/>
            <w:vAlign w:val="center"/>
          </w:tcPr>
          <w:p w14:paraId="6E825BE2">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195.00</w:t>
            </w:r>
          </w:p>
        </w:tc>
        <w:tc>
          <w:tcPr>
            <w:tcW w:w="1142" w:type="dxa"/>
            <w:tcBorders>
              <w:tl2br w:val="nil"/>
              <w:tr2bl w:val="nil"/>
            </w:tcBorders>
            <w:shd w:val="clear" w:color="auto" w:fill="auto"/>
            <w:vAlign w:val="center"/>
          </w:tcPr>
          <w:p w14:paraId="229E08DC">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260.00%</w:t>
            </w:r>
          </w:p>
        </w:tc>
      </w:tr>
      <w:tr w14:paraId="127AA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8" w:hRule="atLeast"/>
          <w:jc w:val="center"/>
        </w:trPr>
        <w:tc>
          <w:tcPr>
            <w:tcW w:w="3376" w:type="dxa"/>
            <w:tcBorders>
              <w:tl2br w:val="nil"/>
              <w:tr2bl w:val="nil"/>
            </w:tcBorders>
            <w:shd w:val="clear" w:color="auto" w:fill="auto"/>
            <w:vAlign w:val="center"/>
          </w:tcPr>
          <w:p w14:paraId="3654BC3C">
            <w:pPr>
              <w:keepNext w:val="0"/>
              <w:keepLines w:val="0"/>
              <w:widowControl/>
              <w:suppressLineNumbers w:val="0"/>
              <w:jc w:val="left"/>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1.因公出国（境）费用</w:t>
            </w:r>
          </w:p>
        </w:tc>
        <w:tc>
          <w:tcPr>
            <w:tcW w:w="1879" w:type="dxa"/>
            <w:tcBorders>
              <w:tl2br w:val="nil"/>
              <w:tr2bl w:val="nil"/>
            </w:tcBorders>
            <w:shd w:val="clear" w:color="auto" w:fill="auto"/>
            <w:vAlign w:val="center"/>
          </w:tcPr>
          <w:p w14:paraId="2E71507A">
            <w:pPr>
              <w:keepNext w:val="0"/>
              <w:keepLines w:val="0"/>
              <w:widowControl/>
              <w:suppressLineNumbers w:val="0"/>
              <w:jc w:val="center"/>
              <w:textAlignment w:val="center"/>
              <w:rPr>
                <w:rFonts w:hint="eastAsia" w:ascii="仿宋" w:hAnsi="仿宋" w:eastAsia="仿宋" w:cs="仿宋"/>
                <w:sz w:val="24"/>
                <w:szCs w:val="24"/>
              </w:rPr>
            </w:pPr>
          </w:p>
        </w:tc>
        <w:tc>
          <w:tcPr>
            <w:tcW w:w="1608" w:type="dxa"/>
            <w:tcBorders>
              <w:tl2br w:val="nil"/>
              <w:tr2bl w:val="nil"/>
            </w:tcBorders>
            <w:shd w:val="clear" w:color="auto" w:fill="auto"/>
            <w:vAlign w:val="center"/>
          </w:tcPr>
          <w:p w14:paraId="51CF42B4">
            <w:pPr>
              <w:keepNext w:val="0"/>
              <w:keepLines w:val="0"/>
              <w:widowControl/>
              <w:suppressLineNumbers w:val="0"/>
              <w:jc w:val="center"/>
              <w:textAlignment w:val="center"/>
              <w:rPr>
                <w:rFonts w:hint="eastAsia" w:ascii="仿宋" w:hAnsi="仿宋" w:eastAsia="仿宋" w:cs="仿宋"/>
                <w:sz w:val="24"/>
                <w:szCs w:val="24"/>
              </w:rPr>
            </w:pPr>
          </w:p>
        </w:tc>
        <w:tc>
          <w:tcPr>
            <w:tcW w:w="1335" w:type="dxa"/>
            <w:tcBorders>
              <w:tl2br w:val="nil"/>
              <w:tr2bl w:val="nil"/>
            </w:tcBorders>
            <w:shd w:val="clear" w:color="auto" w:fill="auto"/>
            <w:vAlign w:val="center"/>
          </w:tcPr>
          <w:p w14:paraId="6CD41154">
            <w:pPr>
              <w:keepNext w:val="0"/>
              <w:keepLines w:val="0"/>
              <w:widowControl/>
              <w:suppressLineNumbers w:val="0"/>
              <w:jc w:val="center"/>
              <w:textAlignment w:val="center"/>
              <w:rPr>
                <w:rFonts w:hint="eastAsia" w:ascii="仿宋" w:hAnsi="仿宋" w:eastAsia="仿宋" w:cs="仿宋"/>
                <w:sz w:val="24"/>
                <w:szCs w:val="24"/>
              </w:rPr>
            </w:pPr>
          </w:p>
        </w:tc>
        <w:tc>
          <w:tcPr>
            <w:tcW w:w="1142" w:type="dxa"/>
            <w:tcBorders>
              <w:tl2br w:val="nil"/>
              <w:tr2bl w:val="nil"/>
            </w:tcBorders>
            <w:shd w:val="clear" w:color="auto" w:fill="auto"/>
            <w:vAlign w:val="center"/>
          </w:tcPr>
          <w:p w14:paraId="38DB9701">
            <w:pPr>
              <w:keepNext w:val="0"/>
              <w:keepLines w:val="0"/>
              <w:widowControl/>
              <w:suppressLineNumbers w:val="0"/>
              <w:jc w:val="center"/>
              <w:textAlignment w:val="center"/>
              <w:rPr>
                <w:rFonts w:hint="eastAsia" w:ascii="仿宋" w:hAnsi="仿宋" w:eastAsia="仿宋" w:cs="仿宋"/>
                <w:sz w:val="24"/>
                <w:szCs w:val="24"/>
              </w:rPr>
            </w:pPr>
          </w:p>
        </w:tc>
      </w:tr>
      <w:tr w14:paraId="2BA64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8" w:hRule="atLeast"/>
          <w:jc w:val="center"/>
        </w:trPr>
        <w:tc>
          <w:tcPr>
            <w:tcW w:w="3376" w:type="dxa"/>
            <w:tcBorders>
              <w:tl2br w:val="nil"/>
              <w:tr2bl w:val="nil"/>
            </w:tcBorders>
            <w:shd w:val="clear" w:color="auto" w:fill="auto"/>
            <w:vAlign w:val="center"/>
          </w:tcPr>
          <w:p w14:paraId="23FC51B2">
            <w:pPr>
              <w:keepNext w:val="0"/>
              <w:keepLines w:val="0"/>
              <w:widowControl/>
              <w:suppressLineNumbers w:val="0"/>
              <w:jc w:val="left"/>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2.公务接待费</w:t>
            </w:r>
          </w:p>
        </w:tc>
        <w:tc>
          <w:tcPr>
            <w:tcW w:w="1879" w:type="dxa"/>
            <w:tcBorders>
              <w:tl2br w:val="nil"/>
              <w:tr2bl w:val="nil"/>
            </w:tcBorders>
            <w:shd w:val="clear" w:color="auto" w:fill="auto"/>
            <w:vAlign w:val="center"/>
          </w:tcPr>
          <w:p w14:paraId="4447D8E9">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10.00</w:t>
            </w:r>
          </w:p>
        </w:tc>
        <w:tc>
          <w:tcPr>
            <w:tcW w:w="1608" w:type="dxa"/>
            <w:tcBorders>
              <w:tl2br w:val="nil"/>
              <w:tr2bl w:val="nil"/>
            </w:tcBorders>
            <w:shd w:val="clear" w:color="auto" w:fill="auto"/>
            <w:vAlign w:val="center"/>
          </w:tcPr>
          <w:p w14:paraId="6156A6A7">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10.00</w:t>
            </w:r>
          </w:p>
        </w:tc>
        <w:tc>
          <w:tcPr>
            <w:tcW w:w="1335" w:type="dxa"/>
            <w:tcBorders>
              <w:tl2br w:val="nil"/>
              <w:tr2bl w:val="nil"/>
            </w:tcBorders>
            <w:shd w:val="clear" w:color="auto" w:fill="auto"/>
            <w:vAlign w:val="center"/>
          </w:tcPr>
          <w:p w14:paraId="0C667A17">
            <w:pPr>
              <w:keepNext w:val="0"/>
              <w:keepLines w:val="0"/>
              <w:widowControl/>
              <w:suppressLineNumbers w:val="0"/>
              <w:jc w:val="center"/>
              <w:textAlignment w:val="center"/>
              <w:rPr>
                <w:rFonts w:hint="eastAsia" w:ascii="仿宋" w:hAnsi="仿宋" w:eastAsia="仿宋" w:cs="仿宋"/>
                <w:sz w:val="24"/>
                <w:szCs w:val="24"/>
              </w:rPr>
            </w:pPr>
          </w:p>
        </w:tc>
        <w:tc>
          <w:tcPr>
            <w:tcW w:w="1142" w:type="dxa"/>
            <w:tcBorders>
              <w:tl2br w:val="nil"/>
              <w:tr2bl w:val="nil"/>
            </w:tcBorders>
            <w:shd w:val="clear" w:color="auto" w:fill="auto"/>
            <w:vAlign w:val="center"/>
          </w:tcPr>
          <w:p w14:paraId="159F6459">
            <w:pPr>
              <w:keepNext w:val="0"/>
              <w:keepLines w:val="0"/>
              <w:widowControl/>
              <w:suppressLineNumbers w:val="0"/>
              <w:jc w:val="center"/>
              <w:textAlignment w:val="center"/>
              <w:rPr>
                <w:rFonts w:hint="eastAsia" w:ascii="仿宋" w:hAnsi="仿宋" w:eastAsia="仿宋" w:cs="仿宋"/>
                <w:sz w:val="24"/>
                <w:szCs w:val="24"/>
              </w:rPr>
            </w:pPr>
          </w:p>
        </w:tc>
      </w:tr>
      <w:tr w14:paraId="5BC24A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48" w:hRule="atLeast"/>
          <w:jc w:val="center"/>
        </w:trPr>
        <w:tc>
          <w:tcPr>
            <w:tcW w:w="3376" w:type="dxa"/>
            <w:tcBorders>
              <w:tl2br w:val="nil"/>
              <w:tr2bl w:val="nil"/>
            </w:tcBorders>
            <w:shd w:val="clear" w:color="auto" w:fill="auto"/>
            <w:vAlign w:val="center"/>
          </w:tcPr>
          <w:p w14:paraId="29376999">
            <w:pPr>
              <w:keepNext w:val="0"/>
              <w:keepLines w:val="0"/>
              <w:widowControl/>
              <w:suppressLineNumbers w:val="0"/>
              <w:jc w:val="left"/>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3.公务用车购置及运行费</w:t>
            </w:r>
          </w:p>
        </w:tc>
        <w:tc>
          <w:tcPr>
            <w:tcW w:w="1879" w:type="dxa"/>
            <w:tcBorders>
              <w:tl2br w:val="nil"/>
              <w:tr2bl w:val="nil"/>
            </w:tcBorders>
            <w:shd w:val="clear" w:color="auto" w:fill="auto"/>
            <w:vAlign w:val="center"/>
          </w:tcPr>
          <w:p w14:paraId="1C38EDCE">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260.00</w:t>
            </w:r>
          </w:p>
        </w:tc>
        <w:tc>
          <w:tcPr>
            <w:tcW w:w="1608" w:type="dxa"/>
            <w:tcBorders>
              <w:tl2br w:val="nil"/>
              <w:tr2bl w:val="nil"/>
            </w:tcBorders>
            <w:shd w:val="clear" w:color="auto" w:fill="auto"/>
            <w:vAlign w:val="center"/>
          </w:tcPr>
          <w:p w14:paraId="108D4FEB">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65.00</w:t>
            </w:r>
          </w:p>
        </w:tc>
        <w:tc>
          <w:tcPr>
            <w:tcW w:w="1335" w:type="dxa"/>
            <w:tcBorders>
              <w:tl2br w:val="nil"/>
              <w:tr2bl w:val="nil"/>
            </w:tcBorders>
            <w:shd w:val="clear" w:color="auto" w:fill="auto"/>
            <w:vAlign w:val="center"/>
          </w:tcPr>
          <w:p w14:paraId="6C25F335">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195.00</w:t>
            </w:r>
          </w:p>
        </w:tc>
        <w:tc>
          <w:tcPr>
            <w:tcW w:w="1142" w:type="dxa"/>
            <w:tcBorders>
              <w:tl2br w:val="nil"/>
              <w:tr2bl w:val="nil"/>
            </w:tcBorders>
            <w:shd w:val="clear" w:color="auto" w:fill="auto"/>
            <w:vAlign w:val="center"/>
          </w:tcPr>
          <w:p w14:paraId="78787814">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300.00%</w:t>
            </w:r>
          </w:p>
        </w:tc>
      </w:tr>
      <w:tr w14:paraId="3A12F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90" w:hRule="atLeast"/>
          <w:jc w:val="center"/>
        </w:trPr>
        <w:tc>
          <w:tcPr>
            <w:tcW w:w="3376" w:type="dxa"/>
            <w:tcBorders>
              <w:tl2br w:val="nil"/>
              <w:tr2bl w:val="nil"/>
            </w:tcBorders>
            <w:shd w:val="clear" w:color="auto" w:fill="auto"/>
            <w:vAlign w:val="center"/>
          </w:tcPr>
          <w:p w14:paraId="77DB31AA">
            <w:pPr>
              <w:keepNext w:val="0"/>
              <w:keepLines w:val="0"/>
              <w:widowControl/>
              <w:suppressLineNumbers w:val="0"/>
              <w:jc w:val="left"/>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其中：（1）公务用车购置费</w:t>
            </w:r>
          </w:p>
        </w:tc>
        <w:tc>
          <w:tcPr>
            <w:tcW w:w="1879" w:type="dxa"/>
            <w:tcBorders>
              <w:tl2br w:val="nil"/>
              <w:tr2bl w:val="nil"/>
            </w:tcBorders>
            <w:shd w:val="clear" w:color="auto" w:fill="auto"/>
            <w:vAlign w:val="center"/>
          </w:tcPr>
          <w:p w14:paraId="30383DCF">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200.00</w:t>
            </w:r>
          </w:p>
        </w:tc>
        <w:tc>
          <w:tcPr>
            <w:tcW w:w="1608" w:type="dxa"/>
            <w:tcBorders>
              <w:tl2br w:val="nil"/>
              <w:tr2bl w:val="nil"/>
            </w:tcBorders>
            <w:shd w:val="clear" w:color="auto" w:fill="auto"/>
            <w:vAlign w:val="center"/>
          </w:tcPr>
          <w:p w14:paraId="69F39CFF">
            <w:pPr>
              <w:keepNext w:val="0"/>
              <w:keepLines w:val="0"/>
              <w:widowControl/>
              <w:suppressLineNumbers w:val="0"/>
              <w:jc w:val="center"/>
              <w:textAlignment w:val="center"/>
              <w:rPr>
                <w:rFonts w:hint="eastAsia" w:ascii="仿宋" w:hAnsi="仿宋" w:eastAsia="仿宋" w:cs="仿宋"/>
                <w:sz w:val="24"/>
                <w:szCs w:val="24"/>
              </w:rPr>
            </w:pPr>
          </w:p>
        </w:tc>
        <w:tc>
          <w:tcPr>
            <w:tcW w:w="1335" w:type="dxa"/>
            <w:tcBorders>
              <w:tl2br w:val="nil"/>
              <w:tr2bl w:val="nil"/>
            </w:tcBorders>
            <w:shd w:val="clear" w:color="auto" w:fill="auto"/>
            <w:vAlign w:val="center"/>
          </w:tcPr>
          <w:p w14:paraId="4599C9A1">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200.00</w:t>
            </w:r>
          </w:p>
        </w:tc>
        <w:tc>
          <w:tcPr>
            <w:tcW w:w="1142" w:type="dxa"/>
            <w:tcBorders>
              <w:tl2br w:val="nil"/>
              <w:tr2bl w:val="nil"/>
            </w:tcBorders>
            <w:shd w:val="clear" w:color="auto" w:fill="auto"/>
            <w:vAlign w:val="center"/>
          </w:tcPr>
          <w:p w14:paraId="733423A0">
            <w:pPr>
              <w:keepNext w:val="0"/>
              <w:keepLines w:val="0"/>
              <w:widowControl/>
              <w:suppressLineNumbers w:val="0"/>
              <w:jc w:val="center"/>
              <w:textAlignment w:val="center"/>
              <w:rPr>
                <w:rFonts w:hint="eastAsia" w:ascii="仿宋" w:hAnsi="仿宋" w:eastAsia="仿宋" w:cs="仿宋"/>
                <w:sz w:val="24"/>
                <w:szCs w:val="24"/>
              </w:rPr>
            </w:pPr>
          </w:p>
        </w:tc>
      </w:tr>
      <w:tr w14:paraId="08115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15" w:type="dxa"/>
            <w:left w:w="15" w:type="dxa"/>
            <w:bottom w:w="15" w:type="dxa"/>
            <w:right w:w="15" w:type="dxa"/>
          </w:tblCellMar>
        </w:tblPrEx>
        <w:trPr>
          <w:trHeight w:val="433" w:hRule="atLeast"/>
          <w:jc w:val="center"/>
        </w:trPr>
        <w:tc>
          <w:tcPr>
            <w:tcW w:w="3376" w:type="dxa"/>
            <w:tcBorders>
              <w:tl2br w:val="nil"/>
              <w:tr2bl w:val="nil"/>
            </w:tcBorders>
            <w:shd w:val="clear" w:color="auto" w:fill="auto"/>
            <w:vAlign w:val="center"/>
          </w:tcPr>
          <w:p w14:paraId="69F338CD">
            <w:pPr>
              <w:keepNext w:val="0"/>
              <w:keepLines w:val="0"/>
              <w:widowControl/>
              <w:suppressLineNumbers w:val="0"/>
              <w:jc w:val="left"/>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 xml:space="preserve">      （2）公务用车运行费</w:t>
            </w:r>
          </w:p>
        </w:tc>
        <w:tc>
          <w:tcPr>
            <w:tcW w:w="1879" w:type="dxa"/>
            <w:tcBorders>
              <w:tl2br w:val="nil"/>
              <w:tr2bl w:val="nil"/>
            </w:tcBorders>
            <w:shd w:val="clear" w:color="auto" w:fill="auto"/>
            <w:vAlign w:val="center"/>
          </w:tcPr>
          <w:p w14:paraId="5AE36FE4">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60.00</w:t>
            </w:r>
          </w:p>
        </w:tc>
        <w:tc>
          <w:tcPr>
            <w:tcW w:w="1608" w:type="dxa"/>
            <w:tcBorders>
              <w:tl2br w:val="nil"/>
              <w:tr2bl w:val="nil"/>
            </w:tcBorders>
            <w:shd w:val="clear" w:color="auto" w:fill="auto"/>
            <w:vAlign w:val="center"/>
          </w:tcPr>
          <w:p w14:paraId="77982290">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65.00</w:t>
            </w:r>
          </w:p>
        </w:tc>
        <w:tc>
          <w:tcPr>
            <w:tcW w:w="1335" w:type="dxa"/>
            <w:tcBorders>
              <w:tl2br w:val="nil"/>
              <w:tr2bl w:val="nil"/>
            </w:tcBorders>
            <w:shd w:val="clear" w:color="auto" w:fill="auto"/>
            <w:vAlign w:val="center"/>
          </w:tcPr>
          <w:p w14:paraId="0BA57552">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-5.00</w:t>
            </w:r>
          </w:p>
        </w:tc>
        <w:tc>
          <w:tcPr>
            <w:tcW w:w="1142" w:type="dxa"/>
            <w:tcBorders>
              <w:tl2br w:val="nil"/>
              <w:tr2bl w:val="nil"/>
            </w:tcBorders>
            <w:shd w:val="clear" w:color="auto" w:fill="auto"/>
            <w:vAlign w:val="center"/>
          </w:tcPr>
          <w:p w14:paraId="1105698F">
            <w:pPr>
              <w:keepNext w:val="0"/>
              <w:keepLines w:val="0"/>
              <w:widowControl/>
              <w:suppressLineNumbers w:val="0"/>
              <w:jc w:val="center"/>
              <w:textAlignment w:val="center"/>
              <w:rPr>
                <w:rFonts w:hint="eastAsia" w:ascii="仿宋" w:hAnsi="仿宋" w:eastAsia="仿宋" w:cs="仿宋"/>
                <w:sz w:val="24"/>
                <w:szCs w:val="24"/>
              </w:rPr>
            </w:pPr>
            <w:r>
              <w:rPr>
                <w:rFonts w:hint="eastAsia" w:ascii="宋体" w:hAnsi="宋体" w:eastAsia="宋体" w:cs="宋体"/>
                <w:i w:val="0"/>
                <w:color w:val="000000"/>
                <w:kern w:val="0"/>
                <w:sz w:val="24"/>
                <w:szCs w:val="24"/>
                <w:u w:val="none"/>
                <w:lang w:val="en-US" w:eastAsia="zh-CN" w:bidi="ar"/>
              </w:rPr>
              <w:t>-7.69%</w:t>
            </w:r>
          </w:p>
        </w:tc>
      </w:tr>
    </w:tbl>
    <w:p w14:paraId="1E4BD8E2">
      <w:pPr>
        <w:widowControl/>
        <w:ind w:firstLine="600" w:firstLineChars="200"/>
        <w:jc w:val="left"/>
        <w:rPr>
          <w:rFonts w:hint="eastAsia" w:ascii="楷体_GB2312" w:eastAsia="楷体_GB2312"/>
          <w:kern w:val="0"/>
          <w:sz w:val="30"/>
          <w:szCs w:val="30"/>
          <w:lang w:eastAsia="zh-CN"/>
        </w:rPr>
      </w:pPr>
    </w:p>
    <w:p w14:paraId="17067C37">
      <w:pPr>
        <w:widowControl/>
        <w:ind w:firstLine="600" w:firstLineChars="200"/>
        <w:jc w:val="left"/>
        <w:rPr>
          <w:rFonts w:hint="default" w:ascii="仿宋_GB2312" w:eastAsia="仿宋_GB2312" w:cs="仿宋_GB2312"/>
          <w:sz w:val="30"/>
          <w:szCs w:val="30"/>
        </w:rPr>
      </w:pPr>
      <w:r>
        <w:rPr>
          <w:rFonts w:hint="eastAsia" w:ascii="楷体" w:hAnsi="楷体" w:eastAsia="楷体" w:cs="楷体"/>
          <w:b w:val="0"/>
          <w:bCs w:val="0"/>
          <w:kern w:val="0"/>
          <w:sz w:val="30"/>
          <w:szCs w:val="30"/>
        </w:rPr>
        <w:t>（</w:t>
      </w:r>
      <w:r>
        <w:rPr>
          <w:rFonts w:hint="eastAsia" w:ascii="楷体" w:hAnsi="楷体" w:eastAsia="楷体" w:cs="楷体"/>
          <w:b w:val="0"/>
          <w:bCs w:val="0"/>
          <w:kern w:val="0"/>
          <w:sz w:val="30"/>
          <w:szCs w:val="30"/>
          <w:lang w:eastAsia="zh-CN"/>
        </w:rPr>
        <w:t>二</w:t>
      </w:r>
      <w:r>
        <w:rPr>
          <w:rFonts w:hint="eastAsia" w:ascii="楷体" w:hAnsi="楷体" w:eastAsia="楷体" w:cs="楷体"/>
          <w:b w:val="0"/>
          <w:bCs w:val="0"/>
          <w:kern w:val="0"/>
          <w:sz w:val="30"/>
          <w:szCs w:val="30"/>
        </w:rPr>
        <w:t>）</w:t>
      </w:r>
      <w:r>
        <w:rPr>
          <w:rFonts w:hint="eastAsia" w:ascii="楷体_GB2312" w:eastAsia="楷体_GB2312" w:cs="Times New Roman"/>
          <w:kern w:val="0"/>
          <w:sz w:val="30"/>
          <w:szCs w:val="30"/>
          <w:lang w:val="en-US" w:eastAsia="zh-CN"/>
        </w:rPr>
        <w:t>部门预算收入支出</w:t>
      </w:r>
      <w:r>
        <w:rPr>
          <w:rFonts w:hint="eastAsia" w:ascii="楷体_GB2312" w:eastAsia="楷体_GB2312"/>
          <w:kern w:val="0"/>
          <w:sz w:val="30"/>
          <w:szCs w:val="30"/>
          <w:lang w:eastAsia="zh-CN"/>
        </w:rPr>
        <w:t>增减变化情况及原因说明</w:t>
      </w:r>
    </w:p>
    <w:p w14:paraId="19B3DCBE">
      <w:pPr>
        <w:widowControl/>
        <w:ind w:firstLine="600" w:firstLineChars="200"/>
        <w:jc w:val="left"/>
        <w:rPr>
          <w:rFonts w:hint="eastAsia" w:ascii="楷体" w:hAnsi="楷体" w:eastAsia="楷体" w:cs="楷体"/>
          <w:b w:val="0"/>
          <w:bCs w:val="0"/>
          <w:kern w:val="0"/>
          <w:sz w:val="30"/>
          <w:szCs w:val="30"/>
        </w:rPr>
      </w:pPr>
      <w:r>
        <w:rPr>
          <w:rFonts w:hint="default" w:ascii="Calibri" w:hAnsi="Calibri" w:eastAsia="仿宋_GB2312" w:cs="Times New Roman"/>
          <w:kern w:val="0"/>
          <w:sz w:val="30"/>
          <w:szCs w:val="30"/>
          <w:lang w:val="en-US" w:eastAsia="zh-CN" w:bidi="ar-SA"/>
        </w:rPr>
        <w:t>20</w:t>
      </w:r>
      <w:r>
        <w:rPr>
          <w:rFonts w:hint="eastAsia" w:ascii="Calibri" w:hAnsi="Calibri" w:eastAsia="仿宋_GB2312" w:cs="Times New Roman"/>
          <w:kern w:val="0"/>
          <w:sz w:val="30"/>
          <w:szCs w:val="30"/>
          <w:lang w:val="en-US" w:eastAsia="zh-CN" w:bidi="ar-SA"/>
        </w:rPr>
        <w:t>20</w:t>
      </w:r>
      <w:r>
        <w:rPr>
          <w:rFonts w:ascii="Calibri" w:hAnsi="Calibri" w:eastAsia="仿宋_GB2312" w:cs="Times New Roman"/>
          <w:kern w:val="0"/>
          <w:sz w:val="30"/>
          <w:szCs w:val="30"/>
          <w:lang w:val="en-US" w:eastAsia="zh-CN" w:bidi="ar-SA"/>
        </w:rPr>
        <w:t>年部门预算收入支出</w:t>
      </w:r>
      <w:r>
        <w:rPr>
          <w:rFonts w:hint="eastAsia" w:eastAsia="仿宋_GB2312"/>
          <w:kern w:val="0"/>
          <w:sz w:val="30"/>
          <w:szCs w:val="30"/>
        </w:rPr>
        <w:t>6707.1</w:t>
      </w:r>
      <w:r>
        <w:rPr>
          <w:rFonts w:hint="default" w:ascii="Calibri" w:hAnsi="Calibri" w:eastAsia="仿宋_GB2312" w:cs="Times New Roman"/>
          <w:kern w:val="0"/>
          <w:sz w:val="30"/>
          <w:szCs w:val="30"/>
          <w:lang w:val="en-US" w:eastAsia="zh-CN" w:bidi="ar-SA"/>
        </w:rPr>
        <w:t>万元，较</w:t>
      </w:r>
      <w:r>
        <w:rPr>
          <w:rFonts w:hint="eastAsia" w:ascii="Calibri" w:hAnsi="Calibri" w:eastAsia="仿宋_GB2312" w:cs="Times New Roman"/>
          <w:kern w:val="0"/>
          <w:sz w:val="30"/>
          <w:szCs w:val="30"/>
          <w:lang w:val="en-US" w:eastAsia="zh-CN" w:bidi="ar-SA"/>
        </w:rPr>
        <w:t>2019</w:t>
      </w:r>
      <w:r>
        <w:rPr>
          <w:rFonts w:hint="default" w:ascii="Calibri" w:hAnsi="Calibri" w:eastAsia="仿宋_GB2312" w:cs="Times New Roman"/>
          <w:kern w:val="0"/>
          <w:sz w:val="30"/>
          <w:szCs w:val="30"/>
          <w:lang w:val="en-US" w:eastAsia="zh-CN" w:bidi="ar-SA"/>
        </w:rPr>
        <w:t>年收入支出</w:t>
      </w:r>
      <w:r>
        <w:rPr>
          <w:rFonts w:hint="eastAsia" w:ascii="Calibri" w:hAnsi="Calibri" w:eastAsia="仿宋_GB2312" w:cs="Times New Roman"/>
          <w:kern w:val="0"/>
          <w:sz w:val="30"/>
          <w:szCs w:val="30"/>
          <w:lang w:val="en-US" w:eastAsia="zh-CN" w:bidi="ar-SA"/>
        </w:rPr>
        <w:t>4848.49</w:t>
      </w:r>
      <w:r>
        <w:rPr>
          <w:rFonts w:hint="default" w:ascii="Calibri" w:hAnsi="Calibri" w:eastAsia="仿宋_GB2312" w:cs="Times New Roman"/>
          <w:kern w:val="0"/>
          <w:sz w:val="30"/>
          <w:szCs w:val="30"/>
          <w:lang w:val="en-US" w:eastAsia="zh-CN" w:bidi="ar-SA"/>
        </w:rPr>
        <w:t>万元，</w:t>
      </w:r>
      <w:r>
        <w:rPr>
          <w:rFonts w:hint="eastAsia" w:ascii="Calibri" w:hAnsi="Calibri" w:eastAsia="仿宋_GB2312" w:cs="Times New Roman"/>
          <w:kern w:val="0"/>
          <w:sz w:val="30"/>
          <w:szCs w:val="30"/>
          <w:lang w:val="en-US" w:eastAsia="zh-CN" w:bidi="ar-SA"/>
        </w:rPr>
        <w:t>增加</w:t>
      </w:r>
      <w:r>
        <w:rPr>
          <w:rFonts w:hint="eastAsia" w:eastAsia="仿宋_GB2312" w:cs="Times New Roman"/>
          <w:kern w:val="0"/>
          <w:sz w:val="30"/>
          <w:szCs w:val="30"/>
          <w:lang w:val="en-US" w:eastAsia="zh-CN" w:bidi="ar-SA"/>
        </w:rPr>
        <w:t>38.33</w:t>
      </w:r>
      <w:r>
        <w:rPr>
          <w:rFonts w:hint="default" w:ascii="Calibri" w:hAnsi="Calibri" w:eastAsia="仿宋_GB2312" w:cs="Times New Roman"/>
          <w:kern w:val="0"/>
          <w:sz w:val="30"/>
          <w:szCs w:val="30"/>
          <w:lang w:val="en-US" w:eastAsia="zh-CN" w:bidi="ar-SA"/>
        </w:rPr>
        <w:t>%。主要</w:t>
      </w:r>
      <w:r>
        <w:rPr>
          <w:rFonts w:hint="eastAsia" w:ascii="Calibri" w:hAnsi="Calibri" w:eastAsia="仿宋_GB2312" w:cs="Times New Roman"/>
          <w:kern w:val="0"/>
          <w:sz w:val="30"/>
          <w:szCs w:val="30"/>
          <w:lang w:val="en-US" w:eastAsia="zh-CN" w:bidi="ar-SA"/>
        </w:rPr>
        <w:t>原因为2020年度大规模</w:t>
      </w:r>
      <w:r>
        <w:rPr>
          <w:rFonts w:hint="eastAsia" w:eastAsia="仿宋_GB2312" w:cs="Times New Roman"/>
          <w:kern w:val="0"/>
          <w:sz w:val="30"/>
          <w:szCs w:val="30"/>
          <w:lang w:val="en-US" w:eastAsia="zh-CN" w:bidi="ar-SA"/>
        </w:rPr>
        <w:t>基本建设支</w:t>
      </w:r>
      <w:r>
        <w:rPr>
          <w:rFonts w:hint="eastAsia" w:ascii="Calibri" w:hAnsi="Calibri" w:eastAsia="仿宋_GB2312" w:cs="Times New Roman"/>
          <w:kern w:val="0"/>
          <w:sz w:val="30"/>
          <w:szCs w:val="30"/>
          <w:lang w:val="en-US" w:eastAsia="zh-CN" w:bidi="ar-SA"/>
        </w:rPr>
        <w:t>出建设完成，工程项目进入决算阶段，项目</w:t>
      </w:r>
      <w:r>
        <w:rPr>
          <w:rFonts w:hint="eastAsia" w:eastAsia="仿宋_GB2312" w:cs="Times New Roman"/>
          <w:kern w:val="0"/>
          <w:sz w:val="30"/>
          <w:szCs w:val="30"/>
          <w:lang w:val="en-US" w:eastAsia="zh-CN" w:bidi="ar-SA"/>
        </w:rPr>
        <w:t>收入</w:t>
      </w:r>
      <w:r>
        <w:rPr>
          <w:rFonts w:hint="eastAsia" w:ascii="Calibri" w:hAnsi="Calibri" w:eastAsia="仿宋_GB2312" w:cs="Times New Roman"/>
          <w:kern w:val="0"/>
          <w:sz w:val="30"/>
          <w:szCs w:val="30"/>
          <w:lang w:val="en-US" w:eastAsia="zh-CN" w:bidi="ar-SA"/>
        </w:rPr>
        <w:t>支出增加</w:t>
      </w:r>
      <w:r>
        <w:rPr>
          <w:rFonts w:hint="default" w:ascii="Calibri" w:hAnsi="Calibri" w:eastAsia="仿宋_GB2312" w:cs="Times New Roman"/>
          <w:kern w:val="0"/>
          <w:sz w:val="30"/>
          <w:szCs w:val="30"/>
          <w:lang w:val="en-US" w:eastAsia="zh-CN" w:bidi="ar-SA"/>
        </w:rPr>
        <w:t>。</w:t>
      </w:r>
    </w:p>
    <w:p w14:paraId="1F48A21F">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14:paraId="2CEC31BC">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14:paraId="512B3FB1">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w:t>
      </w:r>
      <w:r>
        <w:rPr>
          <w:rFonts w:ascii="仿宋_GB2312" w:eastAsia="仿宋_GB2312" w:cs="仿宋_GB2312"/>
          <w:sz w:val="30"/>
          <w:szCs w:val="30"/>
          <w:shd w:val="clear" w:color="auto" w:fill="FFFFFF"/>
        </w:rPr>
        <w:t>、财政拨款收入：指财政部门用一般预算收入安排的预算单位资金。</w:t>
      </w:r>
    </w:p>
    <w:p w14:paraId="50BB3AEB">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2</w:t>
      </w:r>
      <w:r>
        <w:rPr>
          <w:rFonts w:hint="default" w:ascii="仿宋_GB2312" w:eastAsia="仿宋_GB2312" w:cs="仿宋_GB2312"/>
          <w:sz w:val="30"/>
          <w:szCs w:val="30"/>
          <w:shd w:val="clear" w:color="auto" w:fill="FFFFFF"/>
        </w:rPr>
        <w:t>、财政专户资金：指行政事业单位按照省物价部门和财政部门批准的收费许可证收取的缴入财政专户的行政事业性收费。</w:t>
      </w:r>
    </w:p>
    <w:p w14:paraId="53F7622F">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3</w:t>
      </w:r>
      <w:r>
        <w:rPr>
          <w:rFonts w:hint="default" w:ascii="仿宋_GB2312" w:eastAsia="仿宋_GB2312" w:cs="仿宋_GB2312"/>
          <w:sz w:val="30"/>
          <w:szCs w:val="30"/>
          <w:shd w:val="clear" w:color="auto" w:fill="FFFFFF"/>
        </w:rPr>
        <w:t>、事业收入：指事业单位开展专业业务活动及辅助活动取得的收入。</w:t>
      </w:r>
    </w:p>
    <w:p w14:paraId="037D497C">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4</w:t>
      </w:r>
      <w:r>
        <w:rPr>
          <w:rFonts w:hint="default" w:ascii="仿宋_GB2312" w:eastAsia="仿宋_GB2312" w:cs="仿宋_GB2312"/>
          <w:sz w:val="30"/>
          <w:szCs w:val="30"/>
          <w:shd w:val="clear" w:color="auto" w:fill="FFFFFF"/>
        </w:rPr>
        <w:t>、事业单位经营收入：指事业单位在专业业务活动及辅助活动之外开展非独立核算经营活动取得的收入。</w:t>
      </w:r>
    </w:p>
    <w:p w14:paraId="2BCA87A1">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5</w:t>
      </w:r>
      <w:r>
        <w:rPr>
          <w:rFonts w:hint="default" w:ascii="仿宋_GB2312" w:eastAsia="仿宋_GB2312" w:cs="仿宋_GB2312"/>
          <w:sz w:val="30"/>
          <w:szCs w:val="30"/>
          <w:shd w:val="clear" w:color="auto" w:fill="FFFFFF"/>
        </w:rPr>
        <w:t>、其他收入：指除 “财政拨款收入”、“财政专户资金”、“事业收入”、“事业单位经营收入”以外的各项收入。包括利息收入、捐赠收入等。</w:t>
      </w:r>
    </w:p>
    <w:p w14:paraId="7D3C1E02">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6</w:t>
      </w:r>
      <w:r>
        <w:rPr>
          <w:rFonts w:hint="default" w:ascii="仿宋_GB2312" w:eastAsia="仿宋_GB2312" w:cs="仿宋_GB2312"/>
          <w:sz w:val="30"/>
          <w:szCs w:val="30"/>
          <w:shd w:val="clear" w:color="auto" w:fill="FFFFFF"/>
        </w:rPr>
        <w:t>、基本支出：反映为保障机构正常运转、完成日常工作任务而发生的人员支出和公用支出。</w:t>
      </w:r>
    </w:p>
    <w:p w14:paraId="2F57983D">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7</w:t>
      </w:r>
      <w:r>
        <w:rPr>
          <w:rFonts w:hint="default" w:ascii="仿宋_GB2312" w:eastAsia="仿宋_GB2312" w:cs="仿宋_GB2312"/>
          <w:sz w:val="30"/>
          <w:szCs w:val="30"/>
          <w:shd w:val="clear" w:color="auto" w:fill="FFFFFF"/>
        </w:rPr>
        <w:t>、项目支出：反映行政单位为完成特定的工作任务或事业发展目标，在基本的预算支出以外，财政预算专款安排的支出。</w:t>
      </w:r>
    </w:p>
    <w:p w14:paraId="19EFDA12">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8</w:t>
      </w:r>
      <w:r>
        <w:rPr>
          <w:rFonts w:hint="default" w:ascii="仿宋_GB2312" w:eastAsia="仿宋_GB2312" w:cs="仿宋_GB2312"/>
          <w:sz w:val="30"/>
          <w:szCs w:val="30"/>
          <w:shd w:val="clear" w:color="auto" w:fill="FFFFFF"/>
        </w:rPr>
        <w:t>、支出功能分类：按照政府的各项职能活动将支出进行分类；支出经济分类：按照政府各项支出的具体用途将支出进行分类。</w:t>
      </w:r>
    </w:p>
    <w:p w14:paraId="2B39B65A">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9</w:t>
      </w:r>
      <w:r>
        <w:rPr>
          <w:rFonts w:hint="default" w:ascii="仿宋_GB2312" w:eastAsia="仿宋_GB2312" w:cs="仿宋_GB2312"/>
          <w:sz w:val="30"/>
          <w:szCs w:val="30"/>
          <w:shd w:val="clear" w:color="auto" w:fill="FFFFFF"/>
        </w:rPr>
        <w:t>、一般公共服务支出（类）：反映政府提供一般公共服务的支出。</w:t>
      </w:r>
    </w:p>
    <w:p w14:paraId="246F0055">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10</w:t>
      </w:r>
      <w:r>
        <w:rPr>
          <w:rFonts w:hint="default" w:ascii="仿宋_GB2312" w:eastAsia="仿宋_GB2312" w:cs="仿宋_GB2312"/>
          <w:sz w:val="30"/>
          <w:szCs w:val="30"/>
          <w:shd w:val="clear" w:color="auto" w:fill="FFFFFF"/>
        </w:rPr>
        <w:t>、一般公共服务支出（类）财政事务（款）：反映财政事务方面的支出。</w:t>
      </w:r>
    </w:p>
    <w:p w14:paraId="007A16BE">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1</w:t>
      </w:r>
      <w:r>
        <w:rPr>
          <w:rFonts w:hint="default" w:ascii="仿宋_GB2312" w:eastAsia="仿宋_GB2312" w:cs="仿宋_GB2312"/>
          <w:sz w:val="30"/>
          <w:szCs w:val="30"/>
          <w:shd w:val="clear" w:color="auto" w:fill="FFFFFF"/>
        </w:rPr>
        <w:t>）一般公共服务支出（类）财政事务（款）行政运行（项）：反映行政单位（包括实行公务员管理的事业单位）的基本支出。</w:t>
      </w:r>
    </w:p>
    <w:p w14:paraId="5D48B308">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2</w:t>
      </w:r>
      <w:r>
        <w:rPr>
          <w:rFonts w:hint="default" w:ascii="仿宋_GB2312" w:eastAsia="仿宋_GB2312" w:cs="仿宋_GB2312"/>
          <w:sz w:val="30"/>
          <w:szCs w:val="30"/>
          <w:shd w:val="clear" w:color="auto" w:fill="FFFFFF"/>
        </w:rPr>
        <w:t>）一般公共服务支出（类）财政事务（款）一般行政管理事务（项）：反映行政单位（包括实行公务员管理的事业单位）未单独设置项级科目的其他项目支出。</w:t>
      </w:r>
    </w:p>
    <w:p w14:paraId="6467CD0A">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3</w:t>
      </w:r>
      <w:r>
        <w:rPr>
          <w:rFonts w:hint="default" w:ascii="仿宋_GB2312" w:eastAsia="仿宋_GB2312" w:cs="仿宋_GB2312"/>
          <w:sz w:val="30"/>
          <w:szCs w:val="30"/>
          <w:shd w:val="clear" w:color="auto" w:fill="FFFFFF"/>
        </w:rPr>
        <w:t>）一般公共服务支出（类）财政事务（款）预算改革业务（项）：反映财政部门用于预算改革方面的支出。</w:t>
      </w:r>
    </w:p>
    <w:p w14:paraId="75C9E2B8">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4</w:t>
      </w:r>
      <w:r>
        <w:rPr>
          <w:rFonts w:hint="default" w:ascii="仿宋_GB2312" w:eastAsia="仿宋_GB2312" w:cs="仿宋_GB2312"/>
          <w:sz w:val="30"/>
          <w:szCs w:val="30"/>
          <w:shd w:val="clear" w:color="auto" w:fill="FFFFFF"/>
        </w:rPr>
        <w:t>）一般公共服务支出（类）财政事务（款）财政国库业务（项）：反映财政部门用于财政国库集中收付业务方面的支出。</w:t>
      </w:r>
    </w:p>
    <w:p w14:paraId="37B2A23E">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5</w:t>
      </w:r>
      <w:r>
        <w:rPr>
          <w:rFonts w:hint="default" w:ascii="仿宋_GB2312" w:eastAsia="仿宋_GB2312" w:cs="仿宋_GB2312"/>
          <w:sz w:val="30"/>
          <w:szCs w:val="30"/>
          <w:shd w:val="clear" w:color="auto" w:fill="FFFFFF"/>
        </w:rPr>
        <w:t>）一般公共服务支出（类）财政事务（款）事业运行（项）：反映事业单位的基本支出。</w:t>
      </w:r>
    </w:p>
    <w:p w14:paraId="10CBA581">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6</w:t>
      </w:r>
      <w:r>
        <w:rPr>
          <w:rFonts w:hint="default" w:ascii="仿宋_GB2312" w:eastAsia="仿宋_GB2312" w:cs="仿宋_GB2312"/>
          <w:sz w:val="30"/>
          <w:szCs w:val="30"/>
          <w:shd w:val="clear" w:color="auto" w:fill="FFFFFF"/>
        </w:rPr>
        <w:t>）一般公共服务支出（类）财政事务（款）其他财政事务支出（项）：反映除上述项目以外其他财政事务方面的支出。</w:t>
      </w:r>
    </w:p>
    <w:p w14:paraId="16549448">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11</w:t>
      </w:r>
      <w:r>
        <w:rPr>
          <w:rFonts w:hint="default" w:ascii="仿宋_GB2312" w:eastAsia="仿宋_GB2312" w:cs="仿宋_GB2312"/>
          <w:sz w:val="30"/>
          <w:szCs w:val="30"/>
          <w:shd w:val="clear" w:color="auto" w:fill="FFFFFF"/>
        </w:rPr>
        <w:t>、社会保障和就业支出（类）：反映政府在社会保障与就业方面的支出。</w:t>
      </w:r>
    </w:p>
    <w:p w14:paraId="758EEE42">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12</w:t>
      </w:r>
      <w:r>
        <w:rPr>
          <w:rFonts w:hint="default" w:ascii="仿宋_GB2312" w:eastAsia="仿宋_GB2312" w:cs="仿宋_GB2312"/>
          <w:sz w:val="30"/>
          <w:szCs w:val="30"/>
          <w:shd w:val="clear" w:color="auto" w:fill="FFFFFF"/>
        </w:rPr>
        <w:t>、社会保障和就业支出（类）行政事业单位离退休（款）：反映用于行政事业单位离退休方面的支出。</w:t>
      </w:r>
    </w:p>
    <w:p w14:paraId="308FD559">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1</w:t>
      </w:r>
      <w:r>
        <w:rPr>
          <w:rFonts w:hint="default" w:ascii="仿宋_GB2312" w:eastAsia="仿宋_GB2312" w:cs="仿宋_GB2312"/>
          <w:sz w:val="30"/>
          <w:szCs w:val="30"/>
          <w:shd w:val="clear" w:color="auto" w:fill="FFFFFF"/>
        </w:rPr>
        <w:t>）社会保障和就业支出（类）行政事业单位离退休（款）未归口管理的行政单位离退休（项）：反映未实行归口管理的行政单位（包括实行公务员管理的事业单位）开支的离退休经费。</w:t>
      </w:r>
    </w:p>
    <w:p w14:paraId="12BBA9E1">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13</w:t>
      </w:r>
      <w:r>
        <w:rPr>
          <w:rFonts w:hint="default" w:ascii="仿宋_GB2312" w:eastAsia="仿宋_GB2312" w:cs="仿宋_GB2312"/>
          <w:sz w:val="30"/>
          <w:szCs w:val="30"/>
          <w:shd w:val="clear" w:color="auto" w:fill="FFFFFF"/>
        </w:rPr>
        <w:t>、住房保障支出（类）：集中反映政府用于住房方面的支出。</w:t>
      </w:r>
    </w:p>
    <w:p w14:paraId="16BDE94B">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14</w:t>
      </w:r>
      <w:r>
        <w:rPr>
          <w:rFonts w:hint="default" w:ascii="仿宋_GB2312" w:eastAsia="仿宋_GB2312" w:cs="仿宋_GB2312"/>
          <w:sz w:val="30"/>
          <w:szCs w:val="30"/>
          <w:shd w:val="clear" w:color="auto" w:fill="FFFFFF"/>
        </w:rPr>
        <w:t>、住房保障支出（类）住房改革支出（款）：反映行政事业单位用财政拨款资金和其他资金等安排的住房改革支出。</w:t>
      </w:r>
    </w:p>
    <w:p w14:paraId="0E72A620">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1</w:t>
      </w:r>
      <w:r>
        <w:rPr>
          <w:rFonts w:hint="default" w:ascii="仿宋_GB2312" w:eastAsia="仿宋_GB2312" w:cs="仿宋_GB2312"/>
          <w:sz w:val="30"/>
          <w:szCs w:val="30"/>
          <w:shd w:val="clear" w:color="auto" w:fill="FFFFFF"/>
        </w:rPr>
        <w:t>）住房保障支出（类）住房改革支出（款）住房公积金（项）：反映行政事业单位按人力资源和社会保障部、财政部规定的基本工资和津贴补贴以及规定比例为职工缴纳的住房公积金。</w:t>
      </w:r>
    </w:p>
    <w:p w14:paraId="76CE6DF6">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2</w:t>
      </w:r>
      <w:r>
        <w:rPr>
          <w:rFonts w:hint="default" w:ascii="仿宋_GB2312" w:eastAsia="仿宋_GB2312" w:cs="仿宋_GB2312"/>
          <w:sz w:val="30"/>
          <w:szCs w:val="30"/>
          <w:shd w:val="clear" w:color="auto" w:fill="FFFFFF"/>
        </w:rPr>
        <w:t>）住房保障支出（类）住房改革支出（款）提租补贴（项）：反映按房改政策规定的标准，行政事业单位向职工（含离退休人员）发放的租金补贴。</w:t>
      </w:r>
    </w:p>
    <w:p w14:paraId="4F34378E">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3</w:t>
      </w:r>
      <w:r>
        <w:rPr>
          <w:rFonts w:hint="default" w:ascii="仿宋_GB2312" w:eastAsia="仿宋_GB2312" w:cs="仿宋_GB2312"/>
          <w:sz w:val="30"/>
          <w:szCs w:val="30"/>
          <w:shd w:val="clear" w:color="auto" w:fill="FFFFFF"/>
        </w:rPr>
        <w:t>）住房保障支出（类）住房改革支出（款）购房补贴（项）：反映按房改政策规定，行政事业单位向符合条件职工（含离退休人员）、军队</w:t>
      </w:r>
      <w:r>
        <w:rPr>
          <w:rFonts w:hint="default" w:ascii="Times New Roman" w:hAnsi="Times New Roman" w:cs="Times New Roman"/>
          <w:sz w:val="30"/>
          <w:szCs w:val="30"/>
          <w:shd w:val="clear" w:color="auto" w:fill="FFFFFF"/>
        </w:rPr>
        <w:t>(</w:t>
      </w:r>
      <w:r>
        <w:rPr>
          <w:rFonts w:hint="default" w:ascii="仿宋_GB2312" w:eastAsia="仿宋_GB2312" w:cs="仿宋_GB2312"/>
          <w:sz w:val="30"/>
          <w:szCs w:val="30"/>
          <w:shd w:val="clear" w:color="auto" w:fill="FFFFFF"/>
        </w:rPr>
        <w:t>含武警</w:t>
      </w:r>
      <w:r>
        <w:rPr>
          <w:rFonts w:hint="default" w:ascii="Times New Roman" w:hAnsi="Times New Roman" w:cs="Times New Roman"/>
          <w:sz w:val="30"/>
          <w:szCs w:val="30"/>
          <w:shd w:val="clear" w:color="auto" w:fill="FFFFFF"/>
        </w:rPr>
        <w:t>)</w:t>
      </w:r>
      <w:r>
        <w:rPr>
          <w:rFonts w:hint="default" w:ascii="仿宋_GB2312" w:eastAsia="仿宋_GB2312" w:cs="仿宋_GB2312"/>
          <w:sz w:val="30"/>
          <w:szCs w:val="30"/>
          <w:shd w:val="clear" w:color="auto" w:fill="FFFFFF"/>
        </w:rPr>
        <w:t>向转役复员离退休人员发放的用于购买住房的补贴。</w:t>
      </w:r>
    </w:p>
    <w:p w14:paraId="1905A295">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15</w:t>
      </w:r>
      <w:r>
        <w:rPr>
          <w:rFonts w:hint="default" w:ascii="仿宋_GB2312" w:eastAsia="仿宋_GB2312" w:cs="仿宋_GB2312"/>
          <w:sz w:val="30"/>
          <w:szCs w:val="30"/>
          <w:shd w:val="clear" w:color="auto" w:fill="FFFFFF"/>
        </w:rPr>
        <w:t>、工资福利支出（类）：反映单位开支的在职职工和编制外长期聘用人员的各类劳动报酬，以及为上述人员缴纳的各项社会保险费等。</w:t>
      </w:r>
    </w:p>
    <w:p w14:paraId="40FD726F">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16</w:t>
      </w:r>
      <w:r>
        <w:rPr>
          <w:rFonts w:hint="default" w:ascii="仿宋_GB2312" w:eastAsia="仿宋_GB2312" w:cs="仿宋_GB2312"/>
          <w:sz w:val="30"/>
          <w:szCs w:val="30"/>
          <w:shd w:val="clear" w:color="auto" w:fill="FFFFFF"/>
        </w:rPr>
        <w:t>、商品和服务支出（类）：反映单位购买商品和服务的支出。</w:t>
      </w:r>
    </w:p>
    <w:p w14:paraId="54A9FFF4">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17</w:t>
      </w:r>
      <w:r>
        <w:rPr>
          <w:rFonts w:hint="default" w:ascii="仿宋_GB2312" w:eastAsia="仿宋_GB2312" w:cs="仿宋_GB2312"/>
          <w:sz w:val="30"/>
          <w:szCs w:val="30"/>
          <w:shd w:val="clear" w:color="auto" w:fill="FFFFFF"/>
        </w:rPr>
        <w:t>、离退休公用支出（类）：按照政策规定标准发给离退休人员的特别补助费和活动费。</w:t>
      </w:r>
    </w:p>
    <w:p w14:paraId="016D7D0A">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18</w:t>
      </w:r>
      <w:r>
        <w:rPr>
          <w:rFonts w:hint="default" w:ascii="仿宋_GB2312" w:eastAsia="仿宋_GB2312" w:cs="仿宋_GB2312"/>
          <w:sz w:val="30"/>
          <w:szCs w:val="30"/>
          <w:shd w:val="clear" w:color="auto" w:fill="FFFFFF"/>
        </w:rPr>
        <w:t>、职工体检费支出（类）：反映单位支付的职工体检费支出。</w:t>
      </w:r>
    </w:p>
    <w:p w14:paraId="52882D3B">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19</w:t>
      </w:r>
      <w:r>
        <w:rPr>
          <w:rFonts w:hint="default" w:ascii="仿宋_GB2312" w:eastAsia="仿宋_GB2312" w:cs="仿宋_GB2312"/>
          <w:sz w:val="30"/>
          <w:szCs w:val="30"/>
          <w:shd w:val="clear" w:color="auto" w:fill="FFFFFF"/>
        </w:rPr>
        <w:t>、对个人和家庭补助支出（类）：反映政府用于对个人和家庭的补助支出。</w:t>
      </w:r>
    </w:p>
    <w:p w14:paraId="4442D0E3">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Times New Roman" w:hAnsi="Times New Roman" w:cs="Times New Roman"/>
          <w:sz w:val="30"/>
          <w:szCs w:val="30"/>
          <w:shd w:val="clear" w:color="auto" w:fill="FFFFFF"/>
        </w:rPr>
        <w:t>20</w:t>
      </w:r>
      <w:r>
        <w:rPr>
          <w:rFonts w:hint="default" w:ascii="仿宋_GB2312" w:eastAsia="仿宋_GB2312" w:cs="仿宋_GB2312"/>
          <w:sz w:val="30"/>
          <w:szCs w:val="30"/>
          <w:shd w:val="clear" w:color="auto" w:fill="FFFFFF"/>
        </w:rPr>
        <w:t>、一般公共预算“三公”经费：是指用财政拨款安排的因公出国（境）费、公务用车购置及运行维护费和公务接待费。</w:t>
      </w:r>
    </w:p>
    <w:p w14:paraId="1C749651">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1</w:t>
      </w:r>
      <w:r>
        <w:rPr>
          <w:rFonts w:hint="default" w:ascii="仿宋_GB2312" w:eastAsia="仿宋_GB2312" w:cs="仿宋_GB2312"/>
          <w:sz w:val="30"/>
          <w:szCs w:val="30"/>
          <w:shd w:val="clear" w:color="auto" w:fill="FFFFFF"/>
        </w:rPr>
        <w:t>）因公出国（境）费：反映公务出国（境）的住宿费、旅费、伙食补助费、杂费、培训费等支出。</w:t>
      </w:r>
    </w:p>
    <w:p w14:paraId="7DFC0BB0">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2</w:t>
      </w:r>
      <w:r>
        <w:rPr>
          <w:rFonts w:hint="default" w:ascii="仿宋_GB2312" w:eastAsia="仿宋_GB2312" w:cs="仿宋_GB2312"/>
          <w:sz w:val="30"/>
          <w:szCs w:val="30"/>
          <w:shd w:val="clear" w:color="auto" w:fill="FFFFFF"/>
        </w:rPr>
        <w:t>）公务接待费：反映按规定开支的各类公务接待（含外宾接待）支出。</w:t>
      </w:r>
    </w:p>
    <w:p w14:paraId="510885D3">
      <w:pPr>
        <w:pStyle w:val="3"/>
        <w:keepNext w:val="0"/>
        <w:keepLines w:val="0"/>
        <w:widowControl/>
        <w:suppressLineNumbers w:val="0"/>
        <w:shd w:val="clear" w:color="auto" w:fill="FFFFFF"/>
        <w:spacing w:before="0" w:beforeAutospacing="0" w:after="0" w:afterAutospacing="0"/>
        <w:ind w:left="0" w:firstLine="480"/>
        <w:rPr>
          <w:sz w:val="30"/>
          <w:szCs w:val="30"/>
        </w:rPr>
      </w:pPr>
      <w:r>
        <w:rPr>
          <w:rFonts w:hint="default" w:ascii="仿宋_GB2312" w:eastAsia="仿宋_GB2312" w:cs="仿宋_GB2312"/>
          <w:sz w:val="30"/>
          <w:szCs w:val="30"/>
          <w:shd w:val="clear" w:color="auto" w:fill="FFFFFF"/>
        </w:rPr>
        <w:t>（</w:t>
      </w:r>
      <w:r>
        <w:rPr>
          <w:rFonts w:hint="eastAsia" w:ascii="仿宋_GB2312" w:eastAsia="仿宋_GB2312" w:cs="仿宋_GB2312"/>
          <w:sz w:val="30"/>
          <w:szCs w:val="30"/>
          <w:shd w:val="clear" w:color="auto" w:fill="FFFFFF"/>
          <w:lang w:val="en-US" w:eastAsia="zh-CN"/>
        </w:rPr>
        <w:t>3</w:t>
      </w:r>
      <w:r>
        <w:rPr>
          <w:rFonts w:hint="default" w:ascii="仿宋_GB2312" w:eastAsia="仿宋_GB2312" w:cs="仿宋_GB2312"/>
          <w:sz w:val="30"/>
          <w:szCs w:val="30"/>
          <w:shd w:val="clear" w:color="auto" w:fill="FFFFFF"/>
        </w:rPr>
        <w:t>）公务用车购置及运行维护费：反映公务用车购置费及租用费、燃料费、维修费、过路过桥费、保险费等支出。</w:t>
      </w:r>
    </w:p>
    <w:p w14:paraId="1ABCEF55">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14:paraId="222275BF">
      <w:pPr>
        <w:widowControl/>
        <w:ind w:firstLine="600"/>
        <w:jc w:val="left"/>
        <w:rPr>
          <w:rFonts w:hint="eastAsia" w:eastAsia="仿宋_GB2312"/>
          <w:kern w:val="0"/>
          <w:sz w:val="30"/>
          <w:szCs w:val="30"/>
          <w:lang w:val="en-US" w:eastAsia="zh-CN"/>
        </w:rPr>
      </w:pPr>
      <w:r>
        <w:rPr>
          <w:rFonts w:hint="eastAsia" w:eastAsia="仿宋_GB2312"/>
          <w:kern w:val="0"/>
          <w:sz w:val="30"/>
          <w:szCs w:val="30"/>
          <w:lang w:val="en-US" w:eastAsia="zh-CN"/>
        </w:rPr>
        <w:t>机关运行经费指行政单位和参照公务员法管理的事业单位使用一般公共预算财政拨款安排的基本支出中的日常公用经费支出。主要用于行政机关日常运行，发生的办公费、公务用车运行维护、水电费、会议费、培训费、差旅费、印刷费及办公设备购置等。2020年交警支队行政运行经费预算为370.04万元,</w:t>
      </w:r>
      <w:r>
        <w:rPr>
          <w:rFonts w:hint="eastAsia" w:ascii="仿宋_GB2312" w:hAnsi="宋体" w:eastAsia="仿宋_GB2312" w:cs="仿宋_GB2312"/>
          <w:color w:val="333333"/>
          <w:kern w:val="0"/>
          <w:sz w:val="30"/>
          <w:szCs w:val="30"/>
          <w:lang w:val="en-US" w:eastAsia="zh-CN"/>
        </w:rPr>
        <w:t>2019</w:t>
      </w:r>
      <w:r>
        <w:rPr>
          <w:rFonts w:hint="default" w:ascii="仿宋_GB2312" w:hAnsi="宋体" w:eastAsia="仿宋_GB2312" w:cs="仿宋_GB2312"/>
          <w:color w:val="333333"/>
          <w:kern w:val="0"/>
          <w:sz w:val="30"/>
          <w:szCs w:val="30"/>
        </w:rPr>
        <w:t>年机关运行经费安排支出</w:t>
      </w:r>
      <w:r>
        <w:rPr>
          <w:rFonts w:hint="eastAsia" w:eastAsia="仿宋_GB2312"/>
          <w:kern w:val="0"/>
          <w:sz w:val="30"/>
          <w:szCs w:val="30"/>
          <w:lang w:val="en-US" w:eastAsia="zh-CN"/>
        </w:rPr>
        <w:t>106.32</w:t>
      </w:r>
      <w:r>
        <w:rPr>
          <w:rFonts w:hint="default" w:ascii="仿宋_GB2312" w:hAnsi="宋体" w:eastAsia="仿宋_GB2312" w:cs="仿宋_GB2312"/>
          <w:color w:val="333333"/>
          <w:kern w:val="0"/>
          <w:sz w:val="30"/>
          <w:szCs w:val="30"/>
        </w:rPr>
        <w:t>万元</w:t>
      </w:r>
      <w:r>
        <w:rPr>
          <w:rFonts w:hint="eastAsia" w:ascii="仿宋_GB2312" w:hAnsi="宋体" w:eastAsia="仿宋_GB2312" w:cs="仿宋_GB2312"/>
          <w:color w:val="333333"/>
          <w:kern w:val="0"/>
          <w:sz w:val="30"/>
          <w:szCs w:val="30"/>
          <w:lang w:val="en-US" w:eastAsia="zh-CN"/>
        </w:rPr>
        <w:t>,同比增加263.72万余，主要变化原因为单位用款计划调整。</w:t>
      </w:r>
    </w:p>
    <w:p w14:paraId="3CC82D9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kern w:val="0"/>
          <w:sz w:val="30"/>
          <w:szCs w:val="30"/>
        </w:rPr>
      </w:pPr>
      <w:r>
        <w:rPr>
          <w:rFonts w:hint="eastAsia" w:ascii="楷体_GB2312" w:eastAsia="楷体_GB2312"/>
          <w:kern w:val="0"/>
          <w:sz w:val="30"/>
          <w:szCs w:val="30"/>
          <w:lang w:val="en-US" w:eastAsia="zh-CN"/>
        </w:rPr>
        <w:t>(三)</w:t>
      </w:r>
      <w:r>
        <w:rPr>
          <w:rFonts w:ascii="楷体_GB2312" w:eastAsia="楷体_GB2312"/>
          <w:kern w:val="0"/>
          <w:sz w:val="30"/>
          <w:szCs w:val="30"/>
        </w:rPr>
        <w:t>国有资产占用情况</w:t>
      </w:r>
    </w:p>
    <w:p w14:paraId="38F93C48">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w:t>
      </w:r>
      <w:r>
        <w:rPr>
          <w:rFonts w:hint="eastAsia" w:eastAsia="仿宋_GB2312"/>
          <w:kern w:val="0"/>
          <w:sz w:val="30"/>
          <w:szCs w:val="30"/>
        </w:rPr>
        <w:t>鉴于截至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2019</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2019</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2019</w:t>
      </w:r>
      <w:r>
        <w:rPr>
          <w:rFonts w:hint="eastAsia" w:eastAsia="仿宋_GB2312"/>
          <w:kern w:val="0"/>
          <w:sz w:val="30"/>
          <w:szCs w:val="30"/>
        </w:rPr>
        <w:t>年12月31日的国有资产占有使用情况。</w:t>
      </w:r>
    </w:p>
    <w:p w14:paraId="1B04703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ascii="楷体_GB2312" w:eastAsia="楷体_GB2312"/>
          <w:kern w:val="0"/>
          <w:sz w:val="30"/>
          <w:szCs w:val="30"/>
        </w:rPr>
      </w:pPr>
      <w:r>
        <w:rPr>
          <w:rFonts w:hint="eastAsia" w:ascii="楷体_GB2312" w:eastAsia="楷体_GB2312"/>
          <w:kern w:val="0"/>
          <w:sz w:val="30"/>
          <w:szCs w:val="30"/>
          <w:lang w:val="en-US" w:eastAsia="zh-CN"/>
        </w:rPr>
        <w:t>(四)</w:t>
      </w:r>
      <w:r>
        <w:rPr>
          <w:rFonts w:hint="eastAsia" w:ascii="楷体_GB2312" w:eastAsia="楷体_GB2312"/>
          <w:kern w:val="0"/>
          <w:sz w:val="30"/>
          <w:szCs w:val="30"/>
          <w:lang w:eastAsia="zh-CN"/>
        </w:rPr>
        <w:t>本部门预算绩效情况说明</w:t>
      </w:r>
    </w:p>
    <w:p w14:paraId="1C08ABFD">
      <w:pPr>
        <w:keepNext w:val="0"/>
        <w:keepLines w:val="0"/>
        <w:pageBreakBefore w:val="0"/>
        <w:widowControl/>
        <w:numPr>
          <w:ilvl w:val="0"/>
          <w:numId w:val="0"/>
        </w:numPr>
        <w:kinsoku/>
        <w:wordWrap/>
        <w:overflowPunct/>
        <w:topLinePunct w:val="0"/>
        <w:autoSpaceDE/>
        <w:autoSpaceDN/>
        <w:bidi w:val="0"/>
        <w:adjustRightInd/>
        <w:snapToGrid/>
        <w:ind w:firstLine="600" w:firstLineChars="200"/>
        <w:jc w:val="left"/>
        <w:textAlignment w:val="auto"/>
      </w:pPr>
      <w:r>
        <w:rPr>
          <w:rFonts w:hint="eastAsia" w:ascii="楷体_GB2312" w:eastAsia="楷体_GB2312"/>
          <w:kern w:val="0"/>
          <w:sz w:val="30"/>
          <w:szCs w:val="30"/>
          <w:lang w:val="en-US" w:eastAsia="zh-CN"/>
        </w:rPr>
        <w:t xml:space="preserve"> </w:t>
      </w:r>
      <w:r>
        <w:rPr>
          <w:rFonts w:hint="default" w:eastAsia="仿宋_GB2312" w:cs="Times New Roman"/>
          <w:kern w:val="0"/>
          <w:sz w:val="30"/>
          <w:szCs w:val="30"/>
        </w:rPr>
        <w:t>20</w:t>
      </w:r>
      <w:r>
        <w:rPr>
          <w:rFonts w:hint="eastAsia" w:eastAsia="仿宋_GB2312" w:cs="Times New Roman"/>
          <w:kern w:val="0"/>
          <w:sz w:val="30"/>
          <w:szCs w:val="30"/>
          <w:lang w:val="en-US" w:eastAsia="zh-CN"/>
        </w:rPr>
        <w:t>20</w:t>
      </w:r>
      <w:r>
        <w:rPr>
          <w:rFonts w:hint="default" w:eastAsia="仿宋_GB2312" w:cs="Times New Roman"/>
          <w:kern w:val="0"/>
          <w:sz w:val="30"/>
          <w:szCs w:val="30"/>
        </w:rPr>
        <w:t>年度部门预算项目</w:t>
      </w:r>
      <w:r>
        <w:rPr>
          <w:rFonts w:hint="eastAsia" w:eastAsia="仿宋_GB2312" w:cs="Times New Roman"/>
          <w:kern w:val="0"/>
          <w:sz w:val="30"/>
          <w:szCs w:val="30"/>
          <w:lang w:val="en-US" w:eastAsia="zh-CN"/>
        </w:rPr>
        <w:t>3</w:t>
      </w:r>
      <w:r>
        <w:rPr>
          <w:rFonts w:hint="default" w:eastAsia="仿宋_GB2312" w:cs="Times New Roman"/>
          <w:kern w:val="0"/>
          <w:sz w:val="30"/>
          <w:szCs w:val="30"/>
        </w:rPr>
        <w:t>个，支出绩目标是通过项目实施，提高资金监控管理水平，有效防范资金风险，促进工作效率提高。</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lNmVlZWZhZWQzYWJkYjM5YTRlOTg3NjgyNjVjMmMifQ=="/>
  </w:docVars>
  <w:rsids>
    <w:rsidRoot w:val="00000000"/>
    <w:rsid w:val="002C1106"/>
    <w:rsid w:val="1ED332B4"/>
    <w:rsid w:val="29D94214"/>
    <w:rsid w:val="43D275E6"/>
    <w:rsid w:val="46A37B6B"/>
    <w:rsid w:val="53F005BE"/>
    <w:rsid w:val="5B401720"/>
    <w:rsid w:val="60606F91"/>
    <w:rsid w:val="62C80F34"/>
    <w:rsid w:val="695D1CAA"/>
    <w:rsid w:val="6AD1377D"/>
    <w:rsid w:val="7E0E0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5441</Words>
  <Characters>5662</Characters>
  <Lines>0</Lines>
  <Paragraphs>0</Paragraphs>
  <TotalTime>196</TotalTime>
  <ScaleCrop>false</ScaleCrop>
  <LinksUpToDate>false</LinksUpToDate>
  <CharactersWithSpaces>5670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jjzd</dc:creator>
  <cp:lastModifiedBy>玩泥巴的臭小孩</cp:lastModifiedBy>
  <dcterms:modified xsi:type="dcterms:W3CDTF">2025-08-28T01:13:41Z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CD9E5F1C7C6F4B8E999D6FA77ACA63B3_12</vt:lpwstr>
  </property>
  <property fmtid="{D5CDD505-2E9C-101B-9397-08002B2CF9AE}" pid="4" name="KSOTemplateDocerSaveRecord">
    <vt:lpwstr>eyJoZGlkIjoiZTBhZGE4N2Y3Y2IyNmY1MGM0MjliODc2NjllN2UxOWYiLCJ1c2VySWQiOiIxMTM3NDAxMTg3In0=</vt:lpwstr>
  </property>
</Properties>
</file>