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监督索引号53310000449500000</w:t>
      </w:r>
    </w:p>
    <w:p>
      <w:pPr>
        <w:jc w:val="center"/>
        <w:rPr>
          <w:rFonts w:hint="eastAsia" w:ascii="方正小标宋简体" w:eastAsia="方正小标宋简体"/>
          <w:sz w:val="36"/>
          <w:szCs w:val="36"/>
        </w:rPr>
      </w:pPr>
      <w:r>
        <w:rPr>
          <w:rFonts w:hint="eastAsia" w:ascii="方正小标宋简体" w:hAnsi="方正小标宋简体" w:eastAsia="方正小标宋简体" w:cs="方正小标宋简体"/>
          <w:sz w:val="36"/>
          <w:szCs w:val="36"/>
        </w:rPr>
        <w:t>德宏州社科联部门2019年预算公开</w:t>
      </w:r>
    </w:p>
    <w:p>
      <w:pPr>
        <w:jc w:val="center"/>
        <w:rPr>
          <w:rFonts w:hint="eastAsia" w:ascii="方正小标宋简体" w:eastAsia="方正小标宋简体"/>
          <w:sz w:val="36"/>
          <w:szCs w:val="36"/>
        </w:rPr>
      </w:pPr>
      <w:r>
        <w:rPr>
          <w:rFonts w:hint="eastAsia" w:ascii="方正小标宋简体" w:eastAsia="方正小标宋简体"/>
          <w:sz w:val="36"/>
          <w:szCs w:val="36"/>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第一部分 德宏州社科联部门2019年部门预算编制说明</w:t>
      </w:r>
    </w:p>
    <w:p>
      <w:pPr>
        <w:jc w:val="left"/>
        <w:rPr>
          <w:rFonts w:hint="eastAsia" w:ascii="黑体" w:hAnsi="黑体" w:eastAsia="黑体"/>
          <w:sz w:val="30"/>
          <w:szCs w:val="30"/>
        </w:rPr>
      </w:pPr>
      <w:r>
        <w:rPr>
          <w:rFonts w:hint="eastAsia" w:ascii="黑体" w:hAnsi="黑体" w:eastAsia="黑体"/>
          <w:sz w:val="30"/>
          <w:szCs w:val="30"/>
        </w:rPr>
        <w:t>第二部分 德宏州社科联部门2019年部门预算表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十、州本级项目支出绩效目标表（本次下达）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十一、州本级项目支出绩效目标表（另文下达）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w:t>
      </w:r>
      <w:r>
        <w:rPr>
          <w:rFonts w:hint="eastAsia" w:eastAsia="仿宋_GB2312"/>
          <w:sz w:val="30"/>
          <w:szCs w:val="30"/>
          <w:lang w:eastAsia="zh-CN"/>
        </w:rPr>
        <w:t>市</w:t>
      </w:r>
      <w:r>
        <w:rPr>
          <w:rFonts w:hint="eastAsia" w:ascii="Times New Roman" w:hAnsi="Times New Roman" w:eastAsia="仿宋_GB2312"/>
          <w:sz w:val="30"/>
          <w:szCs w:val="30"/>
        </w:rPr>
        <w:t>对下转移支付绩效目标表</w:t>
      </w:r>
    </w:p>
    <w:p>
      <w:pPr>
        <w:jc w:val="left"/>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both"/>
        <w:rPr>
          <w:rFonts w:hint="eastAsia" w:ascii="方正小标宋简体" w:eastAsia="方正小标宋简体"/>
          <w:kern w:val="0"/>
          <w:sz w:val="36"/>
          <w:szCs w:val="36"/>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德宏州社科联部门</w:t>
      </w:r>
      <w:r>
        <w:rPr>
          <w:rFonts w:ascii="方正小标宋简体" w:eastAsia="方正小标宋简体"/>
          <w:kern w:val="0"/>
          <w:sz w:val="36"/>
          <w:szCs w:val="36"/>
        </w:rPr>
        <w:t>2019</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hint="eastAsia"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spacing w:line="600" w:lineRule="exact"/>
        <w:ind w:firstLine="200"/>
        <w:rPr>
          <w:rFonts w:ascii="仿宋_GB2312" w:hAnsi="仿宋_GB2312" w:eastAsia="仿宋_GB2312"/>
          <w:bCs/>
          <w:sz w:val="32"/>
        </w:rPr>
      </w:pPr>
      <w:r>
        <w:rPr>
          <w:rFonts w:hint="eastAsia" w:ascii="仿宋_GB2312" w:hAnsi="仿宋_GB2312" w:eastAsia="仿宋_GB2312"/>
          <w:bCs/>
          <w:sz w:val="32"/>
        </w:rPr>
        <w:t>一、对所属各学会、协会、研究会进行业务指导和日常管理；</w:t>
      </w:r>
    </w:p>
    <w:p>
      <w:pPr>
        <w:spacing w:line="600" w:lineRule="exact"/>
        <w:ind w:firstLine="200"/>
        <w:rPr>
          <w:rFonts w:ascii="仿宋_GB2312" w:hAnsi="仿宋_GB2312" w:eastAsia="仿宋_GB2312"/>
          <w:bCs/>
          <w:sz w:val="32"/>
        </w:rPr>
      </w:pPr>
      <w:r>
        <w:rPr>
          <w:rFonts w:hint="eastAsia" w:ascii="仿宋_GB2312" w:hAnsi="仿宋_GB2312" w:eastAsia="仿宋_GB2312"/>
          <w:bCs/>
          <w:sz w:val="32"/>
        </w:rPr>
        <w:t>二、组织社会科学界有计划地开展学术研究和学术交流活动，为各级党委和政府的决策提供咨询服务；</w:t>
      </w:r>
    </w:p>
    <w:p>
      <w:pPr>
        <w:spacing w:line="600" w:lineRule="exact"/>
        <w:ind w:firstLine="200"/>
        <w:rPr>
          <w:rFonts w:ascii="仿宋_GB2312" w:hAnsi="仿宋_GB2312" w:eastAsia="仿宋_GB2312"/>
          <w:bCs/>
          <w:sz w:val="32"/>
        </w:rPr>
      </w:pPr>
      <w:r>
        <w:rPr>
          <w:rFonts w:hint="eastAsia" w:ascii="仿宋_GB2312" w:hAnsi="仿宋_GB2312" w:eastAsia="仿宋_GB2312"/>
          <w:bCs/>
          <w:sz w:val="32"/>
        </w:rPr>
        <w:t>三、组织和推动社会科学知识的普及工作，积极促进社会科学研究成果的社会化；</w:t>
      </w:r>
    </w:p>
    <w:p>
      <w:pPr>
        <w:spacing w:line="600" w:lineRule="exact"/>
        <w:ind w:firstLine="200"/>
        <w:rPr>
          <w:rFonts w:ascii="仿宋_GB2312" w:hAnsi="仿宋_GB2312" w:eastAsia="仿宋_GB2312"/>
          <w:bCs/>
          <w:sz w:val="32"/>
        </w:rPr>
      </w:pPr>
      <w:r>
        <w:rPr>
          <w:rFonts w:hint="eastAsia" w:ascii="仿宋_GB2312" w:hAnsi="仿宋_GB2312" w:eastAsia="仿宋_GB2312"/>
          <w:bCs/>
          <w:sz w:val="32"/>
        </w:rPr>
        <w:t>四、编辑出版学术期刊和社科动态信息；</w:t>
      </w:r>
    </w:p>
    <w:p>
      <w:pPr>
        <w:spacing w:line="600" w:lineRule="exact"/>
        <w:ind w:firstLine="200"/>
        <w:rPr>
          <w:rFonts w:ascii="仿宋_GB2312" w:hAnsi="仿宋_GB2312" w:eastAsia="仿宋_GB2312"/>
          <w:bCs/>
          <w:sz w:val="32"/>
        </w:rPr>
      </w:pPr>
      <w:r>
        <w:rPr>
          <w:rFonts w:hint="eastAsia" w:ascii="仿宋_GB2312" w:hAnsi="仿宋_GB2312" w:eastAsia="仿宋_GB2312"/>
          <w:bCs/>
          <w:sz w:val="32"/>
        </w:rPr>
        <w:t>五、促进社会科学学科建设和人才队伍建设，开展社会科学优秀成果评奖工作，评选表彰先进学会、优秀社科工作者；</w:t>
      </w:r>
    </w:p>
    <w:p>
      <w:pPr>
        <w:spacing w:line="600" w:lineRule="exact"/>
        <w:ind w:firstLine="200"/>
        <w:rPr>
          <w:rFonts w:ascii="仿宋_GB2312" w:hAnsi="仿宋_GB2312" w:eastAsia="仿宋_GB2312"/>
          <w:bCs/>
          <w:sz w:val="32"/>
        </w:rPr>
      </w:pPr>
      <w:r>
        <w:rPr>
          <w:rFonts w:hint="eastAsia" w:ascii="仿宋_GB2312" w:hAnsi="仿宋_GB2312" w:eastAsia="仿宋_GB2312"/>
          <w:bCs/>
          <w:sz w:val="32"/>
        </w:rPr>
        <w:t>六、制订社会科学规划工作，组织协调重点课题研究</w:t>
      </w:r>
      <w:r>
        <w:rPr>
          <w:rFonts w:ascii="仿宋_GB2312" w:hAnsi="仿宋_GB2312" w:eastAsia="仿宋_GB2312"/>
          <w:bCs/>
          <w:sz w:val="32"/>
        </w:rPr>
        <w:t>;</w:t>
      </w:r>
    </w:p>
    <w:p>
      <w:pPr>
        <w:spacing w:line="600" w:lineRule="exact"/>
        <w:ind w:firstLine="200"/>
        <w:rPr>
          <w:rFonts w:ascii="仿宋_GB2312" w:hAnsi="仿宋_GB2312" w:eastAsia="仿宋_GB2312"/>
          <w:bCs/>
          <w:sz w:val="32"/>
        </w:rPr>
      </w:pPr>
      <w:r>
        <w:rPr>
          <w:rFonts w:hint="eastAsia" w:ascii="仿宋_GB2312" w:hAnsi="仿宋_GB2312" w:eastAsia="仿宋_GB2312"/>
          <w:bCs/>
          <w:sz w:val="32"/>
        </w:rPr>
        <w:t>七、关心和维护社会科学工作者的正当权益，反映社会科学界的意见和要求；</w:t>
      </w:r>
    </w:p>
    <w:p>
      <w:pPr>
        <w:spacing w:line="600" w:lineRule="exact"/>
        <w:ind w:firstLine="200"/>
        <w:rPr>
          <w:rFonts w:ascii="仿宋_GB2312" w:hAnsi="仿宋_GB2312" w:eastAsia="仿宋_GB2312"/>
          <w:bCs/>
          <w:sz w:val="32"/>
        </w:rPr>
      </w:pPr>
      <w:r>
        <w:rPr>
          <w:rFonts w:hint="eastAsia" w:ascii="仿宋_GB2312" w:hAnsi="仿宋_GB2312" w:eastAsia="仿宋_GB2312"/>
          <w:bCs/>
          <w:sz w:val="32"/>
        </w:rPr>
        <w:t>八、加强社会科学和自然科学界的横向联系与合作。</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（一）办公室工作职责</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德宏州社科联办公室工作职责：主要负责对外联络和对内事务的日常综合协调工作。</w:t>
      </w:r>
    </w:p>
    <w:p>
      <w:pPr>
        <w:spacing w:line="600" w:lineRule="exact"/>
        <w:ind w:firstLine="800" w:firstLineChars="250"/>
        <w:rPr>
          <w:rStyle w:val="18"/>
          <w:rFonts w:ascii="仿宋_GB2312" w:hAnsi="宋体" w:eastAsia="仿宋_GB2312"/>
          <w:color w:val="000000"/>
          <w:sz w:val="32"/>
          <w:szCs w:val="32"/>
        </w:rPr>
      </w:pPr>
      <w:r>
        <w:rPr>
          <w:rStyle w:val="18"/>
          <w:rFonts w:hint="eastAsia" w:ascii="仿宋_GB2312" w:hAnsi="宋体" w:eastAsia="仿宋_GB2312"/>
          <w:color w:val="000000"/>
          <w:sz w:val="32"/>
          <w:szCs w:val="32"/>
        </w:rPr>
        <w:t>一、协</w:t>
      </w:r>
      <w:r>
        <w:rPr>
          <w:rFonts w:hint="eastAsia" w:ascii="仿宋_GB2312" w:hAnsi="宋体" w:eastAsia="仿宋_GB2312"/>
          <w:color w:val="000000"/>
          <w:sz w:val="32"/>
          <w:szCs w:val="32"/>
        </w:rPr>
        <w:t>助领导处理日常工作，</w:t>
      </w:r>
      <w:r>
        <w:rPr>
          <w:rStyle w:val="18"/>
          <w:rFonts w:hint="eastAsia" w:ascii="仿宋_GB2312" w:hAnsi="宋体" w:eastAsia="仿宋_GB2312"/>
          <w:color w:val="000000"/>
          <w:sz w:val="32"/>
          <w:szCs w:val="32"/>
        </w:rPr>
        <w:t>包括考勤、人事、财务、治安、保卫、消防、房管、工会、劳动卫生、节假日值班安排、离退休人员慰问以及办公用品的申报、领取、购置、报修等管理工作；</w:t>
      </w:r>
      <w:r>
        <w:rPr>
          <w:rFonts w:ascii="仿宋_GB2312" w:hAnsi="宋体" w:eastAsia="仿宋_GB2312"/>
          <w:color w:val="000000"/>
          <w:sz w:val="32"/>
          <w:szCs w:val="32"/>
        </w:rPr>
        <w:br w:type="textWrapping"/>
      </w:r>
      <w:r>
        <w:rPr>
          <w:rStyle w:val="18"/>
          <w:rFonts w:hint="eastAsia" w:ascii="仿宋_GB2312" w:hAnsi="宋体" w:eastAsia="仿宋_GB2312"/>
          <w:color w:val="000000"/>
          <w:sz w:val="32"/>
          <w:szCs w:val="32"/>
        </w:rPr>
        <w:t>　　二、负责做好各种会议的会务工作；</w:t>
      </w:r>
    </w:p>
    <w:p>
      <w:pPr>
        <w:spacing w:line="600" w:lineRule="exact"/>
        <w:ind w:firstLine="640" w:firstLineChars="200"/>
        <w:rPr>
          <w:rFonts w:eastAsia="仿宋_GB2312"/>
          <w:sz w:val="32"/>
          <w:szCs w:val="32"/>
        </w:rPr>
      </w:pPr>
      <w:r>
        <w:rPr>
          <w:rStyle w:val="18"/>
          <w:rFonts w:hint="eastAsia" w:ascii="仿宋_GB2312" w:hAnsi="宋体" w:eastAsia="仿宋_GB2312"/>
          <w:color w:val="000000"/>
          <w:sz w:val="32"/>
          <w:szCs w:val="32"/>
        </w:rPr>
        <w:t>三、按照领导要求，做好会议记录，协助领导贯彻落实会议确定的各项工作任务；</w:t>
      </w:r>
      <w:r>
        <w:rPr>
          <w:rFonts w:ascii="仿宋_GB2312" w:hAnsi="宋体" w:eastAsia="仿宋_GB2312"/>
          <w:color w:val="000000"/>
          <w:sz w:val="32"/>
          <w:szCs w:val="32"/>
        </w:rPr>
        <w:br w:type="textWrapping"/>
      </w:r>
      <w:r>
        <w:rPr>
          <w:rStyle w:val="18"/>
          <w:rFonts w:hint="eastAsia" w:ascii="仿宋_GB2312" w:hAnsi="宋体" w:eastAsia="仿宋_GB2312"/>
          <w:color w:val="000000"/>
          <w:sz w:val="32"/>
          <w:szCs w:val="32"/>
        </w:rPr>
        <w:t>　　四、负责做好</w:t>
      </w:r>
      <w:r>
        <w:rPr>
          <w:rFonts w:hint="eastAsia" w:ascii="仿宋_GB2312" w:hAnsi="宋体" w:eastAsia="仿宋_GB2312"/>
          <w:color w:val="000000"/>
          <w:sz w:val="32"/>
          <w:szCs w:val="32"/>
        </w:rPr>
        <w:t>综合材料的起草、</w:t>
      </w:r>
      <w:r>
        <w:rPr>
          <w:rStyle w:val="18"/>
          <w:rFonts w:hint="eastAsia" w:ascii="仿宋_GB2312" w:hAnsi="宋体" w:eastAsia="仿宋_GB2312"/>
          <w:color w:val="000000"/>
          <w:sz w:val="32"/>
          <w:szCs w:val="32"/>
        </w:rPr>
        <w:t>文件、公文、函件的接收、登记、保密、传递、保管、督办和文书归档工作；</w:t>
      </w:r>
      <w:r>
        <w:rPr>
          <w:rFonts w:ascii="仿宋_GB2312" w:hAnsi="宋体" w:eastAsia="仿宋_GB2312"/>
          <w:color w:val="000000"/>
          <w:sz w:val="32"/>
          <w:szCs w:val="32"/>
        </w:rPr>
        <w:br w:type="textWrapping"/>
      </w:r>
      <w:r>
        <w:rPr>
          <w:rStyle w:val="18"/>
          <w:rFonts w:hint="eastAsia" w:ascii="仿宋_GB2312" w:hAnsi="宋体" w:eastAsia="仿宋_GB2312"/>
          <w:color w:val="000000"/>
          <w:sz w:val="32"/>
          <w:szCs w:val="32"/>
        </w:rPr>
        <w:t>　　五、负责做好上情下达、下情上达的工作；</w:t>
      </w:r>
      <w:r>
        <w:rPr>
          <w:rFonts w:ascii="仿宋_GB2312" w:hAnsi="宋体" w:eastAsia="仿宋_GB2312"/>
          <w:color w:val="000000"/>
          <w:sz w:val="32"/>
          <w:szCs w:val="32"/>
        </w:rPr>
        <w:br w:type="textWrapping"/>
      </w:r>
      <w:r>
        <w:rPr>
          <w:rStyle w:val="18"/>
          <w:rFonts w:hint="eastAsia" w:ascii="仿宋_GB2312" w:hAnsi="宋体" w:eastAsia="仿宋_GB2312"/>
          <w:color w:val="000000"/>
          <w:sz w:val="32"/>
          <w:szCs w:val="32"/>
        </w:rPr>
        <w:t>　　六、负责做好印章管理工作；</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（二）学会部工作职责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学会部是社科联机关的业务部门，主要职责是：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一、贯彻执行党和政府关于社会科学工作的方针、政策，审核各学会的年度工作计划，协调和指导所属学会、协会、研究会的工作，监督学会履行社科联章程。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二、指导所属学会搞好组织建设，对州级社科学术团体的成立、变更、注销提出审查意见，协助履行完善手续。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三、按照社科联《章程》和社团工作的有关法规，监督、指导所属学会开展工作；指导和推动各学会、协会、研究会有计划地开展各类学术活动。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四、组织所属各学会、协会、研究会开展社会科学知识的普及、推广和培训工作。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五、负责学会、学术档案的收集、整理、保管工作。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六、维护所属社科团体和社科工作者的合法权益，促进社科队伍的建设。</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（三）中缅关系战略研究室工作职责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一、承担德宏州对缅研究主要工作，并积极与国内研究机构开展合作，加强对缅甸及东南亚、南亚等战略问题研究；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二、每年定期组织中缅友好发展交流相关研讨会、学术交流会、专家学者论坛等交流活动；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三、依托德宏网创办对缅友好交流促进网站，积极推动中缅友好交流；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四、负责《缅甸研究》及《德宏对缅工作通讯》《缅甸情况动态》的出刊，为州委、州政府对缅工作决策提供参考咨询；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五、完成好州委州政府和省社科院交办的其他工作。</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（四）中缅经济文化交流中心工作职责</w:t>
      </w:r>
    </w:p>
    <w:p>
      <w:pPr>
        <w:spacing w:line="600" w:lineRule="exact"/>
        <w:ind w:firstLine="200"/>
        <w:rPr>
          <w:rFonts w:eastAsia="仿宋_GB2312"/>
          <w:sz w:val="32"/>
          <w:szCs w:val="32"/>
        </w:rPr>
      </w:pPr>
      <w:r>
        <w:rPr>
          <w:rFonts w:hint="eastAsia" w:eastAsia="仿宋_GB2312"/>
          <w:sz w:val="32"/>
          <w:szCs w:val="32"/>
        </w:rPr>
        <w:t>一、协助外事部门做好涉缅外事工作，参与州级领导、县市主要领导与缅各级各方开展的外事活动；</w:t>
      </w:r>
    </w:p>
    <w:p>
      <w:pPr>
        <w:spacing w:line="600" w:lineRule="exact"/>
        <w:ind w:firstLine="200"/>
        <w:rPr>
          <w:rFonts w:eastAsia="仿宋_GB2312"/>
          <w:sz w:val="32"/>
          <w:szCs w:val="32"/>
        </w:rPr>
      </w:pPr>
      <w:r>
        <w:rPr>
          <w:rFonts w:hint="eastAsia" w:eastAsia="仿宋_GB2312"/>
          <w:sz w:val="32"/>
          <w:szCs w:val="32"/>
        </w:rPr>
        <w:t>二、与缅甸民间组织及相关机构建立合作伙伴机制，定期或不定期开展交往交流工作；</w:t>
      </w:r>
    </w:p>
    <w:p>
      <w:pPr>
        <w:spacing w:line="600" w:lineRule="exact"/>
        <w:ind w:firstLine="200"/>
        <w:rPr>
          <w:rFonts w:eastAsia="仿宋_GB2312"/>
          <w:sz w:val="32"/>
          <w:szCs w:val="32"/>
        </w:rPr>
      </w:pPr>
      <w:r>
        <w:rPr>
          <w:rFonts w:hint="eastAsia" w:eastAsia="仿宋_GB2312"/>
          <w:sz w:val="32"/>
          <w:szCs w:val="32"/>
        </w:rPr>
        <w:t>三、积极主动争取承担国家和省实施的对缅援助工程项目；</w:t>
      </w:r>
    </w:p>
    <w:p>
      <w:pPr>
        <w:spacing w:line="600" w:lineRule="exact"/>
        <w:ind w:firstLine="200"/>
        <w:rPr>
          <w:rFonts w:eastAsia="仿宋_GB2312"/>
          <w:sz w:val="32"/>
          <w:szCs w:val="32"/>
        </w:rPr>
      </w:pPr>
      <w:r>
        <w:rPr>
          <w:rFonts w:hint="eastAsia" w:eastAsia="仿宋_GB2312"/>
          <w:sz w:val="32"/>
          <w:szCs w:val="32"/>
        </w:rPr>
        <w:t>四、负责对缅信息收集整理工作；</w:t>
      </w:r>
    </w:p>
    <w:p>
      <w:pPr>
        <w:spacing w:line="600" w:lineRule="exact"/>
        <w:ind w:firstLine="200"/>
        <w:rPr>
          <w:rFonts w:ascii="仿宋_GB2312" w:eastAsia="仿宋_GB2312"/>
          <w:sz w:val="32"/>
          <w:szCs w:val="32"/>
        </w:rPr>
      </w:pPr>
      <w:r>
        <w:rPr>
          <w:rFonts w:hint="eastAsia" w:eastAsia="仿宋_GB2312"/>
          <w:sz w:val="32"/>
          <w:szCs w:val="32"/>
        </w:rPr>
        <w:t>五、完成好州委州政府和省社科院交办</w:t>
      </w:r>
      <w:r>
        <w:rPr>
          <w:rFonts w:hint="eastAsia" w:ascii="仿宋_GB2312" w:eastAsia="仿宋_GB2312"/>
          <w:sz w:val="32"/>
          <w:szCs w:val="32"/>
        </w:rPr>
        <w:t>的其他工作任务。</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（三）重点工作概述</w:t>
      </w:r>
    </w:p>
    <w:p>
      <w:pPr>
        <w:spacing w:line="600" w:lineRule="exact"/>
        <w:ind w:firstLine="640" w:firstLineChars="200"/>
        <w:rPr>
          <w:rFonts w:eastAsia="仿宋_GB2312"/>
          <w:sz w:val="32"/>
          <w:szCs w:val="32"/>
        </w:rPr>
      </w:pPr>
      <w:r>
        <w:rPr>
          <w:rFonts w:hint="eastAsia" w:eastAsia="楷体_GB2312"/>
          <w:sz w:val="32"/>
          <w:szCs w:val="32"/>
        </w:rPr>
        <w:t>（</w:t>
      </w:r>
      <w:r>
        <w:rPr>
          <w:rFonts w:eastAsia="楷体_GB2312"/>
          <w:sz w:val="32"/>
          <w:szCs w:val="32"/>
        </w:rPr>
        <w:t>1</w:t>
      </w:r>
      <w:r>
        <w:rPr>
          <w:rFonts w:hint="eastAsia" w:eastAsia="楷体_GB2312"/>
          <w:sz w:val="32"/>
          <w:szCs w:val="32"/>
        </w:rPr>
        <w:t>）强化理论武装。</w:t>
      </w:r>
      <w:r>
        <w:rPr>
          <w:rFonts w:hint="eastAsia" w:eastAsia="仿宋_GB2312"/>
          <w:sz w:val="32"/>
          <w:szCs w:val="32"/>
        </w:rPr>
        <w:t>结合</w:t>
      </w:r>
      <w:r>
        <w:rPr>
          <w:rFonts w:eastAsia="仿宋_GB2312"/>
          <w:sz w:val="32"/>
          <w:szCs w:val="32"/>
        </w:rPr>
        <w:t>“</w:t>
      </w:r>
      <w:r>
        <w:rPr>
          <w:rFonts w:hint="eastAsia" w:eastAsia="仿宋_GB2312"/>
          <w:sz w:val="32"/>
          <w:szCs w:val="32"/>
        </w:rPr>
        <w:t>两学一做</w:t>
      </w:r>
      <w:r>
        <w:rPr>
          <w:rFonts w:eastAsia="仿宋_GB2312"/>
          <w:sz w:val="32"/>
          <w:szCs w:val="32"/>
        </w:rPr>
        <w:t>”</w:t>
      </w:r>
      <w:r>
        <w:rPr>
          <w:rFonts w:hint="eastAsia" w:eastAsia="仿宋_GB2312"/>
          <w:sz w:val="32"/>
          <w:szCs w:val="32"/>
        </w:rPr>
        <w:t>学习教育常态化制度化，学习习近平新时代中国特色社会主义思想、党的十九大精神以及省州重大会议和重要文件精神。利用“州社科联微网络学习群”，在群内推送百余篇经典学习研究文章，发挥习近平新时代中国特色社会主义思想基层学习研究示范点的积极作用。</w:t>
      </w:r>
      <w:r>
        <w:rPr>
          <w:rFonts w:hint="eastAsia" w:ascii="仿宋_GB2312" w:hAnsi="仿宋_GB2312" w:eastAsia="仿宋_GB2312"/>
          <w:bCs/>
          <w:sz w:val="32"/>
        </w:rPr>
        <w:t>组织社会科学界有计划地开展学术研究和学术交流活动，为各级党委和政府的决策提供咨询服务</w:t>
      </w:r>
      <w:r>
        <w:rPr>
          <w:rFonts w:hint="eastAsia" w:eastAsia="楷体_GB2312"/>
          <w:sz w:val="32"/>
          <w:szCs w:val="32"/>
        </w:rPr>
        <w:t>（</w:t>
      </w:r>
      <w:r>
        <w:rPr>
          <w:rFonts w:eastAsia="楷体_GB2312"/>
          <w:sz w:val="32"/>
          <w:szCs w:val="32"/>
        </w:rPr>
        <w:t>2</w:t>
      </w:r>
      <w:r>
        <w:rPr>
          <w:rFonts w:hint="eastAsia" w:eastAsia="楷体_GB2312"/>
          <w:sz w:val="32"/>
          <w:szCs w:val="32"/>
        </w:rPr>
        <w:t>）扎实开展调查研究。</w:t>
      </w:r>
      <w:r>
        <w:rPr>
          <w:rFonts w:hint="eastAsia" w:eastAsia="仿宋_GB2312"/>
          <w:sz w:val="32"/>
          <w:szCs w:val="32"/>
        </w:rPr>
        <w:t>围绕当前深化改革、智库建设等重点工作，深入开展调查研究，</w:t>
      </w:r>
      <w:r>
        <w:rPr>
          <w:rFonts w:hint="eastAsia" w:ascii="仿宋_GB2312" w:hAnsi="仿宋_GB2312" w:eastAsia="仿宋_GB2312"/>
          <w:bCs/>
          <w:sz w:val="32"/>
        </w:rPr>
        <w:t>制订社会科学规划工作，组织协调重点课题研究，</w:t>
      </w:r>
      <w:r>
        <w:rPr>
          <w:rFonts w:hint="eastAsia" w:eastAsia="仿宋_GB2312"/>
          <w:sz w:val="32"/>
          <w:szCs w:val="32"/>
        </w:rPr>
        <w:t>为全州社科联系统深化改革奠定了基础，同时也为积极构建全州大调研格局做出了积极努力。</w:t>
      </w:r>
      <w:r>
        <w:rPr>
          <w:rFonts w:hint="eastAsia" w:eastAsia="楷体_GB2312"/>
          <w:sz w:val="32"/>
          <w:szCs w:val="32"/>
        </w:rPr>
        <w:t>（</w:t>
      </w:r>
      <w:r>
        <w:rPr>
          <w:rFonts w:eastAsia="楷体_GB2312"/>
          <w:sz w:val="32"/>
          <w:szCs w:val="32"/>
        </w:rPr>
        <w:t>3</w:t>
      </w:r>
      <w:r>
        <w:rPr>
          <w:rFonts w:hint="eastAsia" w:eastAsia="楷体_GB2312"/>
          <w:sz w:val="32"/>
          <w:szCs w:val="32"/>
        </w:rPr>
        <w:t>）努力办好</w:t>
      </w:r>
      <w:r>
        <w:rPr>
          <w:rFonts w:eastAsia="楷体_GB2312"/>
          <w:sz w:val="32"/>
          <w:szCs w:val="32"/>
        </w:rPr>
        <w:t>“</w:t>
      </w:r>
      <w:r>
        <w:rPr>
          <w:rFonts w:hint="eastAsia" w:eastAsia="楷体_GB2312"/>
          <w:sz w:val="32"/>
          <w:szCs w:val="32"/>
        </w:rPr>
        <w:t>两本刊物</w:t>
      </w:r>
      <w:r>
        <w:rPr>
          <w:rFonts w:eastAsia="楷体_GB2312"/>
          <w:sz w:val="32"/>
          <w:szCs w:val="32"/>
        </w:rPr>
        <w:t>”</w:t>
      </w:r>
      <w:r>
        <w:rPr>
          <w:rFonts w:hint="eastAsia" w:eastAsia="楷体_GB2312"/>
          <w:sz w:val="32"/>
          <w:szCs w:val="32"/>
        </w:rPr>
        <w:t>。</w:t>
      </w:r>
      <w:r>
        <w:rPr>
          <w:rFonts w:hint="eastAsia" w:eastAsia="仿宋_GB2312"/>
          <w:sz w:val="32"/>
          <w:szCs w:val="32"/>
        </w:rPr>
        <w:t>不断提高《德宏州社会科学》和《缅甸研究》两个刊物质量、认知度。《德宏社会科学》出刊</w:t>
      </w:r>
      <w:r>
        <w:rPr>
          <w:rFonts w:eastAsia="仿宋_GB2312"/>
          <w:sz w:val="32"/>
          <w:szCs w:val="32"/>
        </w:rPr>
        <w:t>4</w:t>
      </w:r>
      <w:r>
        <w:rPr>
          <w:rFonts w:hint="eastAsia" w:eastAsia="仿宋_GB2312"/>
          <w:sz w:val="32"/>
          <w:szCs w:val="32"/>
        </w:rPr>
        <w:t>期，《缅甸研究》全年出刊</w:t>
      </w:r>
      <w:r>
        <w:rPr>
          <w:rFonts w:eastAsia="仿宋_GB2312"/>
          <w:sz w:val="32"/>
          <w:szCs w:val="32"/>
        </w:rPr>
        <w:t>4</w:t>
      </w:r>
      <w:r>
        <w:rPr>
          <w:rFonts w:hint="eastAsia" w:eastAsia="仿宋_GB2312"/>
          <w:sz w:val="32"/>
          <w:szCs w:val="32"/>
        </w:rPr>
        <w:t>期。</w:t>
      </w:r>
      <w:r>
        <w:rPr>
          <w:rFonts w:hint="eastAsia" w:eastAsia="楷体_GB2312"/>
          <w:sz w:val="32"/>
          <w:szCs w:val="32"/>
        </w:rPr>
        <w:t>（</w:t>
      </w:r>
      <w:r>
        <w:rPr>
          <w:rFonts w:eastAsia="楷体_GB2312"/>
          <w:sz w:val="32"/>
          <w:szCs w:val="32"/>
        </w:rPr>
        <w:t>4</w:t>
      </w:r>
      <w:r>
        <w:rPr>
          <w:rFonts w:hint="eastAsia" w:eastAsia="楷体_GB2312"/>
          <w:sz w:val="32"/>
          <w:szCs w:val="32"/>
        </w:rPr>
        <w:t>）坚持做强</w:t>
      </w:r>
      <w:r>
        <w:rPr>
          <w:rFonts w:eastAsia="楷体_GB2312"/>
          <w:sz w:val="32"/>
          <w:szCs w:val="32"/>
        </w:rPr>
        <w:t>“</w:t>
      </w:r>
      <w:r>
        <w:rPr>
          <w:rFonts w:hint="eastAsia" w:eastAsia="楷体_GB2312"/>
          <w:sz w:val="32"/>
          <w:szCs w:val="32"/>
        </w:rPr>
        <w:t>两大讲堂</w:t>
      </w:r>
      <w:r>
        <w:rPr>
          <w:rFonts w:eastAsia="楷体_GB2312"/>
          <w:sz w:val="32"/>
          <w:szCs w:val="32"/>
        </w:rPr>
        <w:t>”</w:t>
      </w:r>
      <w:r>
        <w:rPr>
          <w:rFonts w:hint="eastAsia" w:eastAsia="楷体_GB2312"/>
          <w:sz w:val="32"/>
          <w:szCs w:val="32"/>
        </w:rPr>
        <w:t>。</w:t>
      </w:r>
      <w:r>
        <w:rPr>
          <w:rFonts w:hint="eastAsia" w:eastAsia="仿宋_GB2312"/>
          <w:sz w:val="32"/>
          <w:szCs w:val="32"/>
        </w:rPr>
        <w:t>着力打造</w:t>
      </w:r>
      <w:r>
        <w:rPr>
          <w:rFonts w:eastAsia="仿宋_GB2312"/>
          <w:sz w:val="32"/>
          <w:szCs w:val="32"/>
        </w:rPr>
        <w:t>“</w:t>
      </w:r>
      <w:r>
        <w:rPr>
          <w:rFonts w:hint="eastAsia" w:eastAsia="仿宋_GB2312"/>
          <w:sz w:val="32"/>
          <w:szCs w:val="32"/>
        </w:rPr>
        <w:t>云岭大讲堂</w:t>
      </w:r>
      <w:r>
        <w:rPr>
          <w:rFonts w:eastAsia="仿宋_GB2312"/>
          <w:sz w:val="32"/>
          <w:szCs w:val="32"/>
        </w:rPr>
        <w:t>·</w:t>
      </w:r>
      <w:r>
        <w:rPr>
          <w:rFonts w:hint="eastAsia" w:eastAsia="仿宋_GB2312"/>
          <w:sz w:val="32"/>
          <w:szCs w:val="32"/>
        </w:rPr>
        <w:t>德宏讲堂</w:t>
      </w:r>
      <w:r>
        <w:rPr>
          <w:rFonts w:eastAsia="仿宋_GB2312"/>
          <w:sz w:val="32"/>
          <w:szCs w:val="32"/>
        </w:rPr>
        <w:t>”</w:t>
      </w:r>
      <w:r>
        <w:rPr>
          <w:rFonts w:hint="eastAsia" w:eastAsia="仿宋_GB2312"/>
          <w:sz w:val="32"/>
          <w:szCs w:val="32"/>
        </w:rPr>
        <w:t>和</w:t>
      </w:r>
      <w:r>
        <w:rPr>
          <w:rFonts w:eastAsia="仿宋_GB2312"/>
          <w:sz w:val="32"/>
          <w:szCs w:val="32"/>
        </w:rPr>
        <w:t>“</w:t>
      </w:r>
      <w:r>
        <w:rPr>
          <w:rFonts w:hint="eastAsia" w:eastAsia="仿宋_GB2312"/>
          <w:sz w:val="32"/>
          <w:szCs w:val="32"/>
        </w:rPr>
        <w:t>德图公益文化大讲堂</w:t>
      </w:r>
      <w:r>
        <w:rPr>
          <w:rFonts w:eastAsia="仿宋_GB2312"/>
          <w:sz w:val="32"/>
          <w:szCs w:val="32"/>
        </w:rPr>
        <w:t>”</w:t>
      </w:r>
      <w:r>
        <w:rPr>
          <w:rFonts w:hint="eastAsia" w:eastAsia="仿宋_GB2312"/>
          <w:sz w:val="32"/>
          <w:szCs w:val="32"/>
        </w:rPr>
        <w:t>科普品牌，持续加强意识形态阵地建设和管理。通过讲堂的开展，广泛普及了社科知识，营造了良好的社会舆论方向。（</w:t>
      </w:r>
      <w:r>
        <w:rPr>
          <w:rFonts w:eastAsia="仿宋_GB2312"/>
          <w:sz w:val="32"/>
          <w:szCs w:val="32"/>
        </w:rPr>
        <w:t>5</w:t>
      </w:r>
      <w:r>
        <w:rPr>
          <w:rFonts w:hint="eastAsia" w:eastAsia="仿宋_GB2312"/>
          <w:sz w:val="32"/>
          <w:szCs w:val="32"/>
        </w:rPr>
        <w:t>）</w:t>
      </w:r>
      <w:r>
        <w:rPr>
          <w:rFonts w:hint="eastAsia" w:eastAsia="楷体_GB2312"/>
          <w:sz w:val="32"/>
          <w:szCs w:val="32"/>
        </w:rPr>
        <w:t>举办“两大论坛”，</w:t>
      </w:r>
      <w:r>
        <w:rPr>
          <w:rFonts w:hint="eastAsia" w:eastAsia="仿宋_GB2312"/>
          <w:sz w:val="32"/>
          <w:szCs w:val="32"/>
        </w:rPr>
        <w:t>中缅智库论坛和第四届跨喜马拉雅发展论坛。（</w:t>
      </w:r>
      <w:r>
        <w:rPr>
          <w:rFonts w:eastAsia="仿宋_GB2312"/>
          <w:sz w:val="32"/>
          <w:szCs w:val="32"/>
        </w:rPr>
        <w:t>6</w:t>
      </w:r>
      <w:r>
        <w:rPr>
          <w:rFonts w:hint="eastAsia" w:eastAsia="仿宋_GB2312"/>
          <w:sz w:val="32"/>
          <w:szCs w:val="32"/>
        </w:rPr>
        <w:t>）</w:t>
      </w:r>
      <w:r>
        <w:rPr>
          <w:rFonts w:hint="eastAsia" w:eastAsia="楷体_GB2312"/>
          <w:sz w:val="32"/>
          <w:szCs w:val="32"/>
        </w:rPr>
        <w:t>广泛普及社科知识。</w:t>
      </w:r>
      <w:r>
        <w:rPr>
          <w:rFonts w:hint="eastAsia" w:eastAsia="仿宋_GB2312"/>
          <w:sz w:val="32"/>
          <w:szCs w:val="32"/>
        </w:rPr>
        <w:t>为不断扩展科普工作的深度和广度，州社科联充分发挥</w:t>
      </w:r>
      <w:r>
        <w:rPr>
          <w:rFonts w:eastAsia="仿宋_GB2312"/>
          <w:sz w:val="32"/>
          <w:szCs w:val="32"/>
        </w:rPr>
        <w:t>“</w:t>
      </w:r>
      <w:r>
        <w:rPr>
          <w:rFonts w:hint="eastAsia" w:eastAsia="仿宋_GB2312"/>
          <w:sz w:val="32"/>
          <w:szCs w:val="32"/>
        </w:rPr>
        <w:t>联</w:t>
      </w:r>
      <w:r>
        <w:rPr>
          <w:rFonts w:eastAsia="仿宋_GB2312"/>
          <w:sz w:val="32"/>
          <w:szCs w:val="32"/>
        </w:rPr>
        <w:t>”</w:t>
      </w:r>
      <w:r>
        <w:rPr>
          <w:rFonts w:hint="eastAsia" w:eastAsia="仿宋_GB2312"/>
          <w:sz w:val="32"/>
          <w:szCs w:val="32"/>
        </w:rPr>
        <w:t>的优势，与州级各学会、协会、研究会加强沟通协调，充分发挥各学会、协会、研究会在科普宣传工作中的积极作用，</w:t>
      </w:r>
      <w:r>
        <w:rPr>
          <w:rFonts w:hint="eastAsia" w:ascii="仿宋_GB2312" w:hAnsi="仿宋_GB2312" w:eastAsia="仿宋_GB2312"/>
          <w:bCs/>
          <w:sz w:val="32"/>
        </w:rPr>
        <w:t>积极促进社会科学研究成果的社会化。</w:t>
      </w:r>
      <w:r>
        <w:rPr>
          <w:rFonts w:hint="eastAsia" w:eastAsia="仿宋_GB2312"/>
          <w:sz w:val="32"/>
          <w:szCs w:val="32"/>
        </w:rPr>
        <w:t>（</w:t>
      </w:r>
      <w:r>
        <w:rPr>
          <w:rFonts w:eastAsia="仿宋_GB2312"/>
          <w:sz w:val="32"/>
          <w:szCs w:val="32"/>
        </w:rPr>
        <w:t>7</w:t>
      </w:r>
      <w:r>
        <w:rPr>
          <w:rFonts w:hint="eastAsia" w:eastAsia="仿宋_GB2312"/>
          <w:sz w:val="32"/>
          <w:szCs w:val="32"/>
        </w:rPr>
        <w:t>）</w:t>
      </w:r>
      <w:r>
        <w:rPr>
          <w:rFonts w:hint="eastAsia" w:eastAsia="楷体_GB2312"/>
          <w:sz w:val="32"/>
          <w:szCs w:val="32"/>
        </w:rPr>
        <w:t>强化学会服务管理</w:t>
      </w:r>
      <w:r>
        <w:rPr>
          <w:rFonts w:hint="eastAsia" w:eastAsia="仿宋_GB2312"/>
          <w:sz w:val="32"/>
          <w:szCs w:val="32"/>
        </w:rPr>
        <w:t>。加强对所属学会、协会、研究会的管理和服务，督促所属各学会、协会、研究会按时完成了年检工作，对各学会换届所涉及的相关议程事项及人事安排、领导干部兼职问题进行了严格审批、报备，配合州委组织部对所属学会再次开展了社团兼职清理及处级领导兼职审批工作，各学会、协会、研究会实现了规范化管理、合法化工作。（</w:t>
      </w:r>
      <w:r>
        <w:rPr>
          <w:rFonts w:eastAsia="仿宋_GB2312"/>
          <w:sz w:val="32"/>
          <w:szCs w:val="32"/>
        </w:rPr>
        <w:t>8</w:t>
      </w:r>
      <w:r>
        <w:rPr>
          <w:rFonts w:hint="eastAsia" w:eastAsia="仿宋_GB2312"/>
          <w:sz w:val="32"/>
          <w:szCs w:val="32"/>
        </w:rPr>
        <w:t>）</w:t>
      </w:r>
      <w:r>
        <w:rPr>
          <w:rFonts w:hint="eastAsia" w:eastAsia="楷体_GB2312"/>
          <w:sz w:val="32"/>
          <w:szCs w:val="32"/>
        </w:rPr>
        <w:t>稳步推进中缅民生基金项目。</w:t>
      </w:r>
      <w:r>
        <w:rPr>
          <w:rFonts w:eastAsia="仿宋_GB2312"/>
          <w:sz w:val="32"/>
          <w:szCs w:val="32"/>
        </w:rPr>
        <w:t>“</w:t>
      </w:r>
      <w:r>
        <w:rPr>
          <w:rFonts w:hint="eastAsia" w:eastAsia="仿宋_GB2312"/>
          <w:sz w:val="32"/>
          <w:szCs w:val="32"/>
        </w:rPr>
        <w:t>中缅民生项目基金</w:t>
      </w:r>
      <w:r>
        <w:rPr>
          <w:rFonts w:eastAsia="仿宋_GB2312"/>
          <w:sz w:val="32"/>
          <w:szCs w:val="32"/>
        </w:rPr>
        <w:t>”</w:t>
      </w:r>
      <w:r>
        <w:rPr>
          <w:rFonts w:hint="eastAsia" w:eastAsia="仿宋_GB2312"/>
          <w:sz w:val="32"/>
          <w:szCs w:val="32"/>
        </w:rPr>
        <w:t>于</w:t>
      </w:r>
      <w:r>
        <w:rPr>
          <w:rFonts w:eastAsia="仿宋_GB2312"/>
          <w:sz w:val="32"/>
          <w:szCs w:val="32"/>
        </w:rPr>
        <w:t>2014</w:t>
      </w:r>
      <w:r>
        <w:rPr>
          <w:rFonts w:hint="eastAsia" w:eastAsia="仿宋_GB2312"/>
          <w:sz w:val="32"/>
          <w:szCs w:val="32"/>
        </w:rPr>
        <w:t>年</w:t>
      </w:r>
      <w:r>
        <w:rPr>
          <w:rFonts w:eastAsia="仿宋_GB2312"/>
          <w:sz w:val="32"/>
          <w:szCs w:val="32"/>
        </w:rPr>
        <w:t>10</w:t>
      </w:r>
      <w:r>
        <w:rPr>
          <w:rFonts w:hint="eastAsia" w:eastAsia="仿宋_GB2312"/>
          <w:sz w:val="32"/>
          <w:szCs w:val="32"/>
        </w:rPr>
        <w:t>月由中国宋庆龄基金会与我州共同成立。基金成立的主要目的是通过实施一批</w:t>
      </w:r>
      <w:r>
        <w:rPr>
          <w:rFonts w:eastAsia="仿宋_GB2312"/>
          <w:sz w:val="32"/>
          <w:szCs w:val="32"/>
        </w:rPr>
        <w:t>“</w:t>
      </w:r>
      <w:r>
        <w:rPr>
          <w:rFonts w:hint="eastAsia" w:eastAsia="仿宋_GB2312"/>
          <w:sz w:val="32"/>
          <w:szCs w:val="32"/>
        </w:rPr>
        <w:t>投资最小、见效最快、操作最简便、影响最大、民间反映最好</w:t>
      </w:r>
      <w:r>
        <w:rPr>
          <w:rFonts w:eastAsia="仿宋_GB2312"/>
          <w:sz w:val="32"/>
          <w:szCs w:val="32"/>
        </w:rPr>
        <w:t>”</w:t>
      </w:r>
      <w:r>
        <w:rPr>
          <w:rFonts w:hint="eastAsia" w:eastAsia="仿宋_GB2312"/>
          <w:sz w:val="32"/>
          <w:szCs w:val="32"/>
        </w:rPr>
        <w:t>的对缅援建项目，深化交流合作，增进中缅友谊。去年底中缅民生项目基金办公室调整到州社科联（州中缅关系研究所），组织实施了中缅边境缅甸中小学管理人员及教师骨干培训、木姐市第一中学校园修缮、木姐市公共体育运动器材捐赠、中缅</w:t>
      </w:r>
      <w:r>
        <w:rPr>
          <w:rFonts w:eastAsia="仿宋_GB2312"/>
          <w:sz w:val="32"/>
          <w:szCs w:val="32"/>
        </w:rPr>
        <w:t>“</w:t>
      </w:r>
      <w:r>
        <w:rPr>
          <w:rFonts w:hint="eastAsia" w:eastAsia="仿宋_GB2312"/>
          <w:sz w:val="32"/>
          <w:szCs w:val="32"/>
        </w:rPr>
        <w:t>两国四城</w:t>
      </w:r>
      <w:r>
        <w:rPr>
          <w:rFonts w:eastAsia="仿宋_GB2312"/>
          <w:sz w:val="32"/>
          <w:szCs w:val="32"/>
        </w:rPr>
        <w:t>”</w:t>
      </w:r>
      <w:r>
        <w:rPr>
          <w:rFonts w:hint="eastAsia" w:eastAsia="仿宋_GB2312"/>
          <w:sz w:val="32"/>
          <w:szCs w:val="32"/>
        </w:rPr>
        <w:t>自行车赛</w:t>
      </w:r>
      <w:r>
        <w:rPr>
          <w:rFonts w:eastAsia="仿宋_GB2312"/>
          <w:sz w:val="32"/>
          <w:szCs w:val="32"/>
        </w:rPr>
        <w:t>4</w:t>
      </w:r>
      <w:r>
        <w:rPr>
          <w:rFonts w:hint="eastAsia" w:eastAsia="仿宋_GB2312"/>
          <w:sz w:val="32"/>
          <w:szCs w:val="32"/>
        </w:rPr>
        <w:t>个项目，总投资</w:t>
      </w:r>
      <w:r>
        <w:rPr>
          <w:rFonts w:eastAsia="仿宋_GB2312"/>
          <w:sz w:val="32"/>
          <w:szCs w:val="32"/>
        </w:rPr>
        <w:t>155</w:t>
      </w:r>
      <w:r>
        <w:rPr>
          <w:rFonts w:hint="eastAsia" w:eastAsia="仿宋_GB2312"/>
          <w:sz w:val="32"/>
          <w:szCs w:val="32"/>
        </w:rPr>
        <w:t>万元，广受缅甸群众的欢迎，反响良好。（</w:t>
      </w:r>
      <w:r>
        <w:rPr>
          <w:rFonts w:eastAsia="仿宋_GB2312"/>
          <w:sz w:val="32"/>
          <w:szCs w:val="32"/>
        </w:rPr>
        <w:t>9</w:t>
      </w:r>
      <w:r>
        <w:rPr>
          <w:rFonts w:hint="eastAsia" w:eastAsia="仿宋_GB2312"/>
          <w:sz w:val="32"/>
          <w:szCs w:val="32"/>
        </w:rPr>
        <w:t>）</w:t>
      </w:r>
      <w:r>
        <w:rPr>
          <w:rFonts w:hint="eastAsia" w:eastAsia="楷体_GB2312"/>
          <w:sz w:val="32"/>
          <w:szCs w:val="32"/>
        </w:rPr>
        <w:t>扎实开展脱贫攻坚工作</w:t>
      </w:r>
      <w:r>
        <w:rPr>
          <w:rFonts w:hint="eastAsia" w:eastAsia="仿宋_GB2312"/>
          <w:sz w:val="32"/>
          <w:szCs w:val="32"/>
        </w:rPr>
        <w:t>。坚持“支部带村、基建兴村、科技强村、产业富村、民主管村”的帮扶思路，扎实开展党建与扶贫“双推进”等工作，为推动挂钩村基础设施建设、人居环境提升、产业发展等做出积极的努力。</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hint="eastAsia" w:eastAsia="仿宋_GB2312"/>
          <w:kern w:val="0"/>
          <w:sz w:val="30"/>
          <w:szCs w:val="30"/>
        </w:rPr>
        <w:t>我部门编制</w:t>
      </w:r>
      <w:r>
        <w:rPr>
          <w:rFonts w:eastAsia="仿宋_GB2312"/>
          <w:kern w:val="0"/>
          <w:sz w:val="30"/>
          <w:szCs w:val="30"/>
        </w:rPr>
        <w:t>2019</w:t>
      </w:r>
      <w:r>
        <w:rPr>
          <w:rFonts w:hint="eastAsia" w:eastAsia="仿宋_GB2312"/>
          <w:kern w:val="0"/>
          <w:sz w:val="30"/>
          <w:szCs w:val="30"/>
        </w:rPr>
        <w:t>年部门预算单位共</w:t>
      </w:r>
      <w:r>
        <w:rPr>
          <w:rFonts w:eastAsia="仿宋_GB2312"/>
          <w:kern w:val="0"/>
          <w:sz w:val="30"/>
          <w:szCs w:val="30"/>
        </w:rPr>
        <w:t>1</w:t>
      </w:r>
      <w:r>
        <w:rPr>
          <w:rFonts w:hint="eastAsia" w:eastAsia="仿宋_GB2312"/>
          <w:kern w:val="0"/>
          <w:sz w:val="30"/>
          <w:szCs w:val="30"/>
        </w:rPr>
        <w:t>个。其中：财政全供给单位</w:t>
      </w:r>
      <w:r>
        <w:rPr>
          <w:rFonts w:eastAsia="仿宋_GB2312"/>
          <w:kern w:val="0"/>
          <w:sz w:val="30"/>
          <w:szCs w:val="30"/>
        </w:rPr>
        <w:t>1</w:t>
      </w:r>
      <w:r>
        <w:rPr>
          <w:rFonts w:hint="eastAsia" w:eastAsia="仿宋_GB2312"/>
          <w:kern w:val="0"/>
          <w:sz w:val="30"/>
          <w:szCs w:val="30"/>
        </w:rPr>
        <w:t>个；部分供给单位</w:t>
      </w:r>
      <w:r>
        <w:rPr>
          <w:rFonts w:eastAsia="仿宋_GB2312"/>
          <w:kern w:val="0"/>
          <w:sz w:val="30"/>
          <w:szCs w:val="30"/>
        </w:rPr>
        <w:t>0</w:t>
      </w:r>
      <w:r>
        <w:rPr>
          <w:rFonts w:hint="eastAsia" w:eastAsia="仿宋_GB2312"/>
          <w:kern w:val="0"/>
          <w:sz w:val="30"/>
          <w:szCs w:val="30"/>
        </w:rPr>
        <w:t>个；特殊供给单位</w:t>
      </w:r>
      <w:r>
        <w:rPr>
          <w:rFonts w:eastAsia="仿宋_GB2312"/>
          <w:kern w:val="0"/>
          <w:sz w:val="30"/>
          <w:szCs w:val="30"/>
        </w:rPr>
        <w:t>0</w:t>
      </w:r>
      <w:r>
        <w:rPr>
          <w:rFonts w:hint="eastAsia" w:eastAsia="仿宋_GB2312"/>
          <w:kern w:val="0"/>
          <w:sz w:val="30"/>
          <w:szCs w:val="30"/>
        </w:rPr>
        <w:t>个；自收自支单位</w:t>
      </w:r>
      <w:r>
        <w:rPr>
          <w:rFonts w:eastAsia="仿宋_GB2312"/>
          <w:kern w:val="0"/>
          <w:sz w:val="30"/>
          <w:szCs w:val="30"/>
        </w:rPr>
        <w:t>0</w:t>
      </w:r>
      <w:r>
        <w:rPr>
          <w:rFonts w:hint="eastAsia" w:eastAsia="仿宋_GB2312"/>
          <w:kern w:val="0"/>
          <w:sz w:val="30"/>
          <w:szCs w:val="30"/>
        </w:rPr>
        <w:t>个。财政全供给单位中行政单位</w:t>
      </w:r>
      <w:r>
        <w:rPr>
          <w:rFonts w:eastAsia="仿宋_GB2312"/>
          <w:kern w:val="0"/>
          <w:sz w:val="30"/>
          <w:szCs w:val="30"/>
        </w:rPr>
        <w:t>0</w:t>
      </w:r>
      <w:r>
        <w:rPr>
          <w:rFonts w:hint="eastAsia" w:eastAsia="仿宋_GB2312"/>
          <w:kern w:val="0"/>
          <w:sz w:val="30"/>
          <w:szCs w:val="30"/>
        </w:rPr>
        <w:t>个；参公管理事业单位</w:t>
      </w:r>
      <w:r>
        <w:rPr>
          <w:rFonts w:eastAsia="仿宋_GB2312"/>
          <w:kern w:val="0"/>
          <w:sz w:val="30"/>
          <w:szCs w:val="30"/>
        </w:rPr>
        <w:t>1</w:t>
      </w:r>
      <w:r>
        <w:rPr>
          <w:rFonts w:hint="eastAsia" w:eastAsia="仿宋_GB2312"/>
          <w:kern w:val="0"/>
          <w:sz w:val="30"/>
          <w:szCs w:val="30"/>
        </w:rPr>
        <w:t>个；非参公管理事业单位</w:t>
      </w:r>
      <w:r>
        <w:rPr>
          <w:rFonts w:eastAsia="仿宋_GB2312"/>
          <w:kern w:val="0"/>
          <w:sz w:val="30"/>
          <w:szCs w:val="30"/>
        </w:rPr>
        <w:t>0</w:t>
      </w:r>
      <w:r>
        <w:rPr>
          <w:rFonts w:hint="eastAsia" w:eastAsia="仿宋_GB2312"/>
          <w:kern w:val="0"/>
          <w:sz w:val="30"/>
          <w:szCs w:val="30"/>
        </w:rPr>
        <w:t>个。截</w:t>
      </w:r>
      <w:r>
        <w:rPr>
          <w:rFonts w:hint="eastAsia" w:eastAsia="仿宋_GB2312"/>
          <w:kern w:val="0"/>
          <w:sz w:val="30"/>
          <w:szCs w:val="30"/>
          <w:lang w:val="en-US" w:eastAsia="zh-CN"/>
        </w:rPr>
        <w:t>至</w:t>
      </w:r>
      <w:bookmarkStart w:id="0" w:name="_GoBack"/>
      <w:bookmarkEnd w:id="0"/>
      <w:r>
        <w:rPr>
          <w:rFonts w:eastAsia="仿宋_GB2312"/>
          <w:kern w:val="0"/>
          <w:sz w:val="30"/>
          <w:szCs w:val="30"/>
        </w:rPr>
        <w:t>2018</w:t>
      </w:r>
      <w:r>
        <w:rPr>
          <w:rFonts w:hint="eastAsia" w:eastAsia="仿宋_GB2312"/>
          <w:kern w:val="0"/>
          <w:sz w:val="30"/>
          <w:szCs w:val="30"/>
        </w:rPr>
        <w:t>年</w:t>
      </w:r>
      <w:r>
        <w:rPr>
          <w:rFonts w:eastAsia="仿宋_GB2312"/>
          <w:kern w:val="0"/>
          <w:sz w:val="30"/>
          <w:szCs w:val="30"/>
        </w:rPr>
        <w:t>11</w:t>
      </w:r>
      <w:r>
        <w:rPr>
          <w:rFonts w:hint="eastAsia" w:eastAsia="仿宋_GB2312"/>
          <w:kern w:val="0"/>
          <w:sz w:val="30"/>
          <w:szCs w:val="30"/>
        </w:rPr>
        <w:t>月统计，部门基本情况如下：</w:t>
      </w:r>
    </w:p>
    <w:p>
      <w:pPr>
        <w:widowControl/>
        <w:ind w:firstLine="600" w:firstLineChars="200"/>
        <w:jc w:val="left"/>
        <w:rPr>
          <w:rFonts w:eastAsia="仿宋_GB2312"/>
          <w:kern w:val="0"/>
          <w:sz w:val="30"/>
          <w:szCs w:val="30"/>
        </w:rPr>
      </w:pPr>
      <w:r>
        <w:rPr>
          <w:rFonts w:hint="eastAsia" w:eastAsia="仿宋_GB2312"/>
          <w:kern w:val="0"/>
          <w:sz w:val="30"/>
          <w:szCs w:val="30"/>
        </w:rPr>
        <w:t>在职人员编制</w:t>
      </w:r>
      <w:r>
        <w:rPr>
          <w:rFonts w:eastAsia="仿宋_GB2312"/>
          <w:kern w:val="0"/>
          <w:sz w:val="30"/>
          <w:szCs w:val="30"/>
        </w:rPr>
        <w:t>12</w:t>
      </w:r>
      <w:r>
        <w:rPr>
          <w:rFonts w:hint="eastAsia" w:eastAsia="仿宋_GB2312"/>
          <w:kern w:val="0"/>
          <w:sz w:val="30"/>
          <w:szCs w:val="30"/>
        </w:rPr>
        <w:t>人，其中：行政编制</w:t>
      </w:r>
      <w:r>
        <w:rPr>
          <w:rFonts w:eastAsia="仿宋_GB2312"/>
          <w:kern w:val="0"/>
          <w:sz w:val="30"/>
          <w:szCs w:val="30"/>
        </w:rPr>
        <w:t xml:space="preserve"> 0</w:t>
      </w:r>
      <w:r>
        <w:rPr>
          <w:rFonts w:hint="eastAsia" w:eastAsia="仿宋_GB2312"/>
          <w:kern w:val="0"/>
          <w:sz w:val="30"/>
          <w:szCs w:val="30"/>
        </w:rPr>
        <w:t>人，事业编制</w:t>
      </w:r>
      <w:r>
        <w:rPr>
          <w:rFonts w:eastAsia="仿宋_GB2312"/>
          <w:kern w:val="0"/>
          <w:sz w:val="30"/>
          <w:szCs w:val="30"/>
        </w:rPr>
        <w:t>12</w:t>
      </w:r>
      <w:r>
        <w:rPr>
          <w:rFonts w:hint="eastAsia" w:eastAsia="仿宋_GB2312"/>
          <w:kern w:val="0"/>
          <w:sz w:val="30"/>
          <w:szCs w:val="30"/>
        </w:rPr>
        <w:t>人。在职实有</w:t>
      </w:r>
      <w:r>
        <w:rPr>
          <w:rFonts w:eastAsia="仿宋_GB2312"/>
          <w:kern w:val="0"/>
          <w:sz w:val="30"/>
          <w:szCs w:val="30"/>
        </w:rPr>
        <w:t>10</w:t>
      </w:r>
      <w:r>
        <w:rPr>
          <w:rFonts w:hint="eastAsia" w:eastAsia="仿宋_GB2312"/>
          <w:kern w:val="0"/>
          <w:sz w:val="30"/>
          <w:szCs w:val="30"/>
        </w:rPr>
        <w:t>人，其中：</w:t>
      </w:r>
      <w:r>
        <w:rPr>
          <w:rFonts w:eastAsia="仿宋_GB2312"/>
          <w:kern w:val="0"/>
          <w:sz w:val="30"/>
          <w:szCs w:val="30"/>
        </w:rPr>
        <w:t xml:space="preserve"> </w:t>
      </w:r>
      <w:r>
        <w:rPr>
          <w:rFonts w:hint="eastAsia" w:eastAsia="仿宋_GB2312"/>
          <w:kern w:val="0"/>
          <w:sz w:val="30"/>
          <w:szCs w:val="30"/>
        </w:rPr>
        <w:t>财政全供养</w:t>
      </w:r>
      <w:r>
        <w:rPr>
          <w:rFonts w:eastAsia="仿宋_GB2312"/>
          <w:kern w:val="0"/>
          <w:sz w:val="30"/>
          <w:szCs w:val="30"/>
        </w:rPr>
        <w:t xml:space="preserve"> 10</w:t>
      </w:r>
      <w:r>
        <w:rPr>
          <w:rFonts w:hint="eastAsia" w:eastAsia="仿宋_GB2312"/>
          <w:kern w:val="0"/>
          <w:sz w:val="30"/>
          <w:szCs w:val="30"/>
        </w:rPr>
        <w:t>人，财政部分供养</w:t>
      </w:r>
      <w:r>
        <w:rPr>
          <w:rFonts w:eastAsia="仿宋_GB2312"/>
          <w:kern w:val="0"/>
          <w:sz w:val="30"/>
          <w:szCs w:val="30"/>
        </w:rPr>
        <w:t>0</w:t>
      </w:r>
      <w:r>
        <w:rPr>
          <w:rFonts w:hint="eastAsia" w:eastAsia="仿宋_GB2312"/>
          <w:kern w:val="0"/>
          <w:sz w:val="30"/>
          <w:szCs w:val="30"/>
        </w:rPr>
        <w:t>人，非财政供养</w:t>
      </w:r>
      <w:r>
        <w:rPr>
          <w:rFonts w:eastAsia="仿宋_GB2312"/>
          <w:kern w:val="0"/>
          <w:sz w:val="30"/>
          <w:szCs w:val="30"/>
        </w:rPr>
        <w:t>0</w:t>
      </w:r>
      <w:r>
        <w:rPr>
          <w:rFonts w:hint="eastAsia" w:eastAsia="仿宋_GB2312"/>
          <w:kern w:val="0"/>
          <w:sz w:val="30"/>
          <w:szCs w:val="30"/>
        </w:rPr>
        <w:t>人。</w:t>
      </w:r>
    </w:p>
    <w:p>
      <w:pPr>
        <w:widowControl/>
        <w:ind w:firstLine="600" w:firstLineChars="200"/>
        <w:jc w:val="left"/>
        <w:rPr>
          <w:rFonts w:eastAsia="仿宋_GB2312"/>
          <w:kern w:val="0"/>
          <w:sz w:val="30"/>
          <w:szCs w:val="30"/>
        </w:rPr>
      </w:pPr>
      <w:r>
        <w:rPr>
          <w:rFonts w:hint="eastAsia" w:eastAsia="仿宋_GB2312"/>
          <w:kern w:val="0"/>
          <w:sz w:val="30"/>
          <w:szCs w:val="30"/>
        </w:rPr>
        <w:t>离退休人员</w:t>
      </w:r>
      <w:r>
        <w:rPr>
          <w:rFonts w:eastAsia="仿宋_GB2312"/>
          <w:kern w:val="0"/>
          <w:sz w:val="30"/>
          <w:szCs w:val="30"/>
        </w:rPr>
        <w:t xml:space="preserve"> 2</w:t>
      </w:r>
      <w:r>
        <w:rPr>
          <w:rFonts w:hint="eastAsia" w:eastAsia="仿宋_GB2312"/>
          <w:kern w:val="0"/>
          <w:sz w:val="30"/>
          <w:szCs w:val="30"/>
        </w:rPr>
        <w:t>人，其中：</w:t>
      </w:r>
      <w:r>
        <w:rPr>
          <w:rFonts w:eastAsia="仿宋_GB2312"/>
          <w:kern w:val="0"/>
          <w:sz w:val="30"/>
          <w:szCs w:val="30"/>
        </w:rPr>
        <w:t xml:space="preserve"> </w:t>
      </w:r>
      <w:r>
        <w:rPr>
          <w:rFonts w:hint="eastAsia" w:eastAsia="仿宋_GB2312"/>
          <w:kern w:val="0"/>
          <w:sz w:val="30"/>
          <w:szCs w:val="30"/>
        </w:rPr>
        <w:t>离休</w:t>
      </w:r>
      <w:r>
        <w:rPr>
          <w:rFonts w:eastAsia="仿宋_GB2312"/>
          <w:kern w:val="0"/>
          <w:sz w:val="30"/>
          <w:szCs w:val="30"/>
        </w:rPr>
        <w:t xml:space="preserve"> 0</w:t>
      </w:r>
      <w:r>
        <w:rPr>
          <w:rFonts w:hint="eastAsia" w:eastAsia="仿宋_GB2312"/>
          <w:kern w:val="0"/>
          <w:sz w:val="30"/>
          <w:szCs w:val="30"/>
        </w:rPr>
        <w:t>人，退休</w:t>
      </w:r>
      <w:r>
        <w:rPr>
          <w:rFonts w:eastAsia="仿宋_GB2312"/>
          <w:kern w:val="0"/>
          <w:sz w:val="30"/>
          <w:szCs w:val="30"/>
        </w:rPr>
        <w:t xml:space="preserve"> 1</w:t>
      </w:r>
      <w:r>
        <w:rPr>
          <w:rFonts w:hint="eastAsia" w:eastAsia="仿宋_GB2312"/>
          <w:kern w:val="0"/>
          <w:sz w:val="30"/>
          <w:szCs w:val="30"/>
        </w:rPr>
        <w:t>人。</w:t>
      </w:r>
    </w:p>
    <w:p>
      <w:pPr>
        <w:widowControl/>
        <w:ind w:firstLine="600" w:firstLineChars="200"/>
        <w:jc w:val="left"/>
        <w:rPr>
          <w:rFonts w:eastAsia="仿宋_GB2312"/>
          <w:kern w:val="0"/>
          <w:sz w:val="30"/>
          <w:szCs w:val="30"/>
        </w:rPr>
      </w:pPr>
      <w:r>
        <w:rPr>
          <w:rFonts w:hint="eastAsia" w:eastAsia="仿宋_GB2312"/>
          <w:kern w:val="0"/>
          <w:sz w:val="30"/>
          <w:szCs w:val="30"/>
        </w:rPr>
        <w:t>车辆编制</w:t>
      </w:r>
      <w:r>
        <w:rPr>
          <w:rFonts w:eastAsia="仿宋_GB2312"/>
          <w:kern w:val="0"/>
          <w:sz w:val="30"/>
          <w:szCs w:val="30"/>
        </w:rPr>
        <w:t>1</w:t>
      </w:r>
      <w:r>
        <w:rPr>
          <w:rFonts w:hint="eastAsia" w:eastAsia="仿宋_GB2312"/>
          <w:kern w:val="0"/>
          <w:sz w:val="30"/>
          <w:szCs w:val="30"/>
        </w:rPr>
        <w:t>辆，实有车辆</w:t>
      </w:r>
      <w:r>
        <w:rPr>
          <w:rFonts w:eastAsia="仿宋_GB2312"/>
          <w:kern w:val="0"/>
          <w:sz w:val="30"/>
          <w:szCs w:val="30"/>
        </w:rPr>
        <w:t>1</w:t>
      </w:r>
      <w:r>
        <w:rPr>
          <w:rFonts w:hint="eastAsia" w:eastAsia="仿宋_GB2312"/>
          <w:kern w:val="0"/>
          <w:sz w:val="30"/>
          <w:szCs w:val="30"/>
        </w:rPr>
        <w:t>辆。</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eastAsia="仿宋_GB2312"/>
          <w:kern w:val="0"/>
          <w:sz w:val="30"/>
          <w:szCs w:val="30"/>
        </w:rPr>
        <w:t>2019</w:t>
      </w:r>
      <w:r>
        <w:rPr>
          <w:rFonts w:hint="eastAsia" w:eastAsia="仿宋_GB2312"/>
          <w:kern w:val="0"/>
          <w:sz w:val="30"/>
          <w:szCs w:val="30"/>
        </w:rPr>
        <w:t>年部门财务总收入</w:t>
      </w:r>
      <w:r>
        <w:rPr>
          <w:rFonts w:eastAsia="仿宋_GB2312"/>
          <w:kern w:val="0"/>
          <w:sz w:val="30"/>
          <w:szCs w:val="30"/>
        </w:rPr>
        <w:t xml:space="preserve"> 209.67</w:t>
      </w:r>
      <w:r>
        <w:rPr>
          <w:rFonts w:hint="eastAsia" w:eastAsia="仿宋_GB2312"/>
          <w:kern w:val="0"/>
          <w:sz w:val="30"/>
          <w:szCs w:val="30"/>
        </w:rPr>
        <w:t>万元，其中：一般公共预算财政拨款</w:t>
      </w:r>
      <w:r>
        <w:rPr>
          <w:rFonts w:eastAsia="仿宋_GB2312"/>
          <w:kern w:val="0"/>
          <w:sz w:val="30"/>
          <w:szCs w:val="30"/>
        </w:rPr>
        <w:t>209.67</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万元，事业收入</w:t>
      </w:r>
      <w:r>
        <w:rPr>
          <w:rFonts w:eastAsia="仿宋_GB2312"/>
          <w:kern w:val="0"/>
          <w:sz w:val="30"/>
          <w:szCs w:val="30"/>
        </w:rPr>
        <w:t>0</w:t>
      </w:r>
      <w:r>
        <w:rPr>
          <w:rFonts w:hint="eastAsia" w:eastAsia="仿宋_GB2312"/>
          <w:kern w:val="0"/>
          <w:sz w:val="30"/>
          <w:szCs w:val="30"/>
        </w:rPr>
        <w:t>万元，事业单位经营收入</w:t>
      </w:r>
      <w:r>
        <w:rPr>
          <w:rFonts w:eastAsia="仿宋_GB2312"/>
          <w:kern w:val="0"/>
          <w:sz w:val="30"/>
          <w:szCs w:val="30"/>
        </w:rPr>
        <w:t>0</w:t>
      </w:r>
      <w:r>
        <w:rPr>
          <w:rFonts w:hint="eastAsia" w:eastAsia="仿宋_GB2312"/>
          <w:kern w:val="0"/>
          <w:sz w:val="30"/>
          <w:szCs w:val="30"/>
        </w:rPr>
        <w:t>万元，其他收入</w:t>
      </w:r>
      <w:r>
        <w:rPr>
          <w:rFonts w:eastAsia="仿宋_GB2312"/>
          <w:kern w:val="0"/>
          <w:sz w:val="30"/>
          <w:szCs w:val="30"/>
        </w:rPr>
        <w:t>0</w:t>
      </w:r>
      <w:r>
        <w:rPr>
          <w:rFonts w:hint="eastAsia" w:eastAsia="仿宋_GB2312"/>
          <w:kern w:val="0"/>
          <w:sz w:val="30"/>
          <w:szCs w:val="30"/>
        </w:rPr>
        <w:t>万元，上年结转</w:t>
      </w:r>
      <w:r>
        <w:rPr>
          <w:rFonts w:eastAsia="仿宋_GB2312"/>
          <w:kern w:val="0"/>
          <w:sz w:val="30"/>
          <w:szCs w:val="30"/>
        </w:rPr>
        <w:t>0</w:t>
      </w:r>
      <w:r>
        <w:rPr>
          <w:rFonts w:hint="eastAsia" w:eastAsia="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eastAsia="仿宋_GB2312"/>
          <w:kern w:val="0"/>
          <w:sz w:val="30"/>
          <w:szCs w:val="30"/>
        </w:rPr>
        <w:t>2019</w:t>
      </w:r>
      <w:r>
        <w:rPr>
          <w:rFonts w:hint="eastAsia" w:eastAsia="仿宋_GB2312"/>
          <w:kern w:val="0"/>
          <w:sz w:val="30"/>
          <w:szCs w:val="30"/>
        </w:rPr>
        <w:t>年部门财政拨款收入</w:t>
      </w:r>
      <w:r>
        <w:rPr>
          <w:rFonts w:eastAsia="仿宋_GB2312"/>
          <w:kern w:val="0"/>
          <w:sz w:val="30"/>
          <w:szCs w:val="30"/>
        </w:rPr>
        <w:t xml:space="preserve"> 209.67</w:t>
      </w:r>
      <w:r>
        <w:rPr>
          <w:rFonts w:hint="eastAsia" w:eastAsia="仿宋_GB2312"/>
          <w:kern w:val="0"/>
          <w:sz w:val="30"/>
          <w:szCs w:val="30"/>
        </w:rPr>
        <w:t>万元，其中</w:t>
      </w:r>
      <w:r>
        <w:rPr>
          <w:rFonts w:eastAsia="仿宋_GB2312"/>
          <w:kern w:val="0"/>
          <w:sz w:val="30"/>
          <w:szCs w:val="30"/>
        </w:rPr>
        <w:t>:</w:t>
      </w:r>
      <w:r>
        <w:rPr>
          <w:rFonts w:hint="eastAsia" w:eastAsia="仿宋_GB2312"/>
          <w:kern w:val="0"/>
          <w:sz w:val="30"/>
          <w:szCs w:val="30"/>
        </w:rPr>
        <w:t>本年收入</w:t>
      </w:r>
      <w:r>
        <w:rPr>
          <w:rFonts w:eastAsia="仿宋_GB2312"/>
          <w:kern w:val="0"/>
          <w:sz w:val="30"/>
          <w:szCs w:val="30"/>
        </w:rPr>
        <w:t>209.67</w:t>
      </w:r>
      <w:r>
        <w:rPr>
          <w:rFonts w:hint="eastAsia" w:eastAsia="仿宋_GB2312"/>
          <w:kern w:val="0"/>
          <w:sz w:val="30"/>
          <w:szCs w:val="30"/>
        </w:rPr>
        <w:t>万元，上年结转</w:t>
      </w:r>
      <w:r>
        <w:rPr>
          <w:rFonts w:eastAsia="仿宋_GB2312"/>
          <w:kern w:val="0"/>
          <w:sz w:val="30"/>
          <w:szCs w:val="30"/>
        </w:rPr>
        <w:t>0</w:t>
      </w:r>
      <w:r>
        <w:rPr>
          <w:rFonts w:hint="eastAsia" w:eastAsia="仿宋_GB2312"/>
          <w:kern w:val="0"/>
          <w:sz w:val="30"/>
          <w:szCs w:val="30"/>
        </w:rPr>
        <w:t>万元。本年收入中，一般公共预算财政拨款</w:t>
      </w:r>
      <w:r>
        <w:rPr>
          <w:rFonts w:eastAsia="仿宋_GB2312"/>
          <w:kern w:val="0"/>
          <w:sz w:val="30"/>
          <w:szCs w:val="30"/>
        </w:rPr>
        <w:t>209.67</w:t>
      </w:r>
      <w:r>
        <w:rPr>
          <w:rFonts w:hint="eastAsia" w:eastAsia="仿宋_GB2312"/>
          <w:kern w:val="0"/>
          <w:sz w:val="30"/>
          <w:szCs w:val="30"/>
        </w:rPr>
        <w:t>万元（本级财力</w:t>
      </w:r>
      <w:r>
        <w:rPr>
          <w:rFonts w:eastAsia="仿宋_GB2312"/>
          <w:kern w:val="0"/>
          <w:sz w:val="30"/>
          <w:szCs w:val="30"/>
        </w:rPr>
        <w:t>209.67</w:t>
      </w:r>
      <w:r>
        <w:rPr>
          <w:rFonts w:hint="eastAsia" w:eastAsia="仿宋_GB2312"/>
          <w:kern w:val="0"/>
          <w:sz w:val="30"/>
          <w:szCs w:val="30"/>
        </w:rPr>
        <w:t>万元，专项收入</w:t>
      </w:r>
      <w:r>
        <w:rPr>
          <w:rFonts w:eastAsia="仿宋_GB2312"/>
          <w:kern w:val="0"/>
          <w:sz w:val="30"/>
          <w:szCs w:val="30"/>
        </w:rPr>
        <w:t>0</w:t>
      </w:r>
      <w:r>
        <w:rPr>
          <w:rFonts w:hint="eastAsia" w:eastAsia="仿宋_GB2312"/>
          <w:kern w:val="0"/>
          <w:sz w:val="30"/>
          <w:szCs w:val="30"/>
        </w:rPr>
        <w:t>万元，执法办案补助</w:t>
      </w:r>
      <w:r>
        <w:rPr>
          <w:rFonts w:eastAsia="仿宋_GB2312"/>
          <w:kern w:val="0"/>
          <w:sz w:val="30"/>
          <w:szCs w:val="30"/>
        </w:rPr>
        <w:t>0</w:t>
      </w:r>
      <w:r>
        <w:rPr>
          <w:rFonts w:hint="eastAsia" w:eastAsia="仿宋_GB2312"/>
          <w:kern w:val="0"/>
          <w:sz w:val="30"/>
          <w:szCs w:val="30"/>
        </w:rPr>
        <w:t>万元，收费成本补偿</w:t>
      </w:r>
      <w:r>
        <w:rPr>
          <w:rFonts w:eastAsia="仿宋_GB2312"/>
          <w:kern w:val="0"/>
          <w:sz w:val="30"/>
          <w:szCs w:val="30"/>
        </w:rPr>
        <w:t>0</w:t>
      </w:r>
      <w:r>
        <w:rPr>
          <w:rFonts w:hint="eastAsia" w:eastAsia="仿宋_GB2312"/>
          <w:kern w:val="0"/>
          <w:sz w:val="30"/>
          <w:szCs w:val="30"/>
        </w:rPr>
        <w:t>万元，财政专户管理的收入</w:t>
      </w:r>
      <w:r>
        <w:rPr>
          <w:rFonts w:eastAsia="仿宋_GB2312"/>
          <w:kern w:val="0"/>
          <w:sz w:val="30"/>
          <w:szCs w:val="30"/>
        </w:rPr>
        <w:t>0</w:t>
      </w:r>
      <w:r>
        <w:rPr>
          <w:rFonts w:hint="eastAsia" w:eastAsia="仿宋_GB2312"/>
          <w:kern w:val="0"/>
          <w:sz w:val="30"/>
          <w:szCs w:val="30"/>
        </w:rPr>
        <w:t>万元，国有资源（资产）有偿使用成本补偿</w:t>
      </w:r>
      <w:r>
        <w:rPr>
          <w:rFonts w:eastAsia="仿宋_GB2312"/>
          <w:kern w:val="0"/>
          <w:sz w:val="30"/>
          <w:szCs w:val="30"/>
        </w:rPr>
        <w:t>0</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w:t>
      </w:r>
    </w:p>
    <w:p>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预算单位支出情况</w:t>
      </w:r>
    </w:p>
    <w:p>
      <w:pPr>
        <w:widowControl/>
        <w:ind w:firstLine="600" w:firstLineChars="200"/>
        <w:jc w:val="left"/>
        <w:rPr>
          <w:rFonts w:eastAsia="仿宋_GB2312"/>
          <w:kern w:val="0"/>
          <w:sz w:val="30"/>
          <w:szCs w:val="30"/>
        </w:rPr>
      </w:pPr>
      <w:r>
        <w:rPr>
          <w:rFonts w:ascii="仿宋_GB2312" w:hAnsi="仿宋_GB2312" w:eastAsia="仿宋_GB2312" w:cs="仿宋_GB2312"/>
          <w:kern w:val="0"/>
          <w:sz w:val="30"/>
          <w:szCs w:val="30"/>
        </w:rPr>
        <w:t>2019</w:t>
      </w:r>
      <w:r>
        <w:rPr>
          <w:rFonts w:hint="eastAsia" w:eastAsia="仿宋_GB2312"/>
          <w:kern w:val="0"/>
          <w:sz w:val="30"/>
          <w:szCs w:val="30"/>
        </w:rPr>
        <w:t>年部门预算总支出</w:t>
      </w:r>
      <w:r>
        <w:rPr>
          <w:rFonts w:eastAsia="仿宋_GB2312"/>
          <w:kern w:val="0"/>
          <w:sz w:val="30"/>
          <w:szCs w:val="30"/>
        </w:rPr>
        <w:t xml:space="preserve"> 209.67</w:t>
      </w:r>
      <w:r>
        <w:rPr>
          <w:rFonts w:hint="eastAsia" w:eastAsia="仿宋_GB2312"/>
          <w:kern w:val="0"/>
          <w:sz w:val="30"/>
          <w:szCs w:val="30"/>
        </w:rPr>
        <w:t>万元。财政拨款安排支出</w:t>
      </w:r>
      <w:r>
        <w:rPr>
          <w:rFonts w:eastAsia="仿宋_GB2312"/>
          <w:kern w:val="0"/>
          <w:sz w:val="30"/>
          <w:szCs w:val="30"/>
        </w:rPr>
        <w:t xml:space="preserve"> 209.67</w:t>
      </w:r>
      <w:r>
        <w:rPr>
          <w:rFonts w:hint="eastAsia" w:eastAsia="仿宋_GB2312"/>
          <w:kern w:val="0"/>
          <w:sz w:val="30"/>
          <w:szCs w:val="30"/>
        </w:rPr>
        <w:t>万元，其中，基本支出</w:t>
      </w:r>
      <w:r>
        <w:rPr>
          <w:rFonts w:eastAsia="仿宋_GB2312"/>
          <w:kern w:val="0"/>
          <w:sz w:val="30"/>
          <w:szCs w:val="30"/>
        </w:rPr>
        <w:t>169.67</w:t>
      </w:r>
      <w:r>
        <w:rPr>
          <w:rFonts w:hint="eastAsia" w:eastAsia="仿宋_GB2312"/>
          <w:kern w:val="0"/>
          <w:sz w:val="30"/>
          <w:szCs w:val="30"/>
        </w:rPr>
        <w:t>万元，项目支出</w:t>
      </w:r>
      <w:r>
        <w:rPr>
          <w:rFonts w:eastAsia="仿宋_GB2312"/>
          <w:kern w:val="0"/>
          <w:sz w:val="30"/>
          <w:szCs w:val="30"/>
        </w:rPr>
        <w:t>40</w:t>
      </w:r>
      <w:r>
        <w:rPr>
          <w:rFonts w:hint="eastAsia" w:eastAsia="仿宋_GB2312"/>
          <w:kern w:val="0"/>
          <w:sz w:val="30"/>
          <w:szCs w:val="30"/>
        </w:rPr>
        <w:t>万元。</w:t>
      </w:r>
    </w:p>
    <w:p>
      <w:pPr>
        <w:widowControl/>
        <w:ind w:firstLine="450" w:firstLineChars="150"/>
        <w:jc w:val="left"/>
        <w:rPr>
          <w:rFonts w:eastAsia="仿宋_GB2312"/>
          <w:kern w:val="0"/>
          <w:sz w:val="30"/>
          <w:szCs w:val="30"/>
        </w:rPr>
      </w:pPr>
      <w:r>
        <w:rPr>
          <w:rFonts w:hint="eastAsia" w:ascii="楷体_GB2312" w:eastAsia="楷体_GB2312"/>
          <w:kern w:val="0"/>
          <w:sz w:val="30"/>
          <w:szCs w:val="30"/>
        </w:rPr>
        <w:t>（一）财政拨款安排支出按功能科目分类情况</w:t>
      </w:r>
    </w:p>
    <w:p>
      <w:pPr>
        <w:spacing w:line="580" w:lineRule="exact"/>
        <w:ind w:firstLine="600" w:firstLineChars="200"/>
        <w:rPr>
          <w:rFonts w:ascii="仿宋_GB2312" w:hAnsi="仿宋_GB2312" w:eastAsia="仿宋_GB2312" w:cs="仿宋_GB2312"/>
          <w:kern w:val="0"/>
          <w:sz w:val="32"/>
          <w:szCs w:val="32"/>
        </w:rPr>
      </w:pPr>
      <w:r>
        <w:rPr>
          <w:rFonts w:hint="eastAsia" w:eastAsia="仿宋_GB2312"/>
          <w:kern w:val="0"/>
          <w:sz w:val="30"/>
          <w:szCs w:val="30"/>
        </w:rPr>
        <w:t>功能科目分组，主要用于</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2012901</w:t>
      </w:r>
      <w:r>
        <w:rPr>
          <w:rFonts w:hint="eastAsia" w:ascii="仿宋_GB2312" w:hAnsi="仿宋_GB2312" w:eastAsia="仿宋_GB2312" w:cs="仿宋_GB2312"/>
          <w:kern w:val="0"/>
          <w:sz w:val="32"/>
          <w:szCs w:val="32"/>
        </w:rPr>
        <w:t>”款一般公共服务支出</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群众团体事务</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行政运行</w:t>
      </w:r>
      <w:r>
        <w:rPr>
          <w:rFonts w:ascii="仿宋_GB2312" w:hAnsi="仿宋_GB2312" w:eastAsia="仿宋_GB2312" w:cs="仿宋_GB2312"/>
          <w:kern w:val="0"/>
          <w:sz w:val="32"/>
          <w:szCs w:val="32"/>
        </w:rPr>
        <w:t>144.41</w:t>
      </w:r>
      <w:r>
        <w:rPr>
          <w:rFonts w:hint="eastAsia" w:ascii="仿宋_GB2312" w:hAnsi="仿宋_GB2312" w:eastAsia="仿宋_GB2312" w:cs="仿宋_GB2312"/>
          <w:kern w:val="0"/>
          <w:sz w:val="32"/>
          <w:szCs w:val="32"/>
        </w:rPr>
        <w:t>万元，主要反映德宏州社科联人员工资及公用经费支出、“</w:t>
      </w:r>
      <w:r>
        <w:rPr>
          <w:rFonts w:ascii="仿宋_GB2312" w:hAnsi="仿宋_GB2312" w:eastAsia="仿宋_GB2312" w:cs="仿宋_GB2312"/>
          <w:kern w:val="0"/>
          <w:sz w:val="32"/>
          <w:szCs w:val="32"/>
        </w:rPr>
        <w:t>2060601</w:t>
      </w:r>
      <w:r>
        <w:rPr>
          <w:rFonts w:hint="eastAsia" w:ascii="仿宋_GB2312" w:hAnsi="仿宋_GB2312" w:eastAsia="仿宋_GB2312" w:cs="仿宋_GB2312"/>
          <w:kern w:val="0"/>
          <w:sz w:val="32"/>
          <w:szCs w:val="32"/>
        </w:rPr>
        <w:t>”款社会科学研究机构支出</w:t>
      </w:r>
      <w:r>
        <w:rPr>
          <w:rFonts w:ascii="仿宋_GB2312" w:hAnsi="仿宋_GB2312" w:eastAsia="仿宋_GB2312" w:cs="仿宋_GB2312"/>
          <w:kern w:val="0"/>
          <w:sz w:val="32"/>
          <w:szCs w:val="32"/>
        </w:rPr>
        <w:t>40</w:t>
      </w:r>
      <w:r>
        <w:rPr>
          <w:rFonts w:hint="eastAsia" w:ascii="仿宋_GB2312" w:hAnsi="仿宋_GB2312" w:eastAsia="仿宋_GB2312" w:cs="仿宋_GB2312"/>
          <w:kern w:val="0"/>
          <w:sz w:val="32"/>
          <w:szCs w:val="32"/>
        </w:rPr>
        <w:t>万元，主要用于中缅关系研究所工作及项目经费支出</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2080501</w:t>
      </w:r>
      <w:r>
        <w:rPr>
          <w:rFonts w:hint="eastAsia" w:ascii="仿宋_GB2312" w:hAnsi="仿宋_GB2312" w:eastAsia="仿宋_GB2312" w:cs="仿宋_GB2312"/>
          <w:kern w:val="0"/>
          <w:sz w:val="32"/>
          <w:szCs w:val="32"/>
        </w:rPr>
        <w:t>”款行政事业单位离退休</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归口管理德行政单位离退休支出</w:t>
      </w:r>
      <w:r>
        <w:rPr>
          <w:rFonts w:ascii="仿宋_GB2312" w:hAnsi="仿宋_GB2312" w:eastAsia="仿宋_GB2312" w:cs="仿宋_GB2312"/>
          <w:kern w:val="0"/>
          <w:sz w:val="32"/>
          <w:szCs w:val="32"/>
        </w:rPr>
        <w:t>0.12</w:t>
      </w:r>
      <w:r>
        <w:rPr>
          <w:rFonts w:hint="eastAsia" w:ascii="仿宋_GB2312" w:hAnsi="仿宋_GB2312" w:eastAsia="仿宋_GB2312" w:cs="仿宋_GB2312"/>
          <w:kern w:val="0"/>
          <w:sz w:val="32"/>
          <w:szCs w:val="32"/>
        </w:rPr>
        <w:t>万元，主要用于州社科联退休干部经费支出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2080505</w:t>
      </w:r>
      <w:r>
        <w:rPr>
          <w:rFonts w:hint="eastAsia" w:ascii="仿宋_GB2312" w:hAnsi="仿宋_GB2312" w:eastAsia="仿宋_GB2312" w:cs="仿宋_GB2312"/>
          <w:kern w:val="0"/>
          <w:sz w:val="32"/>
          <w:szCs w:val="32"/>
        </w:rPr>
        <w:t>”款行政事业单位离退休</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机关事业单位基本养老保险缴费支出</w:t>
      </w:r>
      <w:r>
        <w:rPr>
          <w:rFonts w:ascii="仿宋_GB2312" w:hAnsi="仿宋_GB2312" w:eastAsia="仿宋_GB2312" w:cs="仿宋_GB2312"/>
          <w:kern w:val="0"/>
          <w:sz w:val="32"/>
          <w:szCs w:val="32"/>
        </w:rPr>
        <w:t>15.71</w:t>
      </w:r>
      <w:r>
        <w:rPr>
          <w:rFonts w:hint="eastAsia" w:ascii="仿宋_GB2312" w:hAnsi="仿宋_GB2312" w:eastAsia="仿宋_GB2312" w:cs="仿宋_GB2312"/>
          <w:kern w:val="0"/>
          <w:sz w:val="32"/>
          <w:szCs w:val="32"/>
        </w:rPr>
        <w:t>万元，主要用于州社科联单位基本养老保险缴费支出，“</w:t>
      </w:r>
      <w:r>
        <w:rPr>
          <w:rFonts w:ascii="仿宋_GB2312" w:hAnsi="仿宋_GB2312" w:eastAsia="仿宋_GB2312" w:cs="仿宋_GB2312"/>
          <w:kern w:val="0"/>
          <w:sz w:val="32"/>
          <w:szCs w:val="32"/>
        </w:rPr>
        <w:t>2210201</w:t>
      </w:r>
      <w:r>
        <w:rPr>
          <w:rFonts w:hint="eastAsia" w:ascii="仿宋_GB2312" w:hAnsi="仿宋_GB2312" w:eastAsia="仿宋_GB2312" w:cs="仿宋_GB2312"/>
          <w:kern w:val="0"/>
          <w:sz w:val="32"/>
          <w:szCs w:val="32"/>
        </w:rPr>
        <w:t>”款住房改革支出</w:t>
      </w:r>
      <w:r>
        <w:rPr>
          <w:rFonts w:ascii="仿宋_GB2312" w:hAnsi="仿宋_GB2312" w:eastAsia="仿宋_GB2312" w:cs="仿宋_GB2312"/>
          <w:kern w:val="0"/>
          <w:sz w:val="32"/>
          <w:szCs w:val="32"/>
        </w:rPr>
        <w:t>9.43</w:t>
      </w:r>
      <w:r>
        <w:rPr>
          <w:rFonts w:hint="eastAsia" w:ascii="仿宋_GB2312" w:hAnsi="仿宋_GB2312" w:eastAsia="仿宋_GB2312" w:cs="仿宋_GB2312"/>
          <w:kern w:val="0"/>
          <w:sz w:val="32"/>
          <w:szCs w:val="32"/>
        </w:rPr>
        <w:t>，主要反映德宏州社科联人员住房公积金。</w:t>
      </w:r>
    </w:p>
    <w:p>
      <w:pPr>
        <w:widowControl/>
        <w:numPr>
          <w:ilvl w:val="0"/>
          <w:numId w:val="2"/>
        </w:numPr>
        <w:ind w:firstLine="450" w:firstLineChars="150"/>
        <w:jc w:val="left"/>
        <w:rPr>
          <w:rFonts w:ascii="楷体_GB2312" w:eastAsia="楷体_GB2312"/>
          <w:kern w:val="0"/>
          <w:sz w:val="30"/>
          <w:szCs w:val="30"/>
        </w:rPr>
      </w:pPr>
      <w:r>
        <w:rPr>
          <w:rFonts w:hint="eastAsia" w:ascii="楷体_GB2312" w:eastAsia="楷体_GB2312"/>
          <w:kern w:val="0"/>
          <w:sz w:val="30"/>
          <w:szCs w:val="30"/>
        </w:rPr>
        <w:t>财政拨款安排支出按经济科目分类情况</w:t>
      </w:r>
    </w:p>
    <w:p>
      <w:pPr>
        <w:widowControl/>
        <w:ind w:firstLine="600" w:firstLineChars="200"/>
        <w:jc w:val="left"/>
        <w:rPr>
          <w:rFonts w:eastAsia="仿宋_GB2312"/>
          <w:kern w:val="0"/>
          <w:sz w:val="30"/>
          <w:szCs w:val="30"/>
        </w:rPr>
      </w:pPr>
      <w:r>
        <w:rPr>
          <w:rFonts w:hint="eastAsia" w:eastAsia="仿宋_GB2312"/>
          <w:kern w:val="0"/>
          <w:sz w:val="30"/>
          <w:szCs w:val="30"/>
        </w:rPr>
        <w:t>经济科目分组（其中：基本支出</w:t>
      </w:r>
      <w:r>
        <w:rPr>
          <w:rFonts w:eastAsia="仿宋_GB2312"/>
          <w:kern w:val="0"/>
          <w:sz w:val="30"/>
          <w:szCs w:val="30"/>
        </w:rPr>
        <w:t>169.67</w:t>
      </w:r>
      <w:r>
        <w:rPr>
          <w:rFonts w:hint="eastAsia" w:eastAsia="仿宋_GB2312"/>
          <w:kern w:val="0"/>
          <w:sz w:val="30"/>
          <w:szCs w:val="30"/>
        </w:rPr>
        <w:t>万元，项目支出</w:t>
      </w:r>
      <w:r>
        <w:rPr>
          <w:rFonts w:eastAsia="仿宋_GB2312"/>
          <w:kern w:val="0"/>
          <w:sz w:val="30"/>
          <w:szCs w:val="30"/>
        </w:rPr>
        <w:t>40</w:t>
      </w:r>
      <w:r>
        <w:rPr>
          <w:rFonts w:hint="eastAsia" w:eastAsia="仿宋_GB2312"/>
          <w:kern w:val="0"/>
          <w:sz w:val="30"/>
          <w:szCs w:val="30"/>
        </w:rPr>
        <w:t>万元）。</w:t>
      </w:r>
    </w:p>
    <w:p>
      <w:pPr>
        <w:widowControl/>
        <w:numPr>
          <w:ilvl w:val="0"/>
          <w:numId w:val="3"/>
        </w:numPr>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市</w:t>
      </w:r>
      <w:r>
        <w:rPr>
          <w:rFonts w:hint="eastAsia" w:ascii="黑体" w:hAnsi="黑体" w:eastAsia="黑体"/>
          <w:kern w:val="0"/>
          <w:sz w:val="30"/>
          <w:szCs w:val="30"/>
        </w:rPr>
        <w:t>对下</w:t>
      </w:r>
      <w:r>
        <w:rPr>
          <w:rFonts w:hint="eastAsia" w:ascii="黑体" w:hAnsi="黑体" w:eastAsia="黑体"/>
          <w:kern w:val="0"/>
          <w:sz w:val="30"/>
          <w:szCs w:val="30"/>
          <w:lang w:eastAsia="zh-CN"/>
        </w:rPr>
        <w:t>专</w:t>
      </w:r>
      <w:r>
        <w:rPr>
          <w:rFonts w:hint="eastAsia"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（一）列入州对下专项转移支付项目清单项目情况</w:t>
      </w:r>
    </w:p>
    <w:p>
      <w:pPr>
        <w:widowControl/>
        <w:ind w:firstLine="600" w:firstLineChars="200"/>
        <w:jc w:val="left"/>
        <w:rPr>
          <w:rFonts w:eastAsia="仿宋_GB2312"/>
          <w:kern w:val="0"/>
          <w:sz w:val="30"/>
          <w:szCs w:val="30"/>
        </w:rPr>
      </w:pPr>
      <w:r>
        <w:rPr>
          <w:rFonts w:hint="eastAsia" w:eastAsia="仿宋_GB2312"/>
          <w:kern w:val="0"/>
          <w:sz w:val="30"/>
          <w:szCs w:val="30"/>
        </w:rPr>
        <w:t>我单位没有列入州对下专项转移支付项目清单项目情况。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（二）与中央、省配套事项</w:t>
      </w:r>
    </w:p>
    <w:p>
      <w:pPr>
        <w:widowControl/>
        <w:ind w:firstLine="600" w:firstLineChars="200"/>
        <w:jc w:val="left"/>
        <w:rPr>
          <w:rFonts w:eastAsia="仿宋_GB2312"/>
          <w:kern w:val="0"/>
          <w:sz w:val="30"/>
          <w:szCs w:val="30"/>
        </w:rPr>
      </w:pPr>
      <w:r>
        <w:rPr>
          <w:rFonts w:hint="eastAsia" w:eastAsia="仿宋_GB2312"/>
          <w:kern w:val="0"/>
          <w:sz w:val="30"/>
          <w:szCs w:val="30"/>
        </w:rPr>
        <w:t>我单位没有与中央、省配套事项。</w:t>
      </w:r>
    </w:p>
    <w:p>
      <w:pPr>
        <w:widowControl/>
        <w:ind w:firstLine="602" w:firstLineChars="200"/>
        <w:jc w:val="left"/>
        <w:rPr>
          <w:rFonts w:eastAsia="仿宋_GB2312"/>
          <w:b/>
          <w:kern w:val="0"/>
          <w:sz w:val="30"/>
          <w:szCs w:val="30"/>
        </w:rPr>
      </w:pPr>
      <w:r>
        <w:rPr>
          <w:rFonts w:hint="eastAsia" w:eastAsia="仿宋_GB2312"/>
          <w:b/>
          <w:kern w:val="0"/>
          <w:sz w:val="30"/>
          <w:szCs w:val="30"/>
        </w:rPr>
        <w:t>（</w:t>
      </w:r>
      <w:r>
        <w:rPr>
          <w:rFonts w:hint="eastAsia"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rPr>
        <w:t>我单位没有按既定政策标准测算补助事项。</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六、政府采购预算情况</w:t>
      </w:r>
    </w:p>
    <w:p>
      <w:pPr>
        <w:widowControl/>
        <w:ind w:firstLine="600"/>
        <w:jc w:val="left"/>
        <w:rPr>
          <w:rFonts w:eastAsia="仿宋_GB2312"/>
          <w:kern w:val="0"/>
          <w:sz w:val="30"/>
          <w:szCs w:val="30"/>
        </w:rPr>
      </w:pPr>
      <w:r>
        <w:rPr>
          <w:rFonts w:hint="eastAsia" w:eastAsia="仿宋_GB2312"/>
          <w:kern w:val="0"/>
          <w:sz w:val="30"/>
          <w:szCs w:val="30"/>
        </w:rPr>
        <w:t>根据《中华人民共和国政府采购法》的有关规定，编制了政府采购预算，共涉及采购项目</w:t>
      </w:r>
      <w:r>
        <w:rPr>
          <w:rFonts w:eastAsia="仿宋_GB2312"/>
          <w:kern w:val="0"/>
          <w:sz w:val="30"/>
          <w:szCs w:val="30"/>
        </w:rPr>
        <w:t>0</w:t>
      </w:r>
      <w:r>
        <w:rPr>
          <w:rFonts w:hint="eastAsia" w:eastAsia="仿宋_GB2312"/>
          <w:kern w:val="0"/>
          <w:sz w:val="30"/>
          <w:szCs w:val="30"/>
        </w:rPr>
        <w:t>个，采购预算资金</w:t>
      </w:r>
      <w:r>
        <w:rPr>
          <w:rFonts w:eastAsia="仿宋_GB2312"/>
          <w:kern w:val="0"/>
          <w:sz w:val="30"/>
          <w:szCs w:val="30"/>
        </w:rPr>
        <w:t>0</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ascii="楷体_GB2312" w:eastAsia="楷体_GB2312"/>
          <w:kern w:val="0"/>
          <w:sz w:val="30"/>
          <w:szCs w:val="30"/>
        </w:rPr>
      </w:pPr>
      <w:r>
        <w:rPr>
          <w:rFonts w:hint="eastAsia" w:ascii="楷体" w:hAnsi="楷体" w:eastAsia="楷体" w:cs="楷体"/>
          <w:kern w:val="0"/>
          <w:sz w:val="30"/>
          <w:szCs w:val="30"/>
        </w:rPr>
        <w:t>（一）</w:t>
      </w:r>
      <w:r>
        <w:rPr>
          <w:rFonts w:hint="eastAsia" w:ascii="楷体_GB2312" w:eastAsia="楷体_GB2312"/>
          <w:kern w:val="0"/>
          <w:sz w:val="30"/>
          <w:szCs w:val="30"/>
        </w:rPr>
        <w:t>部门“三公”经费增减变化情况及原因说明</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德宏州社科联</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年部门“三公”经费无增减变动。</w:t>
      </w:r>
    </w:p>
    <w:p>
      <w:pPr>
        <w:spacing w:line="580" w:lineRule="exact"/>
        <w:ind w:firstLine="600" w:firstLineChars="200"/>
        <w:rPr>
          <w:rFonts w:ascii="仿宋_GB2312" w:hAnsi="仿宋_GB2312" w:eastAsia="仿宋_GB2312" w:cs="仿宋_GB2312"/>
          <w:sz w:val="32"/>
          <w:szCs w:val="32"/>
        </w:rPr>
      </w:pPr>
      <w:r>
        <w:rPr>
          <w:rFonts w:hint="eastAsia" w:ascii="楷体" w:hAnsi="楷体" w:eastAsia="楷体" w:cs="楷体"/>
          <w:kern w:val="0"/>
          <w:sz w:val="30"/>
          <w:szCs w:val="30"/>
        </w:rPr>
        <w:t>（二）</w:t>
      </w:r>
      <w:r>
        <w:rPr>
          <w:rFonts w:hint="eastAsia" w:ascii="仿宋_GB2312" w:hAnsi="仿宋_GB2312" w:eastAsia="仿宋_GB2312" w:cs="仿宋_GB2312"/>
          <w:kern w:val="0"/>
          <w:sz w:val="32"/>
          <w:szCs w:val="32"/>
        </w:rPr>
        <w:t>州社科联基本支出预算和项目支出预算变动的主要原因：</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年德宏州社科联财政拨款基本支出</w:t>
      </w:r>
      <w:r>
        <w:rPr>
          <w:rFonts w:ascii="仿宋_GB2312" w:hAnsi="仿宋_GB2312" w:eastAsia="仿宋_GB2312" w:cs="仿宋_GB2312"/>
          <w:sz w:val="32"/>
          <w:szCs w:val="32"/>
        </w:rPr>
        <w:t>169.67</w:t>
      </w:r>
      <w:r>
        <w:rPr>
          <w:rFonts w:hint="eastAsia" w:ascii="仿宋_GB2312" w:hAnsi="仿宋_GB2312" w:eastAsia="仿宋_GB2312" w:cs="仿宋_GB2312"/>
          <w:sz w:val="32"/>
          <w:szCs w:val="32"/>
        </w:rPr>
        <w:t>万元比</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年预算</w:t>
      </w:r>
      <w:r>
        <w:rPr>
          <w:rFonts w:ascii="仿宋_GB2312" w:hAnsi="仿宋_GB2312" w:eastAsia="仿宋_GB2312" w:cs="仿宋_GB2312"/>
          <w:sz w:val="32"/>
          <w:szCs w:val="32"/>
        </w:rPr>
        <w:t>138.85</w:t>
      </w:r>
      <w:r>
        <w:rPr>
          <w:rFonts w:hint="eastAsia" w:ascii="仿宋_GB2312" w:hAnsi="仿宋_GB2312" w:eastAsia="仿宋_GB2312" w:cs="仿宋_GB2312"/>
          <w:sz w:val="32"/>
          <w:szCs w:val="32"/>
        </w:rPr>
        <w:t>增加</w:t>
      </w:r>
      <w:r>
        <w:rPr>
          <w:rFonts w:ascii="仿宋_GB2312" w:hAnsi="仿宋_GB2312" w:eastAsia="仿宋_GB2312" w:cs="仿宋_GB2312"/>
          <w:sz w:val="32"/>
          <w:szCs w:val="32"/>
        </w:rPr>
        <w:t>30.82</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年人员增资等原因致使基本预算增加。</w:t>
      </w:r>
    </w:p>
    <w:p>
      <w:pPr>
        <w:spacing w:line="580" w:lineRule="exact"/>
        <w:ind w:firstLine="600" w:firstLineChars="200"/>
        <w:rPr>
          <w:rFonts w:ascii="仿宋_GB2312" w:hAnsi="仿宋_GB2312" w:eastAsia="仿宋_GB2312" w:cs="仿宋_GB2312"/>
          <w:sz w:val="32"/>
          <w:szCs w:val="32"/>
        </w:rPr>
      </w:pPr>
      <w:r>
        <w:rPr>
          <w:rFonts w:hint="eastAsia" w:ascii="楷体" w:hAnsi="楷体" w:eastAsia="楷体" w:cs="楷体"/>
          <w:kern w:val="0"/>
          <w:sz w:val="30"/>
          <w:szCs w:val="30"/>
        </w:rPr>
        <w:t>（三）</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年德宏州社科联项目支出</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万元比</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减少</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万元，减少的原因是按财政局的预算控制数，减少了</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年的项目经费预算资金。</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八、其他公开信息</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（一）专业名词解释</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1.  </w:t>
      </w:r>
      <w:r>
        <w:rPr>
          <w:rFonts w:hint="eastAsia" w:ascii="仿宋_GB2312" w:hAnsi="仿宋_GB2312" w:eastAsia="仿宋_GB2312" w:cs="仿宋_GB2312"/>
          <w:sz w:val="32"/>
          <w:szCs w:val="32"/>
        </w:rPr>
        <w:t>财政拨款收入：指昆明市财政当年拨付的资金。</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事业收入：指事业单位开展专业业务活动及辅助活动所取得的收入。</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经营收入：指事业单位在专业业务活动及其辅助活动之外开展非独立核算经营活动取得的收入。</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4. </w:t>
      </w:r>
      <w:r>
        <w:rPr>
          <w:rFonts w:hint="eastAsia" w:ascii="仿宋_GB2312" w:hAnsi="仿宋_GB2312" w:eastAsia="仿宋_GB2312" w:cs="仿宋_GB2312"/>
          <w:sz w:val="32"/>
          <w:szCs w:val="32"/>
        </w:rPr>
        <w:t>其他收入：指除上述“财政拨款收入”、“事业收入”、“经营收入”等以外的收入。主要是按规定动用的售房收入、存款利息收入等。</w:t>
      </w:r>
      <w:r>
        <w:rPr>
          <w:rFonts w:ascii="仿宋_GB2312" w:hAnsi="仿宋_GB2312" w:eastAsia="仿宋_GB2312" w:cs="仿宋_GB2312"/>
          <w:sz w:val="32"/>
          <w:szCs w:val="32"/>
        </w:rPr>
        <w:t xml:space="preserve"> </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5. </w:t>
      </w:r>
      <w:r>
        <w:rPr>
          <w:rFonts w:hint="eastAsia" w:ascii="仿宋_GB2312" w:hAnsi="仿宋_GB2312" w:eastAsia="仿宋_GB2312" w:cs="仿宋_GB2312"/>
          <w:sz w:val="32"/>
          <w:szCs w:val="32"/>
        </w:rPr>
        <w:t>用事业基金弥补收支差额：指事业单位在当年的“财</w:t>
      </w:r>
    </w:p>
    <w:p>
      <w:pPr>
        <w:pStyle w:val="6"/>
        <w:widowControl/>
        <w:spacing w:beforeAutospacing="0" w:afterAutospacing="0" w:line="58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6. </w:t>
      </w:r>
      <w:r>
        <w:rPr>
          <w:rFonts w:hint="eastAsia" w:ascii="仿宋_GB2312" w:hAnsi="仿宋_GB2312" w:eastAsia="仿宋_GB2312" w:cs="仿宋_GB2312"/>
          <w:sz w:val="32"/>
          <w:szCs w:val="32"/>
        </w:rPr>
        <w:t>年初结转和结余：指以前年度尚未完成、结转到本年按有关规定继续使用的资金。</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7. </w:t>
      </w:r>
      <w:r>
        <w:rPr>
          <w:rFonts w:hint="eastAsia" w:ascii="仿宋_GB2312" w:hAnsi="仿宋_GB2312" w:eastAsia="仿宋_GB2312" w:cs="仿宋_GB2312"/>
          <w:sz w:val="32"/>
          <w:szCs w:val="32"/>
        </w:rPr>
        <w:t>一般公共服务（类）财政事务（款）行政运行（项）：指行政事业单位及参照公务员法管理的事业单位用于保障机构正常运行、开展日常工作的基本支出。</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8. </w:t>
      </w:r>
      <w:r>
        <w:rPr>
          <w:rFonts w:hint="eastAsia" w:ascii="仿宋_GB2312" w:hAnsi="仿宋_GB2312" w:eastAsia="仿宋_GB2312" w:cs="仿宋_GB2312"/>
          <w:sz w:val="32"/>
          <w:szCs w:val="32"/>
        </w:rPr>
        <w:t>一般公共服务（类）财政事务（款）一般行政管理事务（项）：指行政事业单位及参照公务员法管理的事业单位开展财政立法、决算编审、资产产权管理等未单独设置项级科目的专门性财政管理工作的项目支出。</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9. </w:t>
      </w:r>
      <w:r>
        <w:rPr>
          <w:rFonts w:hint="eastAsia" w:ascii="仿宋_GB2312" w:hAnsi="仿宋_GB2312" w:eastAsia="仿宋_GB2312" w:cs="仿宋_GB2312"/>
          <w:sz w:val="32"/>
          <w:szCs w:val="32"/>
        </w:rPr>
        <w:t>一般公共服务（类）财政事务（款）机关服务（项）：</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指行政事业单位机关服务中心为部机关提供文件印制、办公楼日常维修维护等后勤保障服务的支出。</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10. </w:t>
      </w:r>
      <w:r>
        <w:rPr>
          <w:rFonts w:hint="eastAsia" w:ascii="仿宋_GB2312" w:hAnsi="仿宋_GB2312" w:eastAsia="仿宋_GB2312" w:cs="仿宋_GB2312"/>
          <w:sz w:val="32"/>
          <w:szCs w:val="32"/>
        </w:rPr>
        <w:t>一般公共服务（类）财政事务（款）预算改革业务（项）：指财政部开展预算改革、研究制定相关政策的项目支出。</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11. </w:t>
      </w:r>
      <w:r>
        <w:rPr>
          <w:rFonts w:hint="eastAsia" w:ascii="仿宋_GB2312" w:hAnsi="仿宋_GB2312" w:eastAsia="仿宋_GB2312" w:cs="仿宋_GB2312"/>
          <w:sz w:val="32"/>
          <w:szCs w:val="32"/>
        </w:rPr>
        <w:t>一般公共服务（类）财政事务（款）财政国库业务（项）：指财政部用于财政国库集中收付业务方面的项目支出。</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12. </w:t>
      </w:r>
      <w:r>
        <w:rPr>
          <w:rFonts w:hint="eastAsia" w:ascii="仿宋_GB2312" w:hAnsi="仿宋_GB2312" w:eastAsia="仿宋_GB2312" w:cs="仿宋_GB2312"/>
          <w:sz w:val="32"/>
          <w:szCs w:val="32"/>
        </w:rPr>
        <w:t>一般公共服务（类）财政事务（款）信息化建设（项）：指行政事业单位用于业务软件开发、硬件购置、系统升级等信息化建设方面的项目支出。</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13. </w:t>
      </w:r>
      <w:r>
        <w:rPr>
          <w:rFonts w:hint="eastAsia" w:ascii="仿宋_GB2312" w:hAnsi="仿宋_GB2312" w:eastAsia="仿宋_GB2312" w:cs="仿宋_GB2312"/>
          <w:sz w:val="32"/>
          <w:szCs w:val="32"/>
        </w:rPr>
        <w:t>一般公共服务（类）财政事务（款）事业运行（项）</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指行政事业单位信息网络中心用于保障机构正常运行、开展日常工作的基本支出。</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14. </w:t>
      </w:r>
      <w:r>
        <w:rPr>
          <w:rFonts w:hint="eastAsia" w:ascii="仿宋_GB2312" w:hAnsi="仿宋_GB2312" w:eastAsia="仿宋_GB2312" w:cs="仿宋_GB2312"/>
          <w:sz w:val="32"/>
          <w:szCs w:val="32"/>
        </w:rPr>
        <w:t>一般公共服务（类）财政事务（款）其他财政事务支出（项）：指行政事业单位除上述项目外，开展其他财政事务方面专门性工作任务的项目支出。</w:t>
      </w:r>
      <w:r>
        <w:rPr>
          <w:rFonts w:ascii="仿宋_GB2312" w:hAnsi="仿宋_GB2312" w:eastAsia="仿宋_GB2312" w:cs="仿宋_GB2312"/>
          <w:sz w:val="32"/>
          <w:szCs w:val="32"/>
        </w:rPr>
        <w:t xml:space="preserve"> </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15. </w:t>
      </w:r>
      <w:r>
        <w:rPr>
          <w:rFonts w:hint="eastAsia" w:ascii="仿宋_GB2312" w:hAnsi="仿宋_GB2312" w:eastAsia="仿宋_GB2312" w:cs="仿宋_GB2312"/>
          <w:sz w:val="32"/>
          <w:szCs w:val="32"/>
        </w:rPr>
        <w:t>社会保障和就业（类）行政事业单位离退休（款）行政单位离退休（项）：指行政事业单位离退休人员的支出。</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16.  </w:t>
      </w:r>
      <w:r>
        <w:rPr>
          <w:rFonts w:hint="eastAsia" w:ascii="仿宋_GB2312" w:hAnsi="仿宋_GB2312" w:eastAsia="仿宋_GB2312" w:cs="仿宋_GB2312"/>
          <w:sz w:val="32"/>
          <w:szCs w:val="32"/>
        </w:rPr>
        <w:t>住房保障（类）住房改革支出（款）住房公积金（项）：指按照《住房公积金管理条例》的规定，由单位及其在职职工缴存的长期住房储金。该项政策始于上世纪九十年代中期，在全国机关、企事业单位在职职工中普遍实施，缴存比例最低不低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，最高不超过</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，缴存基数为职工本人上年工资，目前已实施约</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17. </w:t>
      </w:r>
      <w:r>
        <w:rPr>
          <w:rFonts w:hint="eastAsia" w:ascii="仿宋_GB2312" w:hAnsi="仿宋_GB2312" w:eastAsia="仿宋_GB2312" w:cs="仿宋_GB2312"/>
          <w:sz w:val="32"/>
          <w:szCs w:val="32"/>
        </w:rPr>
        <w:t>住房保障（类）住房改革支出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（款）提租补贴（项）：指经国务院批准，于</w:t>
      </w:r>
      <w:r>
        <w:rPr>
          <w:rFonts w:ascii="仿宋_GB2312" w:hAnsi="仿宋_GB2312" w:eastAsia="仿宋_GB2312" w:cs="仿宋_GB2312"/>
          <w:sz w:val="32"/>
          <w:szCs w:val="32"/>
        </w:rPr>
        <w:t>2000</w:t>
      </w:r>
      <w:r>
        <w:rPr>
          <w:rFonts w:hint="eastAsia" w:ascii="仿宋_GB2312" w:hAnsi="仿宋_GB2312" w:eastAsia="仿宋_GB2312" w:cs="仿宋_GB2312"/>
          <w:sz w:val="32"/>
          <w:szCs w:val="32"/>
        </w:rPr>
        <w:t>年开始针对在京中央单位公有住房租金标准提高发放的补贴，中央在京单位按照在编职工人数和离退休人数以及相应职级的补贴标准确定，人均月补贴</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元。</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18. </w:t>
      </w:r>
      <w:r>
        <w:rPr>
          <w:rFonts w:hint="eastAsia" w:ascii="仿宋_GB2312" w:hAnsi="仿宋_GB2312" w:eastAsia="仿宋_GB2312" w:cs="仿宋_GB2312"/>
          <w:sz w:val="32"/>
          <w:szCs w:val="32"/>
        </w:rPr>
        <w:t>住房保障（类）住房改革支出（款）购房补贴（项）：指根据《国务院关于进一步深化城镇住房制度改革加快住房建设的通知》（国发〔</w:t>
      </w:r>
      <w:r>
        <w:rPr>
          <w:rFonts w:ascii="仿宋_GB2312" w:hAnsi="仿宋_GB2312" w:eastAsia="仿宋_GB2312" w:cs="仿宋_GB2312"/>
          <w:sz w:val="32"/>
          <w:szCs w:val="32"/>
        </w:rPr>
        <w:t>1998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号）的规定，从</w:t>
      </w:r>
      <w:r>
        <w:rPr>
          <w:rFonts w:ascii="仿宋_GB2312" w:hAnsi="仿宋_GB2312" w:eastAsia="仿宋_GB2312" w:cs="仿宋_GB2312"/>
          <w:sz w:val="32"/>
          <w:szCs w:val="32"/>
        </w:rPr>
        <w:t>1998</w:t>
      </w:r>
      <w:r>
        <w:rPr>
          <w:rFonts w:hint="eastAsia" w:ascii="仿宋_GB2312" w:hAnsi="仿宋_GB2312" w:eastAsia="仿宋_GB2312" w:cs="仿宋_GB2312"/>
          <w:sz w:val="32"/>
          <w:szCs w:val="32"/>
        </w:rPr>
        <w:t>年下半年停止实物分房后，房价收入比超过</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倍以上地区对无房和住房未达标职工发放的住房货币化改革补贴资金。中央行政事业单位从</w:t>
      </w:r>
      <w:r>
        <w:rPr>
          <w:rFonts w:ascii="仿宋_GB2312" w:hAnsi="仿宋_GB2312" w:eastAsia="仿宋_GB2312" w:cs="仿宋_GB2312"/>
          <w:sz w:val="32"/>
          <w:szCs w:val="32"/>
        </w:rPr>
        <w:t>2000</w:t>
      </w:r>
      <w:r>
        <w:rPr>
          <w:rFonts w:hint="eastAsia" w:ascii="仿宋_GB2312" w:hAnsi="仿宋_GB2312" w:eastAsia="仿宋_GB2312" w:cs="仿宋_GB2312"/>
          <w:sz w:val="32"/>
          <w:szCs w:val="32"/>
        </w:rPr>
        <w:t>年开始发放购房补贴资金，地方行政事业单位从</w:t>
      </w:r>
      <w:r>
        <w:rPr>
          <w:rFonts w:ascii="仿宋_GB2312" w:hAnsi="仿宋_GB2312" w:eastAsia="仿宋_GB2312" w:cs="仿宋_GB2312"/>
          <w:sz w:val="32"/>
          <w:szCs w:val="32"/>
        </w:rPr>
        <w:t>1999</w:t>
      </w:r>
      <w:r>
        <w:rPr>
          <w:rFonts w:hint="eastAsia" w:ascii="仿宋_GB2312" w:hAnsi="仿宋_GB2312" w:eastAsia="仿宋_GB2312" w:cs="仿宋_GB2312"/>
          <w:sz w:val="32"/>
          <w:szCs w:val="32"/>
        </w:rPr>
        <w:t>年陆续开始发放购房补贴资金，企业根据本单位情况自行确定。在京中央单位按照《中共中央办公厅</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国务院办公厅转发建设部等单位</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关于完善在京中央和国家机关住房制度的若干意见</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的通知》（厅字〔</w:t>
      </w:r>
      <w:r>
        <w:rPr>
          <w:rFonts w:ascii="仿宋_GB2312" w:hAnsi="仿宋_GB2312" w:eastAsia="仿宋_GB2312" w:cs="仿宋_GB2312"/>
          <w:sz w:val="32"/>
          <w:szCs w:val="32"/>
        </w:rPr>
        <w:t>2005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号）规定的标准执行，京外中央单位按照所在地人民政府住房分配货币化改革的政策规定和标准执行。</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19. </w:t>
      </w:r>
      <w:r>
        <w:rPr>
          <w:rFonts w:hint="eastAsia" w:ascii="仿宋_GB2312" w:hAnsi="仿宋_GB2312" w:eastAsia="仿宋_GB2312" w:cs="仿宋_GB2312"/>
          <w:sz w:val="32"/>
          <w:szCs w:val="32"/>
        </w:rPr>
        <w:t>结余分配：指事业单位按规定提取的职工福利基金、事业基金和缴纳的所得税，以及建设单位按规定应交回的基本建设竣工项目结余资金。</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20. </w:t>
      </w:r>
      <w:r>
        <w:rPr>
          <w:rFonts w:hint="eastAsia" w:ascii="仿宋_GB2312" w:hAnsi="仿宋_GB2312" w:eastAsia="仿宋_GB2312" w:cs="仿宋_GB2312"/>
          <w:sz w:val="32"/>
          <w:szCs w:val="32"/>
        </w:rPr>
        <w:t>年末结转和结余：指本年度或以前年度预算安排、因客观条件发生变化无法按原计划实施，需延迟到以后年度按有关规定继续使用的资金。</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21. </w:t>
      </w:r>
      <w:r>
        <w:rPr>
          <w:rFonts w:hint="eastAsia" w:ascii="仿宋_GB2312" w:hAnsi="仿宋_GB2312" w:eastAsia="仿宋_GB2312" w:cs="仿宋_GB2312"/>
          <w:sz w:val="32"/>
          <w:szCs w:val="32"/>
        </w:rPr>
        <w:t>基本支出：指为保障机构正常运转、完成日常工作任务而发生的人员支出和公用支出。</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22. </w:t>
      </w:r>
      <w:r>
        <w:rPr>
          <w:rFonts w:hint="eastAsia" w:ascii="仿宋_GB2312" w:hAnsi="仿宋_GB2312" w:eastAsia="仿宋_GB2312" w:cs="仿宋_GB2312"/>
          <w:sz w:val="32"/>
          <w:szCs w:val="32"/>
        </w:rPr>
        <w:t>项目支出：指在基本支出之外为完成特定行政任务和事业发展目标所发生的支出。</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23. </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24. </w:t>
      </w:r>
      <w:r>
        <w:rPr>
          <w:rFonts w:hint="eastAsia" w:ascii="仿宋_GB2312" w:hAnsi="仿宋_GB2312" w:eastAsia="仿宋_GB2312" w:cs="仿宋_GB2312"/>
          <w:sz w:val="32"/>
          <w:szCs w:val="32"/>
        </w:rPr>
        <w:t>“三公”经费：纳入市财政预决算管理的“三公”经费，是指市本级部门用财政拨款安排的因公出国（境）费、公务用车购置及运行费和公务接待费。（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）因公出国（境）费，反映单位公务出国（境）的国际旅费、国外城市间交通费、住宿费、伙食费、培训费、公杂费等支出。（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务用车购置及运行费，反映单位公务用车车辆购置支出（含车辆购置税）及租用费、燃料费、维修费、过路过桥费、保险费、安全奖励费用等支出，公务用车指用于履行公务的机动车辆，包括领导干部专车、一般公务用车和执法执勤用车。（</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）公务接待费，反映单位按规定开支的各类公务接待（含外宾接待）支出。</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25. </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（二）机关运行经费安排</w:t>
      </w:r>
    </w:p>
    <w:p>
      <w:pPr>
        <w:spacing w:line="580" w:lineRule="exact"/>
        <w:ind w:firstLine="640" w:firstLineChars="200"/>
        <w:rPr>
          <w:rFonts w:ascii="仿宋_GB2312" w:eastAsia="仿宋_GB2312"/>
          <w:sz w:val="32"/>
          <w:szCs w:val="32"/>
        </w:rPr>
      </w:pPr>
      <w:r>
        <w:rPr>
          <w:rFonts w:ascii="仿宋_GB2312" w:eastAsia="仿宋_GB2312"/>
          <w:sz w:val="32"/>
          <w:szCs w:val="32"/>
        </w:rPr>
        <w:t>2019</w:t>
      </w:r>
      <w:r>
        <w:rPr>
          <w:rFonts w:hint="eastAsia" w:ascii="仿宋_GB2312" w:eastAsia="仿宋_GB2312"/>
          <w:sz w:val="32"/>
          <w:szCs w:val="32"/>
        </w:rPr>
        <w:t>年德宏州社科联机关运行经费支出</w:t>
      </w:r>
      <w:r>
        <w:rPr>
          <w:rFonts w:ascii="仿宋_GB2312" w:eastAsia="仿宋_GB2312"/>
          <w:sz w:val="32"/>
          <w:szCs w:val="32"/>
        </w:rPr>
        <w:t>16.12</w:t>
      </w:r>
      <w:r>
        <w:rPr>
          <w:rFonts w:hint="eastAsia" w:ascii="仿宋_GB2312" w:eastAsia="仿宋_GB2312"/>
          <w:sz w:val="32"/>
          <w:szCs w:val="32"/>
        </w:rPr>
        <w:t>万元，与</w:t>
      </w:r>
      <w:r>
        <w:rPr>
          <w:rFonts w:ascii="仿宋_GB2312" w:eastAsia="仿宋_GB2312"/>
          <w:sz w:val="32"/>
          <w:szCs w:val="32"/>
        </w:rPr>
        <w:t>2017</w:t>
      </w:r>
      <w:r>
        <w:rPr>
          <w:rFonts w:hint="eastAsia" w:ascii="仿宋_GB2312" w:eastAsia="仿宋_GB2312"/>
          <w:sz w:val="32"/>
          <w:szCs w:val="32"/>
        </w:rPr>
        <w:t>年对比没有变化。部门机关运行经费主要用于办公费、印刷费、水电费、办公设备购置等日常公用经费及在职职工交通补贴。</w:t>
      </w:r>
    </w:p>
    <w:p>
      <w:pPr>
        <w:widowControl/>
        <w:numPr>
          <w:ilvl w:val="0"/>
          <w:numId w:val="4"/>
        </w:numPr>
        <w:ind w:firstLine="600" w:firstLineChars="200"/>
        <w:jc w:val="left"/>
        <w:rPr>
          <w:rFonts w:ascii="楷体_GB2312" w:eastAsia="楷体_GB2312"/>
          <w:kern w:val="0"/>
          <w:sz w:val="30"/>
          <w:szCs w:val="30"/>
        </w:rPr>
      </w:pPr>
      <w:r>
        <w:rPr>
          <w:rFonts w:hint="eastAsia" w:ascii="楷体_GB2312" w:eastAsia="楷体_GB2312"/>
          <w:kern w:val="0"/>
          <w:sz w:val="30"/>
          <w:szCs w:val="30"/>
        </w:rPr>
        <w:t>国有资产占用情况</w:t>
      </w:r>
    </w:p>
    <w:p>
      <w:pPr>
        <w:widowControl/>
        <w:spacing w:line="580" w:lineRule="exact"/>
        <w:ind w:firstLine="600" w:firstLineChars="200"/>
        <w:rPr>
          <w:rFonts w:eastAsia="仿宋_GB2312"/>
          <w:kern w:val="0"/>
          <w:sz w:val="32"/>
          <w:szCs w:val="32"/>
        </w:rPr>
      </w:pPr>
      <w:r>
        <w:rPr>
          <w:rFonts w:ascii="楷体_GB2312" w:eastAsia="楷体_GB2312"/>
          <w:kern w:val="0"/>
          <w:sz w:val="30"/>
          <w:szCs w:val="30"/>
        </w:rPr>
        <w:t xml:space="preserve"> </w:t>
      </w:r>
      <w:r>
        <w:rPr>
          <w:rFonts w:hint="eastAsia" w:eastAsia="仿宋_GB2312"/>
          <w:kern w:val="0"/>
          <w:sz w:val="30"/>
          <w:szCs w:val="30"/>
        </w:rPr>
        <w:t>鉴于截至</w:t>
      </w:r>
      <w:r>
        <w:rPr>
          <w:rFonts w:eastAsia="仿宋_GB2312"/>
          <w:kern w:val="0"/>
          <w:sz w:val="30"/>
          <w:szCs w:val="30"/>
        </w:rPr>
        <w:t>2019</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31</w:t>
      </w:r>
      <w:r>
        <w:rPr>
          <w:rFonts w:hint="eastAsia" w:eastAsia="仿宋_GB2312"/>
          <w:kern w:val="0"/>
          <w:sz w:val="30"/>
          <w:szCs w:val="30"/>
        </w:rPr>
        <w:t>日的国有资产占有使用情况需在完成</w:t>
      </w:r>
      <w:r>
        <w:rPr>
          <w:rFonts w:eastAsia="仿宋_GB2312"/>
          <w:kern w:val="0"/>
          <w:sz w:val="30"/>
          <w:szCs w:val="30"/>
        </w:rPr>
        <w:t>2019</w:t>
      </w:r>
      <w:r>
        <w:rPr>
          <w:rFonts w:hint="eastAsia" w:eastAsia="仿宋_GB2312"/>
          <w:kern w:val="0"/>
          <w:sz w:val="30"/>
          <w:szCs w:val="30"/>
        </w:rPr>
        <w:t>年决算编制后才能统计汇总相关数据，因此，将在公开</w:t>
      </w:r>
      <w:r>
        <w:rPr>
          <w:rFonts w:eastAsia="仿宋_GB2312"/>
          <w:kern w:val="0"/>
          <w:sz w:val="30"/>
          <w:szCs w:val="30"/>
        </w:rPr>
        <w:t>2019</w:t>
      </w:r>
      <w:r>
        <w:rPr>
          <w:rFonts w:hint="eastAsia" w:eastAsia="仿宋_GB2312"/>
          <w:kern w:val="0"/>
          <w:sz w:val="30"/>
          <w:szCs w:val="30"/>
        </w:rPr>
        <w:t>年度部门决算时一并公开部门截至</w:t>
      </w:r>
      <w:r>
        <w:rPr>
          <w:rFonts w:eastAsia="仿宋_GB2312"/>
          <w:kern w:val="0"/>
          <w:sz w:val="30"/>
          <w:szCs w:val="30"/>
        </w:rPr>
        <w:t>2018</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31</w:t>
      </w:r>
      <w:r>
        <w:rPr>
          <w:rFonts w:hint="eastAsia" w:eastAsia="仿宋_GB2312"/>
          <w:kern w:val="0"/>
          <w:sz w:val="30"/>
          <w:szCs w:val="30"/>
        </w:rPr>
        <w:t>日的国有资产占有使用情况。</w:t>
      </w:r>
      <w:r>
        <w:rPr>
          <w:rFonts w:hint="eastAsia" w:ascii="仿宋_GB2312" w:hAnsi="仿宋_GB2312" w:eastAsia="仿宋_GB2312" w:cs="仿宋_GB2312"/>
          <w:kern w:val="0"/>
          <w:sz w:val="32"/>
          <w:szCs w:val="32"/>
        </w:rPr>
        <w:t>德宏州社科联固定资产总额是</w:t>
      </w:r>
      <w:r>
        <w:rPr>
          <w:rFonts w:ascii="仿宋_GB2312" w:hAnsi="仿宋_GB2312" w:eastAsia="仿宋_GB2312" w:cs="仿宋_GB2312"/>
          <w:kern w:val="0"/>
          <w:sz w:val="32"/>
          <w:szCs w:val="32"/>
        </w:rPr>
        <w:t>57.38</w:t>
      </w:r>
      <w:r>
        <w:rPr>
          <w:rFonts w:hint="eastAsia" w:ascii="仿宋_GB2312" w:hAnsi="仿宋_GB2312" w:eastAsia="仿宋_GB2312" w:cs="仿宋_GB2312"/>
          <w:kern w:val="0"/>
          <w:sz w:val="32"/>
          <w:szCs w:val="32"/>
        </w:rPr>
        <w:t>万元。</w:t>
      </w:r>
    </w:p>
    <w:p>
      <w:pPr>
        <w:widowControl/>
        <w:numPr>
          <w:ilvl w:val="0"/>
          <w:numId w:val="4"/>
        </w:numPr>
        <w:ind w:firstLine="600" w:firstLineChars="200"/>
        <w:jc w:val="left"/>
        <w:rPr>
          <w:rFonts w:ascii="楷体_GB2312" w:eastAsia="楷体_GB2312"/>
          <w:kern w:val="0"/>
          <w:sz w:val="30"/>
          <w:szCs w:val="30"/>
        </w:rPr>
      </w:pPr>
      <w:r>
        <w:rPr>
          <w:rFonts w:hint="eastAsia" w:ascii="楷体_GB2312" w:eastAsia="楷体_GB2312"/>
          <w:kern w:val="0"/>
          <w:sz w:val="30"/>
          <w:szCs w:val="30"/>
        </w:rPr>
        <w:t>本部门预算绩效情况说明</w:t>
      </w:r>
    </w:p>
    <w:tbl>
      <w:tblPr>
        <w:tblStyle w:val="9"/>
        <w:tblW w:w="9680" w:type="dxa"/>
        <w:tblInd w:w="-1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914"/>
        <w:gridCol w:w="1421"/>
        <w:gridCol w:w="1421"/>
        <w:gridCol w:w="142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widowControl/>
              <w:spacing w:line="320" w:lineRule="exact"/>
              <w:jc w:val="center"/>
              <w:rPr>
                <w:rFonts w:ascii="黑体" w:eastAsia="黑体"/>
                <w:kern w:val="0"/>
                <w:sz w:val="21"/>
                <w:szCs w:val="21"/>
              </w:rPr>
            </w:pPr>
            <w:r>
              <w:rPr>
                <w:rFonts w:hint="eastAsia" w:ascii="黑体" w:hAnsi="Tahoma" w:eastAsia="黑体" w:cs="Tahoma"/>
                <w:color w:val="666666"/>
                <w:kern w:val="2"/>
                <w:sz w:val="21"/>
                <w:szCs w:val="21"/>
                <w:shd w:val="clear" w:color="auto" w:fill="FFFFFF"/>
              </w:rPr>
              <w:t>项目名称</w:t>
            </w:r>
          </w:p>
        </w:tc>
        <w:tc>
          <w:tcPr>
            <w:tcW w:w="2914" w:type="dxa"/>
            <w:vAlign w:val="center"/>
          </w:tcPr>
          <w:p>
            <w:pPr>
              <w:widowControl/>
              <w:tabs>
                <w:tab w:val="left" w:pos="315"/>
              </w:tabs>
              <w:spacing w:line="320" w:lineRule="exact"/>
              <w:jc w:val="center"/>
              <w:rPr>
                <w:rFonts w:ascii="黑体" w:eastAsia="黑体"/>
                <w:kern w:val="0"/>
                <w:sz w:val="21"/>
                <w:szCs w:val="21"/>
              </w:rPr>
            </w:pPr>
            <w:r>
              <w:rPr>
                <w:rFonts w:hint="eastAsia" w:ascii="黑体" w:hAnsi="Tahoma" w:eastAsia="黑体" w:cs="Tahoma"/>
                <w:color w:val="666666"/>
                <w:kern w:val="2"/>
                <w:sz w:val="21"/>
                <w:szCs w:val="21"/>
                <w:shd w:val="clear" w:color="auto" w:fill="FFFFFF"/>
              </w:rPr>
              <w:t>项目目标</w:t>
            </w:r>
          </w:p>
        </w:tc>
        <w:tc>
          <w:tcPr>
            <w:tcW w:w="1421" w:type="dxa"/>
            <w:vAlign w:val="center"/>
          </w:tcPr>
          <w:p>
            <w:pPr>
              <w:widowControl/>
              <w:tabs>
                <w:tab w:val="left" w:pos="735"/>
              </w:tabs>
              <w:spacing w:line="320" w:lineRule="exact"/>
              <w:jc w:val="center"/>
              <w:rPr>
                <w:rFonts w:ascii="黑体" w:eastAsia="黑体"/>
                <w:kern w:val="0"/>
                <w:sz w:val="21"/>
                <w:szCs w:val="21"/>
              </w:rPr>
            </w:pPr>
            <w:r>
              <w:rPr>
                <w:rFonts w:hint="eastAsia" w:ascii="黑体" w:hAnsi="Tahoma" w:eastAsia="黑体" w:cs="Tahoma"/>
                <w:color w:val="666666"/>
                <w:kern w:val="2"/>
                <w:sz w:val="21"/>
                <w:szCs w:val="21"/>
                <w:shd w:val="clear" w:color="auto" w:fill="FFFFFF"/>
              </w:rPr>
              <w:t>一级指标</w:t>
            </w:r>
          </w:p>
        </w:tc>
        <w:tc>
          <w:tcPr>
            <w:tcW w:w="1421" w:type="dxa"/>
            <w:vAlign w:val="center"/>
          </w:tcPr>
          <w:p>
            <w:pPr>
              <w:widowControl/>
              <w:tabs>
                <w:tab w:val="left" w:pos="735"/>
              </w:tabs>
              <w:spacing w:line="320" w:lineRule="exact"/>
              <w:jc w:val="center"/>
              <w:rPr>
                <w:rFonts w:ascii="黑体" w:eastAsia="黑体"/>
                <w:kern w:val="0"/>
                <w:sz w:val="21"/>
                <w:szCs w:val="21"/>
              </w:rPr>
            </w:pPr>
            <w:r>
              <w:rPr>
                <w:rFonts w:hint="eastAsia" w:ascii="黑体" w:hAnsi="Tahoma" w:eastAsia="黑体" w:cs="Tahoma"/>
                <w:color w:val="666666"/>
                <w:kern w:val="2"/>
                <w:sz w:val="21"/>
                <w:szCs w:val="21"/>
                <w:shd w:val="clear" w:color="auto" w:fill="FFFFFF"/>
              </w:rPr>
              <w:t>二级指标</w:t>
            </w:r>
          </w:p>
        </w:tc>
        <w:tc>
          <w:tcPr>
            <w:tcW w:w="1422" w:type="dxa"/>
            <w:vAlign w:val="center"/>
          </w:tcPr>
          <w:p>
            <w:pPr>
              <w:widowControl/>
              <w:tabs>
                <w:tab w:val="left" w:pos="735"/>
              </w:tabs>
              <w:spacing w:line="320" w:lineRule="exact"/>
              <w:jc w:val="center"/>
              <w:rPr>
                <w:rFonts w:ascii="黑体" w:eastAsia="黑体"/>
                <w:kern w:val="0"/>
                <w:sz w:val="21"/>
                <w:szCs w:val="21"/>
              </w:rPr>
            </w:pPr>
            <w:r>
              <w:rPr>
                <w:rFonts w:hint="eastAsia" w:ascii="黑体" w:hAnsi="Tahoma" w:eastAsia="黑体" w:cs="Tahoma"/>
                <w:color w:val="666666"/>
                <w:kern w:val="2"/>
                <w:sz w:val="21"/>
                <w:szCs w:val="21"/>
                <w:shd w:val="clear" w:color="auto" w:fill="FFFFFF"/>
              </w:rPr>
              <w:t>三级指标</w:t>
            </w:r>
          </w:p>
        </w:tc>
        <w:tc>
          <w:tcPr>
            <w:tcW w:w="1422" w:type="dxa"/>
            <w:vAlign w:val="center"/>
          </w:tcPr>
          <w:p>
            <w:pPr>
              <w:widowControl/>
              <w:spacing w:line="320" w:lineRule="exact"/>
              <w:jc w:val="center"/>
              <w:rPr>
                <w:rFonts w:ascii="黑体" w:eastAsia="黑体"/>
                <w:kern w:val="0"/>
                <w:sz w:val="21"/>
                <w:szCs w:val="21"/>
              </w:rPr>
            </w:pPr>
            <w:r>
              <w:rPr>
                <w:rFonts w:hint="eastAsia" w:ascii="黑体" w:hAnsi="Tahoma" w:eastAsia="黑体" w:cs="Tahoma"/>
                <w:color w:val="666666"/>
                <w:kern w:val="2"/>
                <w:sz w:val="21"/>
                <w:szCs w:val="21"/>
                <w:shd w:val="clear" w:color="auto" w:fill="FFFFFF"/>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0" w:type="dxa"/>
            <w:vMerge w:val="restart"/>
            <w:vAlign w:val="center"/>
          </w:tcPr>
          <w:p>
            <w:pPr>
              <w:widowControl/>
              <w:tabs>
                <w:tab w:val="left" w:pos="585"/>
              </w:tabs>
              <w:jc w:val="center"/>
              <w:rPr>
                <w:rFonts w:ascii="仿宋_GB2312" w:eastAsia="仿宋_GB2312"/>
                <w:kern w:val="0"/>
                <w:sz w:val="21"/>
                <w:szCs w:val="21"/>
              </w:rPr>
            </w:pPr>
            <w:r>
              <w:rPr>
                <w:rFonts w:hint="eastAsia" w:ascii="仿宋_GB2312" w:hAnsi="Tahoma" w:eastAsia="仿宋_GB2312" w:cs="Tahoma"/>
                <w:kern w:val="2"/>
                <w:sz w:val="21"/>
                <w:szCs w:val="21"/>
              </w:rPr>
              <w:t>德宏州中缅关系研究所项目</w:t>
            </w:r>
          </w:p>
        </w:tc>
        <w:tc>
          <w:tcPr>
            <w:tcW w:w="2914" w:type="dxa"/>
            <w:vMerge w:val="restart"/>
          </w:tcPr>
          <w:p>
            <w:pPr>
              <w:pStyle w:val="6"/>
              <w:widowControl/>
              <w:spacing w:before="76" w:beforeAutospacing="0" w:after="152" w:afterAutospacing="0" w:line="300" w:lineRule="exact"/>
              <w:jc w:val="both"/>
              <w:rPr>
                <w:rFonts w:ascii="仿宋_GB2312" w:hAnsi="Tahoma" w:eastAsia="仿宋_GB2312" w:cs="Tahoma"/>
                <w:kern w:val="2"/>
                <w:sz w:val="21"/>
                <w:szCs w:val="21"/>
              </w:rPr>
            </w:pPr>
            <w:r>
              <w:rPr>
                <w:rFonts w:hint="eastAsia" w:ascii="仿宋_GB2312" w:hAnsi="Tahoma" w:eastAsia="仿宋_GB2312" w:cs="Tahoma"/>
                <w:kern w:val="2"/>
                <w:sz w:val="21"/>
                <w:szCs w:val="21"/>
              </w:rPr>
              <w:t>把借力研究作为推动智库建设研究的有效途径，主动与中国现代国际关系院等多个省内外研究机构沟通联系，并签订战略合作协议，在智库研究、人才交流等方面开展合作；积极探索与国家创新与发展研究会合作建立德宏调研基地，与中国外交学院合作建立教学基地，在决策咨询研究、人才培训等方面开展合作。以德宏州中缅关系研究所平台，设立对缅智库人员沟通联系和信息资源共享的运行机制，统筹全州</w:t>
            </w:r>
            <w:r>
              <w:rPr>
                <w:rFonts w:ascii="仿宋_GB2312" w:hAnsi="Tahoma" w:eastAsia="仿宋_GB2312" w:cs="Tahoma"/>
                <w:kern w:val="2"/>
                <w:sz w:val="21"/>
                <w:szCs w:val="21"/>
              </w:rPr>
              <w:t>30</w:t>
            </w:r>
            <w:r>
              <w:rPr>
                <w:rFonts w:hint="eastAsia" w:ascii="仿宋_GB2312" w:hAnsi="Tahoma" w:eastAsia="仿宋_GB2312" w:cs="Tahoma"/>
                <w:kern w:val="2"/>
                <w:sz w:val="21"/>
                <w:szCs w:val="21"/>
              </w:rPr>
              <w:t>余个涉缅部门的力量，建立对缅研究工作的“人才库”“资料库”和“信息库”。通过持续不断</w:t>
            </w:r>
            <w:r>
              <w:rPr>
                <w:rFonts w:hint="eastAsia" w:ascii="仿宋_GB2312" w:hAnsi="Tahoma" w:eastAsia="仿宋_GB2312" w:cs="Tahoma"/>
                <w:kern w:val="2"/>
                <w:sz w:val="21"/>
                <w:szCs w:val="21"/>
                <w:lang w:val="en-US" w:eastAsia="zh-CN"/>
              </w:rPr>
              <w:t>地</w:t>
            </w:r>
            <w:r>
              <w:rPr>
                <w:rFonts w:hint="eastAsia" w:ascii="仿宋_GB2312" w:hAnsi="Tahoma" w:eastAsia="仿宋_GB2312" w:cs="Tahoma"/>
                <w:kern w:val="2"/>
                <w:sz w:val="21"/>
                <w:szCs w:val="21"/>
              </w:rPr>
              <w:t>努力，智库联盟在统筹资源的效果逐步显现。</w:t>
            </w:r>
          </w:p>
        </w:tc>
        <w:tc>
          <w:tcPr>
            <w:tcW w:w="1421"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产出指标</w:t>
            </w:r>
          </w:p>
        </w:tc>
        <w:tc>
          <w:tcPr>
            <w:tcW w:w="1421"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成本指标</w:t>
            </w:r>
          </w:p>
        </w:tc>
        <w:tc>
          <w:tcPr>
            <w:tcW w:w="1422"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成本节约率</w:t>
            </w:r>
          </w:p>
        </w:tc>
        <w:tc>
          <w:tcPr>
            <w:tcW w:w="1422"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低于同类产品</w:t>
            </w:r>
            <w:r>
              <w:rPr>
                <w:rFonts w:ascii="仿宋_GB2312" w:eastAsia="仿宋_GB2312"/>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80" w:type="dxa"/>
            <w:vMerge w:val="continue"/>
          </w:tcPr>
          <w:p>
            <w:pPr>
              <w:widowControl/>
              <w:rPr>
                <w:rFonts w:ascii="仿宋_GB2312" w:eastAsia="仿宋_GB2312"/>
                <w:kern w:val="0"/>
                <w:sz w:val="21"/>
                <w:szCs w:val="21"/>
              </w:rPr>
            </w:pPr>
          </w:p>
        </w:tc>
        <w:tc>
          <w:tcPr>
            <w:tcW w:w="2914" w:type="dxa"/>
            <w:vMerge w:val="continue"/>
          </w:tcPr>
          <w:p>
            <w:pPr>
              <w:widowControl/>
              <w:rPr>
                <w:rFonts w:ascii="仿宋_GB2312" w:eastAsia="仿宋_GB2312"/>
                <w:kern w:val="0"/>
                <w:sz w:val="21"/>
                <w:szCs w:val="21"/>
              </w:rPr>
            </w:pPr>
          </w:p>
        </w:tc>
        <w:tc>
          <w:tcPr>
            <w:tcW w:w="1421"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产出指标</w:t>
            </w:r>
          </w:p>
        </w:tc>
        <w:tc>
          <w:tcPr>
            <w:tcW w:w="1421"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数量指标</w:t>
            </w:r>
          </w:p>
        </w:tc>
        <w:tc>
          <w:tcPr>
            <w:tcW w:w="1422"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《缅甸研究》刊物出版处</w:t>
            </w:r>
          </w:p>
        </w:tc>
        <w:tc>
          <w:tcPr>
            <w:tcW w:w="1422"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每季度至少出版刊物</w:t>
            </w:r>
            <w:r>
              <w:rPr>
                <w:rFonts w:ascii="仿宋_GB2312" w:eastAsia="仿宋_GB2312"/>
                <w:kern w:val="0"/>
                <w:sz w:val="21"/>
                <w:szCs w:val="21"/>
              </w:rPr>
              <w:t>1</w:t>
            </w:r>
            <w:r>
              <w:rPr>
                <w:rFonts w:hint="eastAsia" w:ascii="仿宋_GB2312" w:eastAsia="仿宋_GB2312"/>
                <w:kern w:val="0"/>
                <w:sz w:val="21"/>
                <w:szCs w:val="21"/>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080" w:type="dxa"/>
            <w:vMerge w:val="continue"/>
          </w:tcPr>
          <w:p>
            <w:pPr>
              <w:widowControl/>
              <w:rPr>
                <w:rFonts w:ascii="仿宋_GB2312" w:eastAsia="仿宋_GB2312"/>
                <w:kern w:val="0"/>
                <w:sz w:val="21"/>
                <w:szCs w:val="21"/>
              </w:rPr>
            </w:pPr>
          </w:p>
        </w:tc>
        <w:tc>
          <w:tcPr>
            <w:tcW w:w="2914" w:type="dxa"/>
            <w:vMerge w:val="continue"/>
          </w:tcPr>
          <w:p>
            <w:pPr>
              <w:widowControl/>
              <w:rPr>
                <w:rFonts w:ascii="仿宋_GB2312" w:eastAsia="仿宋_GB2312"/>
                <w:kern w:val="0"/>
                <w:sz w:val="21"/>
                <w:szCs w:val="21"/>
              </w:rPr>
            </w:pPr>
          </w:p>
        </w:tc>
        <w:tc>
          <w:tcPr>
            <w:tcW w:w="1421"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满意度指标</w:t>
            </w:r>
          </w:p>
        </w:tc>
        <w:tc>
          <w:tcPr>
            <w:tcW w:w="1421"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服务对象满意度指标</w:t>
            </w:r>
          </w:p>
        </w:tc>
        <w:tc>
          <w:tcPr>
            <w:tcW w:w="1422"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读者满意度调查</w:t>
            </w:r>
          </w:p>
        </w:tc>
        <w:tc>
          <w:tcPr>
            <w:tcW w:w="1422"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满意度达到</w:t>
            </w:r>
            <w:r>
              <w:rPr>
                <w:rFonts w:ascii="仿宋_GB2312" w:eastAsia="仿宋_GB2312"/>
                <w:kern w:val="0"/>
                <w:sz w:val="21"/>
                <w:szCs w:val="21"/>
              </w:rPr>
              <w:t>80%</w:t>
            </w:r>
            <w:r>
              <w:rPr>
                <w:rFonts w:hint="eastAsia" w:ascii="仿宋_GB2312" w:eastAsia="仿宋_GB2312"/>
                <w:kern w:val="0"/>
                <w:sz w:val="21"/>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080" w:type="dxa"/>
            <w:vMerge w:val="continue"/>
          </w:tcPr>
          <w:p>
            <w:pPr>
              <w:widowControl/>
              <w:rPr>
                <w:rFonts w:ascii="仿宋_GB2312" w:eastAsia="仿宋_GB2312"/>
                <w:kern w:val="0"/>
                <w:sz w:val="21"/>
                <w:szCs w:val="21"/>
              </w:rPr>
            </w:pPr>
          </w:p>
        </w:tc>
        <w:tc>
          <w:tcPr>
            <w:tcW w:w="2914" w:type="dxa"/>
            <w:vMerge w:val="continue"/>
          </w:tcPr>
          <w:p>
            <w:pPr>
              <w:widowControl/>
              <w:rPr>
                <w:rFonts w:ascii="仿宋_GB2312" w:eastAsia="仿宋_GB2312"/>
                <w:kern w:val="0"/>
                <w:sz w:val="21"/>
                <w:szCs w:val="21"/>
              </w:rPr>
            </w:pPr>
          </w:p>
        </w:tc>
        <w:tc>
          <w:tcPr>
            <w:tcW w:w="1421"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效益指标</w:t>
            </w:r>
          </w:p>
        </w:tc>
        <w:tc>
          <w:tcPr>
            <w:tcW w:w="1421"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可持续影响指标</w:t>
            </w:r>
          </w:p>
        </w:tc>
        <w:tc>
          <w:tcPr>
            <w:tcW w:w="1422"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促进民族地区维稳安全</w:t>
            </w:r>
          </w:p>
        </w:tc>
        <w:tc>
          <w:tcPr>
            <w:tcW w:w="1422"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通过刊物发行普及社科知识促进民族地区团结和谐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1080" w:type="dxa"/>
            <w:vMerge w:val="continue"/>
          </w:tcPr>
          <w:p>
            <w:pPr>
              <w:widowControl/>
              <w:rPr>
                <w:rFonts w:ascii="仿宋_GB2312" w:eastAsia="仿宋_GB2312"/>
                <w:kern w:val="0"/>
                <w:sz w:val="21"/>
                <w:szCs w:val="21"/>
              </w:rPr>
            </w:pPr>
          </w:p>
        </w:tc>
        <w:tc>
          <w:tcPr>
            <w:tcW w:w="2914" w:type="dxa"/>
            <w:vMerge w:val="continue"/>
          </w:tcPr>
          <w:p>
            <w:pPr>
              <w:widowControl/>
              <w:rPr>
                <w:rFonts w:ascii="仿宋_GB2312" w:eastAsia="仿宋_GB2312"/>
                <w:kern w:val="0"/>
                <w:sz w:val="21"/>
                <w:szCs w:val="21"/>
              </w:rPr>
            </w:pPr>
          </w:p>
        </w:tc>
        <w:tc>
          <w:tcPr>
            <w:tcW w:w="1421"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效益指标</w:t>
            </w:r>
          </w:p>
        </w:tc>
        <w:tc>
          <w:tcPr>
            <w:tcW w:w="1421"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社会效益指标</w:t>
            </w:r>
          </w:p>
        </w:tc>
        <w:tc>
          <w:tcPr>
            <w:tcW w:w="1422"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社会科学知识普及率</w:t>
            </w:r>
          </w:p>
        </w:tc>
        <w:tc>
          <w:tcPr>
            <w:tcW w:w="1422" w:type="dxa"/>
            <w:vAlign w:val="center"/>
          </w:tcPr>
          <w:p>
            <w:pPr>
              <w:widowControl/>
              <w:jc w:val="center"/>
              <w:rPr>
                <w:rFonts w:ascii="仿宋_GB2312" w:eastAsia="仿宋_GB2312"/>
                <w:kern w:val="0"/>
                <w:sz w:val="21"/>
                <w:szCs w:val="21"/>
              </w:rPr>
            </w:pPr>
            <w:r>
              <w:rPr>
                <w:rFonts w:hint="eastAsia" w:ascii="仿宋_GB2312" w:eastAsia="仿宋_GB2312"/>
                <w:kern w:val="0"/>
                <w:sz w:val="21"/>
                <w:szCs w:val="21"/>
              </w:rPr>
              <w:t>全州社会科学工作者覆盖率达</w:t>
            </w:r>
            <w:r>
              <w:rPr>
                <w:rFonts w:ascii="仿宋_GB2312" w:eastAsia="仿宋_GB2312"/>
                <w:kern w:val="0"/>
                <w:sz w:val="21"/>
                <w:szCs w:val="21"/>
              </w:rPr>
              <w:t>80%</w:t>
            </w:r>
            <w:r>
              <w:rPr>
                <w:rFonts w:hint="eastAsia" w:ascii="仿宋_GB2312" w:eastAsia="仿宋_GB2312"/>
                <w:kern w:val="0"/>
                <w:sz w:val="21"/>
                <w:szCs w:val="21"/>
              </w:rPr>
              <w:t>以上</w:t>
            </w:r>
          </w:p>
        </w:tc>
      </w:tr>
    </w:tbl>
    <w:p>
      <w:pPr>
        <w:widowControl/>
        <w:ind w:firstLine="600" w:firstLineChars="200"/>
        <w:jc w:val="left"/>
        <w:rPr>
          <w:rFonts w:eastAsia="仿宋_GB2312"/>
          <w:kern w:val="0"/>
          <w:sz w:val="30"/>
          <w:szCs w:val="30"/>
        </w:rPr>
      </w:pPr>
    </w:p>
    <w:p>
      <w:pPr>
        <w:widowControl/>
        <w:ind w:firstLine="600" w:firstLineChars="200"/>
        <w:jc w:val="left"/>
        <w:rPr>
          <w:rFonts w:eastAsia="仿宋_GB2312"/>
          <w:kern w:val="0"/>
          <w:sz w:val="30"/>
          <w:szCs w:val="30"/>
        </w:rPr>
      </w:pPr>
    </w:p>
    <w:p>
      <w:pPr>
        <w:rPr>
          <w:rFonts w:ascii="Arial" w:hAnsi="Arial" w:eastAsia="Arial" w:cs="Arial"/>
          <w:b/>
          <w:sz w:val="36"/>
        </w:rPr>
      </w:pPr>
      <w:r>
        <w:rPr>
          <w:rFonts w:ascii="Arial" w:hAnsi="Arial" w:eastAsia="Arial" w:cs="Arial"/>
          <w:b/>
          <w:sz w:val="36"/>
        </w:rPr>
        <w:t>监督索引号53310000449500111</w:t>
      </w:r>
    </w:p>
    <w:sectPr>
      <w:headerReference r:id="rId5" w:type="default"/>
      <w:headerReference r:id="rId6" w:type="even"/>
      <w:pgSz w:w="11906" w:h="16838"/>
      <w:pgMar w:top="1247" w:right="1797" w:bottom="1247"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DA9B9"/>
    <w:multiLevelType w:val="singleLevel"/>
    <w:tmpl w:val="5C3DA9B9"/>
    <w:lvl w:ilvl="0" w:tentative="0">
      <w:start w:val="3"/>
      <w:numFmt w:val="chineseCounting"/>
      <w:suff w:val="nothing"/>
      <w:lvlText w:val="（%1）"/>
      <w:lvlJc w:val="left"/>
      <w:rPr>
        <w:rFonts w:cs="Times New Roman"/>
      </w:rPr>
    </w:lvl>
  </w:abstractNum>
  <w:abstractNum w:abstractNumId="1">
    <w:nsid w:val="5C47BA42"/>
    <w:multiLevelType w:val="singleLevel"/>
    <w:tmpl w:val="5C47BA42"/>
    <w:lvl w:ilvl="0" w:tentative="0">
      <w:start w:val="2"/>
      <w:numFmt w:val="chineseCounting"/>
      <w:suff w:val="nothing"/>
      <w:lvlText w:val="（%1）"/>
      <w:lvlJc w:val="left"/>
      <w:rPr>
        <w:rFonts w:cs="Times New Roman"/>
      </w:rPr>
    </w:lvl>
  </w:abstractNum>
  <w:abstractNum w:abstractNumId="2">
    <w:nsid w:val="5C47DBBF"/>
    <w:multiLevelType w:val="singleLevel"/>
    <w:tmpl w:val="5C47DBBF"/>
    <w:lvl w:ilvl="0" w:tentative="0">
      <w:start w:val="4"/>
      <w:numFmt w:val="chineseCounting"/>
      <w:suff w:val="nothing"/>
      <w:lvlText w:val="%1、"/>
      <w:lvlJc w:val="left"/>
      <w:rPr>
        <w:rFonts w:cs="Times New Roman"/>
      </w:rPr>
    </w:lvl>
  </w:abstractNum>
  <w:abstractNum w:abstractNumId="3">
    <w:nsid w:val="5C47DC0A"/>
    <w:multiLevelType w:val="singleLevel"/>
    <w:tmpl w:val="5C47DC0A"/>
    <w:lvl w:ilvl="0" w:tentative="0">
      <w:start w:val="5"/>
      <w:numFmt w:val="chineseCounting"/>
      <w:suff w:val="nothing"/>
      <w:lvlText w:val="%1、"/>
      <w:lvlJc w:val="left"/>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lNmVlZWZhZWQzYWJkYjM5YTRlOTg3NjgyNjVjM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D642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23F"/>
    <w:rsid w:val="001418E2"/>
    <w:rsid w:val="0014446D"/>
    <w:rsid w:val="001446A5"/>
    <w:rsid w:val="0014486B"/>
    <w:rsid w:val="00144CF1"/>
    <w:rsid w:val="0014558B"/>
    <w:rsid w:val="00146960"/>
    <w:rsid w:val="00155639"/>
    <w:rsid w:val="00155D5E"/>
    <w:rsid w:val="00157BA7"/>
    <w:rsid w:val="001704E4"/>
    <w:rsid w:val="0017143F"/>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338C1"/>
    <w:rsid w:val="002406F5"/>
    <w:rsid w:val="00242E76"/>
    <w:rsid w:val="00243464"/>
    <w:rsid w:val="002462A8"/>
    <w:rsid w:val="0024739E"/>
    <w:rsid w:val="00247731"/>
    <w:rsid w:val="00253C74"/>
    <w:rsid w:val="00253FDE"/>
    <w:rsid w:val="00262BAD"/>
    <w:rsid w:val="002726B1"/>
    <w:rsid w:val="002727D0"/>
    <w:rsid w:val="002749C8"/>
    <w:rsid w:val="00275325"/>
    <w:rsid w:val="00281C06"/>
    <w:rsid w:val="0028486E"/>
    <w:rsid w:val="00285DC4"/>
    <w:rsid w:val="00294AE7"/>
    <w:rsid w:val="002A23FC"/>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0ACD"/>
    <w:rsid w:val="005148D7"/>
    <w:rsid w:val="00521069"/>
    <w:rsid w:val="005248EA"/>
    <w:rsid w:val="0052572D"/>
    <w:rsid w:val="005431C8"/>
    <w:rsid w:val="005463F4"/>
    <w:rsid w:val="00552BA8"/>
    <w:rsid w:val="0055409A"/>
    <w:rsid w:val="00563EEF"/>
    <w:rsid w:val="00572E90"/>
    <w:rsid w:val="00575EDA"/>
    <w:rsid w:val="005856B5"/>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CB9"/>
    <w:rsid w:val="005D6D58"/>
    <w:rsid w:val="005E6A58"/>
    <w:rsid w:val="005F310F"/>
    <w:rsid w:val="0060132A"/>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899"/>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5B7"/>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071E"/>
    <w:rsid w:val="00971AD3"/>
    <w:rsid w:val="00980F62"/>
    <w:rsid w:val="00981123"/>
    <w:rsid w:val="00982629"/>
    <w:rsid w:val="0098468C"/>
    <w:rsid w:val="0098667C"/>
    <w:rsid w:val="009907B9"/>
    <w:rsid w:val="00992351"/>
    <w:rsid w:val="0099645A"/>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2C39"/>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4E35"/>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4791A"/>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1400"/>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14B5"/>
    <w:rsid w:val="00E75F13"/>
    <w:rsid w:val="00E76022"/>
    <w:rsid w:val="00E83456"/>
    <w:rsid w:val="00E968DB"/>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227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25737A0"/>
    <w:rsid w:val="03F0214E"/>
    <w:rsid w:val="043A68F1"/>
    <w:rsid w:val="06325B44"/>
    <w:rsid w:val="0AB77A2F"/>
    <w:rsid w:val="19DF0B0B"/>
    <w:rsid w:val="1A0B3DDD"/>
    <w:rsid w:val="302440DF"/>
    <w:rsid w:val="39466C4F"/>
    <w:rsid w:val="4D556818"/>
    <w:rsid w:val="5B2D6B48"/>
    <w:rsid w:val="63676880"/>
    <w:rsid w:val="714D4B23"/>
    <w:rsid w:val="724A4A01"/>
    <w:rsid w:val="78C37979"/>
    <w:rsid w:val="7B1E53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locked/>
    <w:uiPriority w:val="99"/>
    <w:pPr>
      <w:spacing w:beforeAutospacing="1" w:afterAutospacing="1"/>
      <w:jc w:val="left"/>
    </w:pPr>
    <w:rPr>
      <w:kern w:val="0"/>
      <w:sz w:val="24"/>
    </w:rPr>
  </w:style>
  <w:style w:type="paragraph" w:styleId="7">
    <w:name w:val="annotation subject"/>
    <w:basedOn w:val="2"/>
    <w:next w:val="2"/>
    <w:link w:val="13"/>
    <w:semiHidden/>
    <w:qFormat/>
    <w:uiPriority w:val="99"/>
    <w:rPr>
      <w:b/>
      <w:bCs/>
    </w:rPr>
  </w:style>
  <w:style w:type="table" w:styleId="9">
    <w:name w:val="Table Grid"/>
    <w:basedOn w:val="8"/>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qFormat/>
    <w:uiPriority w:val="99"/>
    <w:rPr>
      <w:rFonts w:cs="Times New Roman"/>
      <w:sz w:val="21"/>
    </w:rPr>
  </w:style>
  <w:style w:type="character" w:customStyle="1" w:styleId="12">
    <w:name w:val="Comment Text Char"/>
    <w:basedOn w:val="10"/>
    <w:link w:val="2"/>
    <w:semiHidden/>
    <w:qFormat/>
    <w:locked/>
    <w:uiPriority w:val="99"/>
    <w:rPr>
      <w:rFonts w:cs="Times New Roman"/>
      <w:sz w:val="24"/>
      <w:szCs w:val="24"/>
    </w:rPr>
  </w:style>
  <w:style w:type="character" w:customStyle="1" w:styleId="13">
    <w:name w:val="Comment Subject Char"/>
    <w:basedOn w:val="12"/>
    <w:link w:val="7"/>
    <w:semiHidden/>
    <w:qFormat/>
    <w:locked/>
    <w:uiPriority w:val="99"/>
    <w:rPr>
      <w:b/>
      <w:bCs/>
    </w:rPr>
  </w:style>
  <w:style w:type="character" w:customStyle="1" w:styleId="14">
    <w:name w:val="Balloon Text Char"/>
    <w:basedOn w:val="10"/>
    <w:link w:val="3"/>
    <w:semiHidden/>
    <w:qFormat/>
    <w:locked/>
    <w:uiPriority w:val="99"/>
    <w:rPr>
      <w:rFonts w:cs="Times New Roman"/>
      <w:sz w:val="2"/>
    </w:rPr>
  </w:style>
  <w:style w:type="character" w:customStyle="1" w:styleId="15">
    <w:name w:val="Footer Char"/>
    <w:basedOn w:val="10"/>
    <w:link w:val="4"/>
    <w:semiHidden/>
    <w:qFormat/>
    <w:locked/>
    <w:uiPriority w:val="99"/>
    <w:rPr>
      <w:rFonts w:cs="Times New Roman"/>
      <w:sz w:val="18"/>
      <w:szCs w:val="18"/>
    </w:rPr>
  </w:style>
  <w:style w:type="character" w:customStyle="1" w:styleId="16">
    <w:name w:val="Header Char"/>
    <w:basedOn w:val="10"/>
    <w:link w:val="5"/>
    <w:semiHidden/>
    <w:qFormat/>
    <w:locked/>
    <w:uiPriority w:val="99"/>
    <w:rPr>
      <w:rFonts w:cs="Times New Roman"/>
      <w:sz w:val="18"/>
      <w:szCs w:val="18"/>
    </w:rPr>
  </w:style>
  <w:style w:type="paragraph" w:customStyle="1" w:styleId="17">
    <w:name w:val="Revision1"/>
    <w:hidden/>
    <w:semiHidden/>
    <w:qFormat/>
    <w:uiPriority w:val="99"/>
    <w:pPr>
      <w:spacing w:after="200" w:line="276" w:lineRule="auto"/>
    </w:pPr>
    <w:rPr>
      <w:rFonts w:ascii="Times New Roman" w:hAnsi="Times New Roman" w:eastAsia="宋体" w:cs="Times New Roman"/>
      <w:kern w:val="2"/>
      <w:sz w:val="21"/>
      <w:szCs w:val="24"/>
      <w:lang w:val="en-US" w:eastAsia="zh-CN" w:bidi="ar-SA"/>
    </w:rPr>
  </w:style>
  <w:style w:type="character" w:customStyle="1" w:styleId="18">
    <w:name w:val="c11"/>
    <w:basedOn w:val="10"/>
    <w:qFormat/>
    <w:uiPriority w:val="99"/>
    <w:rPr>
      <w:rFonts w:ascii="Times New Roman" w:cs="Times New Roman"/>
      <w:color w:val="0000FF"/>
      <w:sz w:val="27"/>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zhlx</Company>
  <Pages>13</Pages>
  <Words>1034</Words>
  <Characters>5898</Characters>
  <Lines>0</Lines>
  <Paragraphs>0</Paragraphs>
  <TotalTime>26</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2019-01-14T03:13:00Z</dcterms:created>
  <dc:creator>lx</dc:creator>
  <dc:description>ZHGenApp().GetProperty("Certification")</dc:description>
  <cp:lastModifiedBy>腾杰</cp:lastModifiedBy>
  <cp:lastPrinted>2018-01-31T03:32:00Z</cp:lastPrinted>
  <dcterms:modified xsi:type="dcterms:W3CDTF">2025-03-26T03:09:09Z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25A84498A1D4400DB4B2F637187CCD44_12</vt:lpwstr>
  </property>
</Properties>
</file>