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CA88">
      <w:pPr>
        <w:bidi w:val="0"/>
        <w:jc w:val="center"/>
        <w:rPr>
          <w:rFonts w:hint="eastAsia" w:asciiTheme="minorEastAsia" w:hAnsiTheme="minorEastAsia" w:eastAsiaTheme="minorEastAsia" w:cstheme="minorEastAsia"/>
          <w:color w:val="auto"/>
          <w:sz w:val="44"/>
          <w:szCs w:val="44"/>
          <w:lang w:val="en-US" w:eastAsia="zh-CN"/>
        </w:rPr>
      </w:pPr>
      <w:bookmarkStart w:id="0" w:name="OLE_LINK2"/>
      <w:r>
        <w:rPr>
          <w:rFonts w:hint="eastAsia" w:asciiTheme="minorEastAsia" w:hAnsiTheme="minorEastAsia" w:eastAsiaTheme="minorEastAsia" w:cstheme="minorEastAsia"/>
          <w:color w:val="auto"/>
          <w:sz w:val="44"/>
          <w:szCs w:val="44"/>
          <w:lang w:val="en-US" w:eastAsia="zh-CN"/>
        </w:rPr>
        <w:t>德宏州财政局关于印发德宏州州属</w:t>
      </w:r>
    </w:p>
    <w:p w14:paraId="51F89CA3">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企业国有资本收益收取管理办法的通知</w:t>
      </w:r>
    </w:p>
    <w:p w14:paraId="7DF017D5">
      <w:pPr>
        <w:bidi w:val="0"/>
        <w:jc w:val="center"/>
        <w:rPr>
          <w:rFonts w:hint="eastAsia" w:asciiTheme="minorEastAsia" w:hAnsiTheme="minorEastAsia" w:eastAsiaTheme="minorEastAsia" w:cstheme="minorEastAsia"/>
          <w:color w:val="auto"/>
          <w:sz w:val="44"/>
          <w:szCs w:val="44"/>
          <w:lang w:val="en-US" w:eastAsia="zh-CN"/>
        </w:rPr>
      </w:pPr>
    </w:p>
    <w:p w14:paraId="5FB1FDAD">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德财规〔</w:t>
      </w:r>
      <w:bookmarkStart w:id="1" w:name="OLE_LINK1"/>
      <w:r>
        <w:rPr>
          <w:rFonts w:hint="eastAsia" w:ascii="楷体_GB2312" w:hAnsi="楷体_GB2312" w:eastAsia="楷体_GB2312" w:cs="楷体_GB2312"/>
          <w:i w:val="0"/>
          <w:caps w:val="0"/>
          <w:color w:val="333333"/>
          <w:spacing w:val="0"/>
          <w:sz w:val="32"/>
          <w:szCs w:val="32"/>
          <w:shd w:val="clear" w:fill="FFFFFF"/>
          <w:lang w:val="en-US" w:eastAsia="zh-CN"/>
        </w:rPr>
        <w:t>2</w:t>
      </w:r>
      <w:bookmarkEnd w:id="1"/>
      <w:r>
        <w:rPr>
          <w:rFonts w:hint="eastAsia" w:ascii="楷体_GB2312" w:hAnsi="楷体_GB2312" w:eastAsia="楷体_GB2312" w:cs="楷体_GB2312"/>
          <w:i w:val="0"/>
          <w:caps w:val="0"/>
          <w:color w:val="333333"/>
          <w:spacing w:val="0"/>
          <w:sz w:val="32"/>
          <w:szCs w:val="32"/>
          <w:shd w:val="clear" w:fill="FFFFFF"/>
          <w:lang w:val="en-US" w:eastAsia="zh-CN"/>
        </w:rPr>
        <w:t>025〕2号</w:t>
      </w:r>
      <w:bookmarkStart w:id="2" w:name="Content"/>
      <w:bookmarkEnd w:id="2"/>
    </w:p>
    <w:p w14:paraId="12907200">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ascii="仿宋" w:hAnsi="仿宋" w:eastAsia="仿宋" w:cs="仿宋"/>
          <w:kern w:val="0"/>
          <w:sz w:val="27"/>
          <w:szCs w:val="27"/>
          <w:lang w:val="en-US" w:eastAsia="zh-CN" w:bidi="ar"/>
        </w:rPr>
      </w:pPr>
    </w:p>
    <w:p w14:paraId="717DF1F0">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p>
    <w:p w14:paraId="464B7EA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州级有关部门，州属有关企业：</w:t>
      </w:r>
    </w:p>
    <w:p w14:paraId="32308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进一步规范和完善州级国有资本经营预算管理，优化国有资本配置，根据《云南省财政厅关于印发〈云南省省属企业国有资本收益收取管理办法〉的通知》（云财规〔2024〕7号），经报请州人民政府批准同意，现将《德宏州州属企业国有资本收益收取管理办法》印发给你们，请遵照执行。</w:t>
      </w:r>
    </w:p>
    <w:p w14:paraId="5326E5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90BB0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40865D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德宏州财政局</w:t>
      </w:r>
    </w:p>
    <w:p w14:paraId="42A580DE">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2025年4月27日</w:t>
      </w:r>
    </w:p>
    <w:p w14:paraId="00A87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892B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（此件公开发布）</w:t>
      </w:r>
    </w:p>
    <w:p w14:paraId="7477AF27">
      <w:pPr>
        <w:pStyle w:val="2"/>
        <w:rPr>
          <w:rFonts w:hint="eastAsia"/>
          <w:lang w:val="en-US" w:eastAsia="zh-CN"/>
        </w:rPr>
      </w:pPr>
      <w:bookmarkStart w:id="3" w:name="_GoBack"/>
      <w:bookmarkEnd w:id="3"/>
    </w:p>
    <w:p w14:paraId="0290405B">
      <w:pPr>
        <w:bidi w:val="0"/>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德宏州州属企业国有资本收益收取管理办法</w:t>
      </w:r>
    </w:p>
    <w:p w14:paraId="1666898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70" w:lineRule="atLeast"/>
        <w:ind w:left="630" w:leftChars="0" w:right="0" w:rightChars="0" w:firstLine="640" w:firstLineChars="200"/>
        <w:jc w:val="center"/>
        <w:textAlignment w:val="auto"/>
        <w:rPr>
          <w:rFonts w:hint="eastAsia" w:ascii="黑体" w:hAnsi="宋体" w:eastAsia="黑体" w:cs="黑体"/>
          <w:kern w:val="0"/>
          <w:sz w:val="32"/>
          <w:szCs w:val="32"/>
          <w:lang w:val="en-US" w:eastAsia="zh-CN" w:bidi="ar"/>
        </w:rPr>
      </w:pPr>
    </w:p>
    <w:p w14:paraId="446E14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1F569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14:paraId="3048C019">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为建立健全国有资本经营预算制度，规范国家与企业的分配关系，强化国有资本收益管理，根据《中华人民共和国预算法》《中华人民共和国公司法》《中华人民共和国企业国有资产法》以及《国务院关于进一步完善国有资本经营预算制度的意见》（国发〔2024〕2号）《云南省财政厅关于印发〈云南省省属企业国有资本收益收取管理办法〉的通知》（云财规〔2024〕7号）等有关规定，制定本办法。</w:t>
      </w:r>
    </w:p>
    <w:p w14:paraId="131C5BF4">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纳入州级国有资本经营预算实施范围的州级党政机关、事业单位（以下统称监管部门）出资设立的州属国有独资企业、国有控股企业、国有参股企业（即一级企业）及经认定施行国有资本经营预算管理的企业、单位（以下统称为州属企业）国有资本收益的申报、审核、上缴，适用本办法。</w:t>
      </w:r>
    </w:p>
    <w:p w14:paraId="057B2F4C">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州级党政机关、事业单位共同投资合计持股为100%的州属企业的国有资本收益收取管理适用下述国有独资企业相关管理规定。</w:t>
      </w:r>
    </w:p>
    <w:p w14:paraId="51F33BC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本办法所称国有资本收益，是指州人民政府以所有者身份依法从出资企业取得的国有资本投资收益，具体包括：</w:t>
      </w:r>
    </w:p>
    <w:p w14:paraId="7E2458DB">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（一）利润收入，即国有独资企业按规定应当上缴国家的利润。</w:t>
      </w:r>
    </w:p>
    <w:p w14:paraId="6B73687E">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（二）股利、股息收入，即国有控股、参股企业国有股权（股份）获得的股利、股息收入。</w:t>
      </w:r>
    </w:p>
    <w:p w14:paraId="7ABB319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（三）产权转让收入，即出售或转让国有产权、股权（股份）获得的收入。</w:t>
      </w:r>
    </w:p>
    <w:p w14:paraId="53FCD04C">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（四）清算收入，即国有独资企业清算收入（扣除清算费用），国有控股、参股企业国有股权（股份）分享的企业清算收入（扣除清算费用）。</w:t>
      </w:r>
    </w:p>
    <w:p w14:paraId="7E18291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（五）其他国有资本经营预算收入，即除上述收入外，经州人民政府批准同意认定应收缴并统筹使用的州属企业（含二级及以下企业）特定资产处置等专项收入。</w:t>
      </w:r>
    </w:p>
    <w:p w14:paraId="4249A722">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州级财政部门负责州级国有资本收益收缴和管理，监管部门负责组织、督促监管（所属）企业及时足额上缴国有资本收益，州属企业负责按照规定申报、上缴国有资本收益。</w:t>
      </w:r>
    </w:p>
    <w:p w14:paraId="48F112A4">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五条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州属企业国有资本收益应当按照国库集中收缴有关规定直接上缴州级金库，纳入州级国有资本经营预算收入管理。</w:t>
      </w:r>
    </w:p>
    <w:p w14:paraId="58F52523">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5316722">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收益计缴</w:t>
      </w:r>
    </w:p>
    <w:p w14:paraId="20534DCF">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27A4271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州属国有独资企业利润收入上缴比例为不低于30%。承担州属储备粮任务的政策性企业、戒毒类企业、小型微型企业、年应交利润收入不足（含）1万元企业及州委州政府有明确规定的，免缴国有资本收益。</w:t>
      </w:r>
    </w:p>
    <w:p w14:paraId="4673120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州级财政部门可根据我州实际情况，会同监管部门对国有独资企业利润收入上缴比例提出调整建议，报请州人民政府批准后执行。</w:t>
      </w:r>
    </w:p>
    <w:p w14:paraId="73CFB0B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州属国有独资企业应交收益以企业上年度净利润为基础，按规定比例计算后缴纳。</w:t>
      </w:r>
    </w:p>
    <w:p w14:paraId="124BBE52">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国有独资企业拥有全资公司或者控股子公司、子企业的，以集团公司（母公司、总公司）上一年度经依法审计的年度合并财务会计报告反映的归属于母公司所有者的净利润为基础计算上缴。尚未规范母子产权关系、不执行合并财务报表的按单户企业分别计算核定。</w:t>
      </w:r>
    </w:p>
    <w:p w14:paraId="649ECFB2">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国有独资企业计算应交收益时，可从归属于母公司净利润中依法扣除以前年度未弥补亏损、当年提取的法定公积金（法定公积金已达到注册资本50%及以上的不再抵扣）及其他经州级财政部门认定可抵扣事项。</w:t>
      </w:r>
    </w:p>
    <w:p w14:paraId="19BD9CC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其中：可抵扣的以前年度未弥补亏损，是指经审计年度合并财务报表中为负的期初未分配利润；可抵扣的法定公积金，是指经审计年度合并财务报表中当年实际提取的法定公积金数。</w:t>
      </w:r>
    </w:p>
    <w:p w14:paraId="0289D96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国有独资企业调整以前年度损益的，应相应补缴或抵减应交收益。以前年度损益调整后，当年应交收益不足抵减的，以后年度不再继续抵减。因清产核资、合并范围变化原因导致以前年度损益调整的，不予抵减或补缴应交利润。</w:t>
      </w:r>
    </w:p>
    <w:p w14:paraId="42A2E88E">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监管部门持有股权的国有控股、参股企业，按照股东会或者股东大会决议通过的利润分配方案及监管部门所持股权计算的股利、股息，全额上缴。国有控股、参股企业应当按照市场化、法治化原则建立健全分红机制。监管部门应当统筹考虑国有经济布局优化和结构调整总体要求，企业所处行业特点、发展阶段、财务状况、发展规划以及其他股东意见等，研究提出国有控股、参股企业利润分配意见，原则上不低于同类国有独资企业收益上缴水平。国有控股企业当年符合分配条件不予分配的，监管部门在股东会或股东大会决议表决前应向州人民政府报告不分配理由和依据。监管部门应督促国有控股企业依法及时制定利润分配方案，利润分配方案通过后，企业应及时按规定上缴国有股股息红利。</w:t>
      </w:r>
    </w:p>
    <w:p w14:paraId="5453CCC9">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监管部门转让所持州属企业国有产权、股权（股份）形成的收入，扣除交易过程中发生的各项费用后全额上缴。</w:t>
      </w:r>
    </w:p>
    <w:p w14:paraId="67C08D7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国有独资企业清算净收入和国有控股、参股企业取得的清算净收入中属于监管部门应分享的部分全额上缴。</w:t>
      </w:r>
    </w:p>
    <w:p w14:paraId="6619418B">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因国家政策进行重大调整或遭受重大自然灾害等不可抗力因素造成巨大损失，确实需要减免应交利润的，由监管部门商州级财政部门共同报州人民政府批准。减免的国有资本收益应直接转增国家资本或国有资本公积。</w:t>
      </w:r>
    </w:p>
    <w:p w14:paraId="2279B51A">
      <w:pPr>
        <w:keepNext w:val="0"/>
        <w:keepLines w:val="0"/>
        <w:pageBreakBefore w:val="0"/>
        <w:kinsoku/>
        <w:wordWrap/>
        <w:overflowPunct/>
        <w:topLinePunct w:val="0"/>
        <w:autoSpaceDE/>
        <w:autoSpaceDN/>
        <w:bidi w:val="0"/>
        <w:adjustRightInd/>
        <w:snapToGrid/>
        <w:spacing w:line="570" w:lineRule="atLeas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17D157A0">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收益申报</w:t>
      </w:r>
    </w:p>
    <w:p w14:paraId="68FDD7C8">
      <w:pPr>
        <w:keepNext w:val="0"/>
        <w:keepLines w:val="0"/>
        <w:pageBreakBefore w:val="0"/>
        <w:kinsoku/>
        <w:wordWrap/>
        <w:overflowPunct/>
        <w:topLinePunct w:val="0"/>
        <w:autoSpaceDE/>
        <w:autoSpaceDN/>
        <w:bidi w:val="0"/>
        <w:adjustRightInd/>
        <w:snapToGrid/>
        <w:spacing w:line="570" w:lineRule="atLeas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522472A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州级财政部门根据州级国有资本经营预算收支政策，印发年度州级国有资本收益申报通知。</w:t>
      </w:r>
    </w:p>
    <w:p w14:paraId="5B1CBA4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州属企业根据收益申报要求，及时申报州级国有资本收益，并如实填写州属企业国有资本收益申报表（详见附表1-4），经监管部门审核后报送州财政局。具体要求如下： </w:t>
      </w:r>
    </w:p>
    <w:p w14:paraId="0B601AB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（一）利润收入。每年6月30日前由国有独资企业申报，并附送经依法审计的年度合并财务会计报告；</w:t>
      </w:r>
    </w:p>
    <w:p w14:paraId="64DC29E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股利、股息收入。每年6月30日前，由国有控股、参股企业召开股东会或者股东大会（没有设立股东会或者股东大会的为董事会，下同）确定利润分配方案后据实申报，并附送经依法审计的年度合并财务会计报告和股东会或股东大会决议通过的利润分配方案；</w:t>
      </w:r>
    </w:p>
    <w:p w14:paraId="2311DB15">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产权转让收入。在签订产权转让合同后30个工作日内，由州属企业或者监管部门据实申报，并附送产权转让合同和经核准或备案的资产评估报告；</w:t>
      </w:r>
    </w:p>
    <w:p w14:paraId="42C6C172">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清算收入。在清算组或者管理人编制剩余财产分配方案后30个工作日内，由清算组或者管理人根据企业清算报告计算的清算净收入据实申报，并附送经依法审计的企业清算报告，涉及资产评估项目应附送经核准或备案的资产评估报告；</w:t>
      </w:r>
    </w:p>
    <w:p w14:paraId="4BDAC8BC">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（五）其他国有资本经营预算收入。在收入确定后30个工作日内，由有关单位申报，并附送有关经济事项发生和金额确认的资料。</w:t>
      </w:r>
    </w:p>
    <w:p w14:paraId="10A4C0E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7E01F79C">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收益收缴</w:t>
      </w:r>
    </w:p>
    <w:p w14:paraId="7F19EF43">
      <w:pPr>
        <w:keepNext w:val="0"/>
        <w:keepLines w:val="0"/>
        <w:pageBreakBefore w:val="0"/>
        <w:kinsoku/>
        <w:wordWrap/>
        <w:overflowPunct/>
        <w:topLinePunct w:val="0"/>
        <w:autoSpaceDE/>
        <w:autoSpaceDN/>
        <w:bidi w:val="0"/>
        <w:adjustRightInd/>
        <w:snapToGrid/>
        <w:spacing w:line="570" w:lineRule="atLeast"/>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1D0D65F5">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州属企业国有资本收益上缴，按照以下程序执行：</w:t>
      </w:r>
    </w:p>
    <w:p w14:paraId="7EE0B0BE">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（一）监管部门在收到监管（所属）企业上报的国有资本收益申报表及相关材料后5个工作日内完成初审，送州级财政部门复核；</w:t>
      </w:r>
    </w:p>
    <w:p w14:paraId="59B4303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（二）州级财政部门应在10个工作日内完成复核，并在10个工作日内联合州国有资产监督管理委员会向州属企业下达国有资本收益收缴通知；</w:t>
      </w:r>
    </w:p>
    <w:p w14:paraId="1FB7A1F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（三）州属企业依据下达的国有资本收益收缴通知，办理国有资本收益缴库手续。</w:t>
      </w:r>
    </w:p>
    <w:p w14:paraId="216B768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州属企业办理缴款时限和要求具体如下：</w:t>
      </w:r>
    </w:p>
    <w:p w14:paraId="08CB9714">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（一）国有独资企业当年应交利润应当在收到国有资本收益上缴通知之日起一个月内缴清，其中应交利润在1千万元（含）以上，一次性上缴确有困难的，可通过监管部门向州级财政部门申请分批缴清。</w:t>
      </w:r>
    </w:p>
    <w:p w14:paraId="4D1EDBA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（二）股利、股息收入，产权转让收入，清算收入和其他国有资本经营预算收入，应当在收到国有资本收益上缴通知之日起一个月内缴清。</w:t>
      </w:r>
    </w:p>
    <w:p w14:paraId="38372D4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（三）对州属企业应交利润和股利、股息收入由于现金流严重不足等特殊原因，确实无法按期缴纳的，经监管部门商州级财政部门同意可适当延期，但不得跨年度缴纳。</w:t>
      </w:r>
    </w:p>
    <w:p w14:paraId="2CF4341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为加快预算执行进度，州级财政部门在企业财务会计决算完成前可以预收部分国有资本收益，并于当年企业财务会计决算完成后根据财政核定数额进行汇算清缴。</w:t>
      </w:r>
    </w:p>
    <w:p w14:paraId="1FFFA0F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州属企业国有资本收益上缴，使用政府收支分类科目中的“10306 国有资本经营收入”下相关目级科目。</w:t>
      </w:r>
    </w:p>
    <w:p w14:paraId="684D0DFC">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根据国家和其他相关规定调整至税务部门征收的国有资本收益项目，从其规定。</w:t>
      </w:r>
    </w:p>
    <w:p w14:paraId="65C844F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55A38D5E">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监督管理</w:t>
      </w:r>
    </w:p>
    <w:p w14:paraId="5D0B69A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33D53C9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州级国有资本收益收缴依法接受州人民代表大会及其常务委员会的审查监督和州审计局的审计监督。</w:t>
      </w:r>
    </w:p>
    <w:p w14:paraId="0AB7E4F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州级财政、审计等部门按规定对州属企业上缴国有资本收益的申报、审核、上缴等进行监督、审计。</w:t>
      </w:r>
    </w:p>
    <w:p w14:paraId="4E23454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监管部门应按照《中华人民共和国企业国有资产法》等法律法规，建立健全监管（所属）企业利润分配机制，积极组织企业按规定上缴国有资本收益，对不按规定上缴国有资本收益的企业应查明原因，采取措施予以催缴，切实落实出资人收益权。</w:t>
      </w:r>
    </w:p>
    <w:p w14:paraId="113535D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未经州人民政府同意，任何部门和单位不得擅自减免应交国有资本收益。</w:t>
      </w:r>
    </w:p>
    <w:p w14:paraId="6A09D41B">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州属企业应严格遵守财经纪律及财务会计制度，如实反映企业财务状况和经营成果，切实履行国有资本收益申报和上缴义务，及时足额缴纳国有资本收益。</w:t>
      </w:r>
    </w:p>
    <w:p w14:paraId="717DF519">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州属企业国有资本收益上缴情况与企业负责人薪酬挂钩。拒不申报国有资本收益、未在规定时间内足额上缴国有资本收益、预算数与实际上缴数差异较大，监管部门在薪酬考核时应相应扣减企业负责人薪酬。</w:t>
      </w:r>
    </w:p>
    <w:p w14:paraId="2C6F4B4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州属企业应当主动接受监督机关组织的监督检查，如实反映有关情况，提供真实完整的会计账簿、报表、审计报告、文件等有关资料，不得隐瞒、拒绝、阻挠和拖延。</w:t>
      </w:r>
    </w:p>
    <w:p w14:paraId="2DBFF360">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对隐瞒、挪用、拖欠、不缴或少缴以及违规审核国有资本收益的行为，依照《中华人民共和国预算法》《财政违法行为处罚处分条例》的相关规定进行处理处罚。</w:t>
      </w:r>
    </w:p>
    <w:p w14:paraId="265185F0">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46A1C3A2">
      <w:pPr>
        <w:keepNext w:val="0"/>
        <w:keepLines w:val="0"/>
        <w:pageBreakBefore w:val="0"/>
        <w:kinsoku/>
        <w:wordWrap/>
        <w:overflowPunct/>
        <w:topLinePunct w:val="0"/>
        <w:autoSpaceDE/>
        <w:autoSpaceDN/>
        <w:bidi w:val="0"/>
        <w:adjustRightInd/>
        <w:snapToGrid/>
        <w:spacing w:line="570" w:lineRule="atLeast"/>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08C989F8">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3339811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履行出资人职责部门委托有关部门对所出资企业实施监管及州直部门所属事业单位办企业的，由受托监管部门和事业单位所属州直部门负责相关州属企业国有资本收益的审核和监缴工作。</w:t>
      </w:r>
    </w:p>
    <w:p w14:paraId="17DDFA01">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州属金融、文化企业国有资本经营收益收取管理另有规定的，按有关规定执行。</w:t>
      </w:r>
    </w:p>
    <w:p w14:paraId="7B4289C9">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各县（市）国有资本收益收取管理办法由各地参照本办法制定。</w:t>
      </w:r>
    </w:p>
    <w:p w14:paraId="1648E31B">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本办法由州财政局负责解释。</w:t>
      </w:r>
    </w:p>
    <w:p w14:paraId="4F58C10A">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本办法自2025年6月1日起施行。《德宏州财政局 德宏州人民政府国有资产监督管理委员会关于印发&lt;德宏州州级企业国有资本收益收缴管理办法&gt;的通知》（德财资〔2018〕53号）《德宏州州属企业国有资本收益收取管理办法》（德财规〔2024〕2号）同时废止。</w:t>
      </w:r>
    </w:p>
    <w:p w14:paraId="0169E6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14:paraId="6F0ED00F">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附件：</w:t>
      </w:r>
    </w:p>
    <w:p w14:paraId="630A279E">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1.州属企业国有资本收益（应交利润）申报表</w:t>
      </w:r>
    </w:p>
    <w:p w14:paraId="685E32F7">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2.州属企业国有资本收益（国有股股息、股利）申报表</w:t>
      </w:r>
    </w:p>
    <w:p w14:paraId="7B326BA6">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3.州属企业国有资本收益（国有产权转让收入）申报表</w:t>
      </w:r>
    </w:p>
    <w:p w14:paraId="66CF8D04">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4.州属企业国有资本收益（企业清算收入）申报表</w:t>
      </w:r>
    </w:p>
    <w:p w14:paraId="51C517CD">
      <w:pPr>
        <w:keepNext w:val="0"/>
        <w:keepLines w:val="0"/>
        <w:pageBreakBefore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bookmarkEnd w:id="0"/>
    <w:p w14:paraId="77C34520"/>
    <w:p w14:paraId="5F6B2703">
      <w:pPr>
        <w:pStyle w:val="2"/>
      </w:pPr>
    </w:p>
    <w:p w14:paraId="382C6375">
      <w:pPr>
        <w:pStyle w:val="2"/>
      </w:pPr>
    </w:p>
    <w:p w14:paraId="73DA4C92">
      <w:pPr>
        <w:pStyle w:val="2"/>
      </w:pPr>
    </w:p>
    <w:p w14:paraId="762CC794">
      <w:pPr>
        <w:pStyle w:val="2"/>
      </w:pPr>
    </w:p>
    <w:p w14:paraId="489EC882">
      <w:pPr>
        <w:pStyle w:val="2"/>
      </w:pPr>
    </w:p>
    <w:p w14:paraId="39539F97">
      <w:pPr>
        <w:pStyle w:val="2"/>
      </w:pPr>
    </w:p>
    <w:p w14:paraId="04FDE6AB">
      <w:pPr>
        <w:pStyle w:val="2"/>
      </w:pPr>
    </w:p>
    <w:tbl>
      <w:tblPr>
        <w:tblStyle w:val="6"/>
        <w:tblW w:w="9705"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2"/>
        <w:gridCol w:w="4558"/>
        <w:gridCol w:w="2310"/>
        <w:gridCol w:w="2265"/>
      </w:tblGrid>
      <w:tr w14:paraId="136C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nil"/>
              <w:left w:val="nil"/>
              <w:bottom w:val="nil"/>
              <w:right w:val="nil"/>
            </w:tcBorders>
            <w:noWrap/>
            <w:tcMar>
              <w:top w:w="15" w:type="dxa"/>
              <w:left w:w="15" w:type="dxa"/>
              <w:right w:w="15" w:type="dxa"/>
            </w:tcMar>
            <w:vAlign w:val="bottom"/>
          </w:tcPr>
          <w:p w14:paraId="6DE61A24">
            <w:pPr>
              <w:widowControl w:val="0"/>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附件</w:t>
            </w:r>
            <w:r>
              <w:rPr>
                <w:rFonts w:hint="eastAsia" w:ascii="Times New Roman" w:hAnsi="Times New Roman" w:eastAsia="黑体" w:cs="Times New Roman"/>
                <w:color w:val="auto"/>
                <w:kern w:val="2"/>
                <w:sz w:val="24"/>
                <w:szCs w:val="24"/>
                <w:highlight w:val="none"/>
                <w:lang w:val="en-US" w:eastAsia="zh-CN" w:bidi="ar-SA"/>
              </w:rPr>
              <w:t>1</w:t>
            </w:r>
          </w:p>
        </w:tc>
      </w:tr>
      <w:tr w14:paraId="7565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nil"/>
              <w:left w:val="nil"/>
              <w:bottom w:val="nil"/>
              <w:right w:val="nil"/>
            </w:tcBorders>
            <w:noWrap/>
            <w:tcMar>
              <w:top w:w="15" w:type="dxa"/>
              <w:left w:w="15" w:type="dxa"/>
              <w:right w:w="15" w:type="dxa"/>
            </w:tcMar>
            <w:vAlign w:val="center"/>
          </w:tcPr>
          <w:p w14:paraId="0B47E9BA">
            <w:pPr>
              <w:widowControl w:val="0"/>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eastAsia="方正小标宋简体" w:cs="Times New Roman"/>
                <w:color w:val="auto"/>
                <w:kern w:val="2"/>
                <w:sz w:val="30"/>
                <w:szCs w:val="30"/>
                <w:highlight w:val="none"/>
                <w:lang w:val="en-US" w:eastAsia="zh-CN" w:bidi="ar-SA"/>
              </w:rPr>
              <w:t>州</w:t>
            </w:r>
            <w:r>
              <w:rPr>
                <w:rFonts w:hint="default" w:ascii="Times New Roman" w:hAnsi="Times New Roman" w:eastAsia="方正小标宋简体" w:cs="Times New Roman"/>
                <w:color w:val="auto"/>
                <w:kern w:val="2"/>
                <w:sz w:val="30"/>
                <w:szCs w:val="30"/>
                <w:highlight w:val="none"/>
                <w:lang w:val="en-US" w:eastAsia="zh-CN" w:bidi="ar-SA"/>
              </w:rPr>
              <w:t>属企业国有资本收益（应交利润）申报表</w:t>
            </w:r>
          </w:p>
        </w:tc>
      </w:tr>
      <w:tr w14:paraId="5590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nil"/>
              <w:left w:val="nil"/>
              <w:bottom w:val="nil"/>
              <w:right w:val="nil"/>
            </w:tcBorders>
            <w:noWrap/>
            <w:tcMar>
              <w:top w:w="15" w:type="dxa"/>
              <w:left w:w="15" w:type="dxa"/>
              <w:right w:w="15" w:type="dxa"/>
            </w:tcMar>
            <w:vAlign w:val="bottom"/>
          </w:tcPr>
          <w:p w14:paraId="22B5BC35">
            <w:pPr>
              <w:widowControl w:val="0"/>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XX年度</w:t>
            </w:r>
          </w:p>
        </w:tc>
      </w:tr>
      <w:tr w14:paraId="28FC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07730">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申报单位基本情况</w:t>
            </w:r>
          </w:p>
        </w:tc>
      </w:tr>
      <w:tr w14:paraId="3FB4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1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F3FBA">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企业名称</w:t>
            </w:r>
          </w:p>
        </w:tc>
        <w:tc>
          <w:tcPr>
            <w:tcW w:w="4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DB4A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3BB4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1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AC2E3">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注册地址</w:t>
            </w:r>
          </w:p>
        </w:tc>
        <w:tc>
          <w:tcPr>
            <w:tcW w:w="4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DC90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16A2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51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7D930">
            <w:pPr>
              <w:widowControl w:val="0"/>
              <w:spacing w:line="240" w:lineRule="auto"/>
              <w:ind w:left="0" w:leftChars="0"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组织形式</w:t>
            </w:r>
            <w:r>
              <w:rPr>
                <w:rFonts w:hint="default" w:ascii="Times New Roman" w:hAnsi="Times New Roman" w:eastAsia="宋体" w:cs="Times New Roman"/>
                <w:color w:val="auto"/>
                <w:kern w:val="2"/>
                <w:sz w:val="21"/>
                <w:szCs w:val="24"/>
                <w:highlight w:val="none"/>
                <w:lang w:val="en-US" w:eastAsia="zh-CN" w:bidi="ar-SA"/>
              </w:rPr>
              <w:br w:type="textWrapping"/>
            </w:r>
            <w:r>
              <w:rPr>
                <w:rFonts w:hint="eastAsia" w:ascii="Times New Roman" w:hAnsi="Times New Roman"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国有</w:t>
            </w:r>
            <w:r>
              <w:rPr>
                <w:rFonts w:hint="eastAsia" w:eastAsia="宋体" w:cs="Times New Roman"/>
                <w:color w:val="auto"/>
                <w:kern w:val="2"/>
                <w:sz w:val="21"/>
                <w:szCs w:val="24"/>
                <w:highlight w:val="none"/>
                <w:lang w:val="en-US" w:eastAsia="zh-CN" w:bidi="ar-SA"/>
              </w:rPr>
              <w:t>独资</w:t>
            </w:r>
            <w:r>
              <w:rPr>
                <w:rFonts w:hint="default" w:ascii="Times New Roman" w:hAnsi="Times New Roman" w:eastAsia="宋体" w:cs="Times New Roman"/>
                <w:color w:val="auto"/>
                <w:kern w:val="2"/>
                <w:sz w:val="21"/>
                <w:szCs w:val="24"/>
                <w:highlight w:val="none"/>
                <w:lang w:val="en-US" w:eastAsia="zh-CN" w:bidi="ar-SA"/>
              </w:rPr>
              <w:t>或国有</w:t>
            </w:r>
            <w:r>
              <w:rPr>
                <w:rFonts w:hint="eastAsia" w:eastAsia="宋体" w:cs="Times New Roman"/>
                <w:color w:val="auto"/>
                <w:kern w:val="2"/>
                <w:sz w:val="21"/>
                <w:szCs w:val="24"/>
                <w:highlight w:val="none"/>
                <w:lang w:val="en-US" w:eastAsia="zh-CN" w:bidi="ar-SA"/>
              </w:rPr>
              <w:t>全</w:t>
            </w:r>
            <w:r>
              <w:rPr>
                <w:rFonts w:hint="default" w:ascii="Times New Roman" w:hAnsi="Times New Roman" w:eastAsia="宋体" w:cs="Times New Roman"/>
                <w:color w:val="auto"/>
                <w:kern w:val="2"/>
                <w:sz w:val="21"/>
                <w:szCs w:val="24"/>
                <w:highlight w:val="none"/>
                <w:lang w:val="en-US" w:eastAsia="zh-CN" w:bidi="ar-SA"/>
              </w:rPr>
              <w:t>资</w:t>
            </w:r>
            <w:r>
              <w:rPr>
                <w:rFonts w:hint="eastAsia" w:ascii="Times New Roman" w:hAnsi="Times New Roman" w:eastAsia="宋体" w:cs="Times New Roman"/>
                <w:color w:val="auto"/>
                <w:kern w:val="2"/>
                <w:sz w:val="21"/>
                <w:szCs w:val="24"/>
                <w:highlight w:val="none"/>
                <w:lang w:val="en-US" w:eastAsia="zh-CN" w:bidi="ar-SA"/>
              </w:rPr>
              <w:t>）</w:t>
            </w:r>
          </w:p>
        </w:tc>
        <w:tc>
          <w:tcPr>
            <w:tcW w:w="45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AFAE5">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353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2" w:hRule="atLeast"/>
        </w:trPr>
        <w:tc>
          <w:tcPr>
            <w:tcW w:w="51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4EEC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45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3BB1D">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EAF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1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41F75">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所处行业</w:t>
            </w:r>
          </w:p>
        </w:tc>
        <w:tc>
          <w:tcPr>
            <w:tcW w:w="4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A8C7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6454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1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83951">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注册资本</w:t>
            </w:r>
          </w:p>
        </w:tc>
        <w:tc>
          <w:tcPr>
            <w:tcW w:w="4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ACC2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532C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1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27D16">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联系电话</w:t>
            </w:r>
          </w:p>
        </w:tc>
        <w:tc>
          <w:tcPr>
            <w:tcW w:w="4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6382C">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1F65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9CFF9">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应交国有资本经营收益申报情况</w:t>
            </w:r>
          </w:p>
        </w:tc>
      </w:tr>
      <w:tr w14:paraId="5C2F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7FFC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3194B">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项   目</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F03D7">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申报数</w:t>
            </w: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1F486">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监管部门审核数</w:t>
            </w:r>
          </w:p>
        </w:tc>
      </w:tr>
      <w:tr w14:paraId="6E99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425F1">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0911B">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合并净利润</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FC8F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36996">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3CDA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1B5E4">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AB7A8">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减</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少数股东损益</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298C">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ED09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2D94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8CC7D">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0F479">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得：归属于母公司所有者的净利润</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3F35D">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60D5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8E1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09B2D">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3F604">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减</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弥补以前年度亏损</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1E238">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D096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EEF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8C9AF">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D9EB4">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eastAsia" w:eastAsia="宋体" w:cs="Times New Roman"/>
                <w:color w:val="auto"/>
                <w:kern w:val="2"/>
                <w:sz w:val="21"/>
                <w:szCs w:val="24"/>
                <w:highlight w:val="none"/>
                <w:lang w:val="en-US" w:eastAsia="zh-CN" w:bidi="ar-SA"/>
              </w:rPr>
              <w:t xml:space="preserve">          </w:t>
            </w:r>
            <w:r>
              <w:rPr>
                <w:rFonts w:hint="default" w:ascii="Times New Roman" w:hAnsi="Times New Roman" w:eastAsia="宋体" w:cs="Times New Roman"/>
                <w:color w:val="auto"/>
                <w:kern w:val="2"/>
                <w:sz w:val="21"/>
                <w:szCs w:val="24"/>
                <w:highlight w:val="none"/>
                <w:lang w:val="en-US" w:eastAsia="zh-CN" w:bidi="ar-SA"/>
              </w:rPr>
              <w:t>减</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提取法定公积金</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04454">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4E7B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A87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F5554">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07BC1">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加（减）：以前年度损益调整</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40F7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90550">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15C4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E9890">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7</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011ED">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得：上交利润基数</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D76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EF924">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C4B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D2AE6">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8</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AD570">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乘以：上交利润比例</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85F9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43E10">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4D7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E8E53">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9</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15C91">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得：本期应交利润</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E676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5E4F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F1C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A64CE">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10</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F44EC">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其中：应交国资收益</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528C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B958C">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757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E7566">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11</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77CA9">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加</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以前年度欠交国资收益</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9524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58ED9">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01C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494F3">
            <w:pPr>
              <w:widowControl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12</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D0A98">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减</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本期已交国资收益</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AD088">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8AD0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930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3275E">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13</w:t>
            </w:r>
          </w:p>
        </w:tc>
        <w:tc>
          <w:tcPr>
            <w:tcW w:w="4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BFDB4">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应交</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退</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国资收益余额</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73613">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A787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3A0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4798E2">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附送资料</w:t>
            </w:r>
          </w:p>
        </w:tc>
      </w:tr>
      <w:tr w14:paraId="5FAC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705" w:type="dxa"/>
            <w:gridSpan w:val="4"/>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bottom"/>
          </w:tcPr>
          <w:p w14:paraId="2217A3E4">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与企业年度合并财政报表有关的资料。</w:t>
            </w:r>
          </w:p>
        </w:tc>
      </w:tr>
      <w:tr w14:paraId="76F7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67" w:hRule="atLeast"/>
        </w:trPr>
        <w:tc>
          <w:tcPr>
            <w:tcW w:w="970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391982">
            <w:pPr>
              <w:widowControl w:val="0"/>
              <w:spacing w:after="0" w:line="240" w:lineRule="auto"/>
              <w:ind w:left="0" w:leftChars="0" w:firstLine="420" w:firstLineChars="200"/>
              <w:jc w:val="both"/>
              <w:rPr>
                <w:rFonts w:hint="default" w:ascii="Times New Roman" w:hAnsi="Times New Roman" w:eastAsia="宋体" w:cs="Times New Roman"/>
                <w:color w:val="auto"/>
                <w:kern w:val="2"/>
                <w:sz w:val="21"/>
                <w:szCs w:val="24"/>
                <w:highlight w:val="none"/>
                <w:lang w:val="en-US" w:eastAsia="zh-CN" w:bidi="ar-SA"/>
              </w:rPr>
            </w:pPr>
            <w:r>
              <w:rPr>
                <w:rFonts w:hint="eastAsia" w:eastAsia="宋体" w:cs="Times New Roman"/>
                <w:color w:val="auto"/>
                <w:kern w:val="2"/>
                <w:sz w:val="21"/>
                <w:szCs w:val="24"/>
                <w:highlight w:val="none"/>
                <w:lang w:val="en-US" w:eastAsia="zh-CN" w:bidi="ar-SA"/>
              </w:rPr>
              <w:t>申报单位</w:t>
            </w:r>
            <w:r>
              <w:rPr>
                <w:rFonts w:hint="default" w:ascii="Times New Roman" w:hAnsi="Times New Roman" w:eastAsia="宋体" w:cs="Times New Roman"/>
                <w:color w:val="auto"/>
                <w:kern w:val="2"/>
                <w:sz w:val="21"/>
                <w:szCs w:val="24"/>
                <w:highlight w:val="none"/>
                <w:lang w:val="en-US" w:eastAsia="zh-CN" w:bidi="ar-SA"/>
              </w:rPr>
              <w:t>（章）：                                            监管部门（章）：</w:t>
            </w:r>
          </w:p>
        </w:tc>
      </w:tr>
    </w:tbl>
    <w:p w14:paraId="72DC8DBA">
      <w:pPr>
        <w:pStyle w:val="2"/>
      </w:pPr>
    </w:p>
    <w:p w14:paraId="7957A539">
      <w:pPr>
        <w:pStyle w:val="2"/>
        <w:ind w:left="0" w:leftChars="0" w:firstLine="0" w:firstLineChars="0"/>
      </w:pPr>
    </w:p>
    <w:tbl>
      <w:tblPr>
        <w:tblStyle w:val="6"/>
        <w:tblW w:w="9690" w:type="dxa"/>
        <w:tblInd w:w="-7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5"/>
        <w:gridCol w:w="4985"/>
        <w:gridCol w:w="2160"/>
        <w:gridCol w:w="2100"/>
      </w:tblGrid>
      <w:tr w14:paraId="1086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nil"/>
              <w:left w:val="nil"/>
              <w:bottom w:val="nil"/>
              <w:right w:val="nil"/>
            </w:tcBorders>
            <w:noWrap/>
            <w:tcMar>
              <w:top w:w="15" w:type="dxa"/>
              <w:left w:w="15" w:type="dxa"/>
              <w:right w:w="15" w:type="dxa"/>
            </w:tcMar>
            <w:vAlign w:val="center"/>
          </w:tcPr>
          <w:p w14:paraId="0A29DE97">
            <w:pPr>
              <w:spacing w:after="0" w:line="240" w:lineRule="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rPr>
              <w:br w:type="page"/>
            </w:r>
            <w:r>
              <w:rPr>
                <w:rFonts w:hint="default" w:ascii="Times New Roman" w:hAnsi="Times New Roman" w:eastAsia="黑体" w:cs="Times New Roman"/>
                <w:color w:val="auto"/>
                <w:sz w:val="24"/>
                <w:szCs w:val="24"/>
                <w:highlight w:val="none"/>
                <w:lang w:val="en-US" w:eastAsia="zh-CN"/>
              </w:rPr>
              <w:t>附件</w:t>
            </w:r>
            <w:r>
              <w:rPr>
                <w:rFonts w:hint="eastAsia" w:ascii="Times New Roman" w:hAnsi="Times New Roman" w:eastAsia="黑体" w:cs="Times New Roman"/>
                <w:color w:val="auto"/>
                <w:sz w:val="24"/>
                <w:szCs w:val="24"/>
                <w:highlight w:val="none"/>
                <w:lang w:val="en-US" w:eastAsia="zh-CN"/>
              </w:rPr>
              <w:t>2</w:t>
            </w:r>
          </w:p>
        </w:tc>
      </w:tr>
      <w:tr w14:paraId="5AF0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nil"/>
              <w:left w:val="nil"/>
              <w:bottom w:val="nil"/>
              <w:right w:val="nil"/>
            </w:tcBorders>
            <w:noWrap/>
            <w:tcMar>
              <w:top w:w="15" w:type="dxa"/>
              <w:left w:w="15" w:type="dxa"/>
              <w:right w:w="15" w:type="dxa"/>
            </w:tcMar>
            <w:vAlign w:val="center"/>
          </w:tcPr>
          <w:p w14:paraId="358F81FB">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eastAsia" w:eastAsia="方正小标宋简体" w:cs="Times New Roman"/>
                <w:color w:val="auto"/>
                <w:sz w:val="30"/>
                <w:szCs w:val="30"/>
                <w:highlight w:val="none"/>
                <w:lang w:val="en-US" w:eastAsia="zh-CN"/>
              </w:rPr>
              <w:t>州</w:t>
            </w:r>
            <w:r>
              <w:rPr>
                <w:rFonts w:hint="default" w:ascii="Times New Roman" w:hAnsi="Times New Roman" w:eastAsia="方正小标宋简体" w:cs="Times New Roman"/>
                <w:color w:val="auto"/>
                <w:sz w:val="30"/>
                <w:szCs w:val="30"/>
                <w:highlight w:val="none"/>
                <w:lang w:val="en-US" w:eastAsia="zh-CN"/>
              </w:rPr>
              <w:t>属企业国有资本收益</w:t>
            </w:r>
            <w:r>
              <w:rPr>
                <w:rFonts w:hint="eastAsia" w:ascii="Times New Roman" w:hAnsi="Times New Roman" w:eastAsia="方正小标宋简体" w:cs="Times New Roman"/>
                <w:color w:val="auto"/>
                <w:sz w:val="30"/>
                <w:szCs w:val="30"/>
                <w:highlight w:val="none"/>
                <w:lang w:val="en-US" w:eastAsia="zh-CN"/>
              </w:rPr>
              <w:t>（</w:t>
            </w:r>
            <w:r>
              <w:rPr>
                <w:rFonts w:hint="default" w:ascii="Times New Roman" w:hAnsi="Times New Roman" w:eastAsia="方正小标宋简体" w:cs="Times New Roman"/>
                <w:color w:val="auto"/>
                <w:sz w:val="30"/>
                <w:szCs w:val="30"/>
                <w:highlight w:val="none"/>
                <w:lang w:val="en-US" w:eastAsia="zh-CN"/>
              </w:rPr>
              <w:t>国有股股息、股利</w:t>
            </w:r>
            <w:r>
              <w:rPr>
                <w:rFonts w:hint="eastAsia" w:ascii="Times New Roman" w:hAnsi="Times New Roman" w:eastAsia="方正小标宋简体" w:cs="Times New Roman"/>
                <w:color w:val="auto"/>
                <w:sz w:val="30"/>
                <w:szCs w:val="30"/>
                <w:highlight w:val="none"/>
                <w:lang w:val="en-US" w:eastAsia="zh-CN"/>
              </w:rPr>
              <w:t>）</w:t>
            </w:r>
            <w:r>
              <w:rPr>
                <w:rFonts w:hint="default" w:ascii="Times New Roman" w:hAnsi="Times New Roman" w:eastAsia="方正小标宋简体" w:cs="Times New Roman"/>
                <w:color w:val="auto"/>
                <w:sz w:val="30"/>
                <w:szCs w:val="30"/>
                <w:highlight w:val="none"/>
                <w:lang w:val="en-US" w:eastAsia="zh-CN"/>
              </w:rPr>
              <w:t>申报表</w:t>
            </w:r>
          </w:p>
        </w:tc>
      </w:tr>
      <w:tr w14:paraId="4929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nil"/>
              <w:left w:val="nil"/>
              <w:bottom w:val="nil"/>
              <w:right w:val="nil"/>
            </w:tcBorders>
            <w:noWrap/>
            <w:tcMar>
              <w:top w:w="15" w:type="dxa"/>
              <w:left w:w="15" w:type="dxa"/>
              <w:right w:w="15" w:type="dxa"/>
            </w:tcMar>
            <w:vAlign w:val="center"/>
          </w:tcPr>
          <w:p w14:paraId="4CB017B0">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XX年度</w:t>
            </w:r>
          </w:p>
        </w:tc>
      </w:tr>
      <w:tr w14:paraId="00F6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2DE93">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申报单位基本情况</w:t>
            </w:r>
          </w:p>
        </w:tc>
      </w:tr>
      <w:tr w14:paraId="6396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0CB9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企业名称</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CDC6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1262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7043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注册地址</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FDE36">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11BD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A001FB3">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组织形式</w:t>
            </w:r>
            <w:r>
              <w:rPr>
                <w:rFonts w:hint="eastAsia" w:ascii="Times New Roman" w:hAnsi="Times New Roman"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国有</w:t>
            </w:r>
            <w:r>
              <w:rPr>
                <w:rFonts w:hint="eastAsia" w:eastAsia="宋体" w:cs="Times New Roman"/>
                <w:color w:val="auto"/>
                <w:sz w:val="21"/>
                <w:szCs w:val="24"/>
                <w:highlight w:val="none"/>
                <w:lang w:val="en-US" w:eastAsia="zh-CN"/>
              </w:rPr>
              <w:t>控股</w:t>
            </w:r>
            <w:r>
              <w:rPr>
                <w:rFonts w:hint="default" w:ascii="Times New Roman" w:hAnsi="Times New Roman" w:eastAsia="宋体" w:cs="Times New Roman"/>
                <w:color w:val="auto"/>
                <w:sz w:val="21"/>
                <w:szCs w:val="24"/>
                <w:highlight w:val="none"/>
                <w:lang w:val="en-US" w:eastAsia="zh-CN"/>
              </w:rPr>
              <w:t>或国有</w:t>
            </w:r>
            <w:r>
              <w:rPr>
                <w:rFonts w:hint="eastAsia" w:eastAsia="宋体" w:cs="Times New Roman"/>
                <w:color w:val="auto"/>
                <w:sz w:val="21"/>
                <w:szCs w:val="24"/>
                <w:highlight w:val="none"/>
                <w:lang w:val="en-US" w:eastAsia="zh-CN"/>
              </w:rPr>
              <w:t>参股</w:t>
            </w:r>
            <w:r>
              <w:rPr>
                <w:rFonts w:hint="eastAsia" w:ascii="Times New Roman" w:hAnsi="Times New Roman" w:eastAsia="宋体" w:cs="Times New Roman"/>
                <w:color w:val="auto"/>
                <w:sz w:val="21"/>
                <w:szCs w:val="24"/>
                <w:highlight w:val="none"/>
                <w:lang w:val="en-US" w:eastAsia="zh-CN"/>
              </w:rPr>
              <w:t>）</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B82C2">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3BBB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A5AE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所处行业</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258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2D72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F6C7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注册资本</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FAF7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707C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D89D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其中：国有股权（股份）</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2C4A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4B91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5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B1E7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联系电话</w:t>
            </w:r>
          </w:p>
        </w:tc>
        <w:tc>
          <w:tcPr>
            <w:tcW w:w="42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0EC3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0EE5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D794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应交国有资本经营收益申报情况</w:t>
            </w:r>
          </w:p>
        </w:tc>
      </w:tr>
      <w:tr w14:paraId="0B9E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27445">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D709A">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项   目</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F122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申报数</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9580B">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监管部门审核数</w:t>
            </w:r>
          </w:p>
        </w:tc>
      </w:tr>
      <w:tr w14:paraId="6DF6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8A3E3">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1</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671B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归属于母公司所有者的净利润</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6E9C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6DCD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458B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BD9E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2</w:t>
            </w:r>
          </w:p>
        </w:tc>
        <w:tc>
          <w:tcPr>
            <w:tcW w:w="4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D787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加</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年初未分配利润（以前年度亏损以“-”号填列）</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1718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CBAC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062C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35F9E">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3</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55B2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得：可供分配的利润</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10B1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7BC8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4C43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7485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4</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4491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提取法定公积金</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603AB">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F1DDE">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7056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BA09C">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5</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1FE9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得：可供分配的利润</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5A7B2">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E391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1658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BDAAE">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6</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8D39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股东会审议确定的向投资者分配的利润</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6E56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B7BA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0859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7104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7</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81113">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监管部门所持股权（股份）比例</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9145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9569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67D6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3BBF3">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8</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93FA3">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应付国有</w:t>
            </w:r>
            <w:r>
              <w:rPr>
                <w:rFonts w:hint="eastAsia" w:eastAsia="宋体" w:cs="Times New Roman"/>
                <w:color w:val="auto"/>
                <w:sz w:val="21"/>
                <w:szCs w:val="24"/>
                <w:highlight w:val="none"/>
                <w:lang w:val="en-US" w:eastAsia="zh-CN"/>
              </w:rPr>
              <w:t>股</w:t>
            </w:r>
            <w:r>
              <w:rPr>
                <w:rFonts w:hint="default" w:ascii="Times New Roman" w:hAnsi="Times New Roman" w:eastAsia="宋体" w:cs="Times New Roman"/>
                <w:color w:val="auto"/>
                <w:sz w:val="21"/>
                <w:szCs w:val="24"/>
                <w:highlight w:val="none"/>
                <w:lang w:val="en-US" w:eastAsia="zh-CN"/>
              </w:rPr>
              <w:t>股息、股利</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5CD8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DA7C6">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1A2A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1D5EA">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9</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A6FDB">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加</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以前年度欠付的国有</w:t>
            </w:r>
            <w:r>
              <w:rPr>
                <w:rFonts w:hint="eastAsia" w:eastAsia="宋体" w:cs="Times New Roman"/>
                <w:color w:val="auto"/>
                <w:sz w:val="21"/>
                <w:szCs w:val="24"/>
                <w:highlight w:val="none"/>
                <w:lang w:val="en-US" w:eastAsia="zh-CN"/>
              </w:rPr>
              <w:t>股</w:t>
            </w:r>
            <w:r>
              <w:rPr>
                <w:rFonts w:hint="default" w:ascii="Times New Roman" w:hAnsi="Times New Roman" w:eastAsia="宋体" w:cs="Times New Roman"/>
                <w:color w:val="auto"/>
                <w:sz w:val="21"/>
                <w:szCs w:val="24"/>
                <w:highlight w:val="none"/>
                <w:lang w:val="en-US" w:eastAsia="zh-CN"/>
              </w:rPr>
              <w:t>股息、股利</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348F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A56A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5FEB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4589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10</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B3320">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本期已付的国有股股息、股利</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4B1F2">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2D9A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1780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D0A0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11</w:t>
            </w:r>
          </w:p>
        </w:tc>
        <w:tc>
          <w:tcPr>
            <w:tcW w:w="4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D2DC6">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得：应交(退)国有股股息、股利</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D1A1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21CED">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p>
        </w:tc>
      </w:tr>
      <w:tr w14:paraId="51BB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CE79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附送资料</w:t>
            </w:r>
          </w:p>
        </w:tc>
      </w:tr>
      <w:tr w14:paraId="1F90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68C5C">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1</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股东会（股东大会）决议</w:t>
            </w:r>
          </w:p>
        </w:tc>
      </w:tr>
      <w:tr w14:paraId="6258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46964">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2</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其他资料</w:t>
            </w:r>
          </w:p>
        </w:tc>
      </w:tr>
      <w:tr w14:paraId="7806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56" w:hRule="atLeast"/>
        </w:trPr>
        <w:tc>
          <w:tcPr>
            <w:tcW w:w="96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CBEA0">
            <w:pPr>
              <w:keepNext w:val="0"/>
              <w:keepLines w:val="0"/>
              <w:pageBreakBefore w:val="0"/>
              <w:widowControl w:val="0"/>
              <w:kinsoku/>
              <w:wordWrap/>
              <w:overflowPunct/>
              <w:topLinePunct w:val="0"/>
              <w:autoSpaceDE/>
              <w:autoSpaceDN/>
              <w:bidi w:val="0"/>
              <w:adjustRightInd/>
              <w:snapToGrid/>
              <w:spacing w:after="0" w:line="192" w:lineRule="auto"/>
              <w:ind w:firstLine="420" w:firstLineChars="200"/>
              <w:textAlignment w:val="auto"/>
              <w:rPr>
                <w:rFonts w:hint="default" w:ascii="Times New Roman" w:hAnsi="Times New Roman" w:eastAsia="宋体" w:cs="Times New Roman"/>
                <w:color w:val="auto"/>
                <w:sz w:val="21"/>
                <w:szCs w:val="24"/>
                <w:highlight w:val="none"/>
                <w:lang w:eastAsia="zh-CN"/>
              </w:rPr>
            </w:pPr>
            <w:r>
              <w:rPr>
                <w:rFonts w:hint="eastAsia" w:eastAsia="宋体" w:cs="Times New Roman"/>
                <w:color w:val="auto"/>
                <w:sz w:val="21"/>
                <w:szCs w:val="24"/>
                <w:highlight w:val="none"/>
                <w:lang w:val="en-US" w:eastAsia="zh-CN"/>
              </w:rPr>
              <w:t>申报单位</w:t>
            </w:r>
            <w:r>
              <w:rPr>
                <w:rFonts w:hint="default" w:ascii="Times New Roman" w:hAnsi="Times New Roman" w:eastAsia="宋体" w:cs="Times New Roman"/>
                <w:color w:val="auto"/>
                <w:sz w:val="21"/>
                <w:szCs w:val="24"/>
                <w:highlight w:val="none"/>
                <w:lang w:val="en-US" w:eastAsia="zh-CN"/>
              </w:rPr>
              <w:t>（章）：                                           监管部门（章）：</w:t>
            </w:r>
          </w:p>
        </w:tc>
      </w:tr>
    </w:tbl>
    <w:p w14:paraId="3BB8A0F9">
      <w:pPr>
        <w:pStyle w:val="2"/>
      </w:pPr>
    </w:p>
    <w:tbl>
      <w:tblPr>
        <w:tblStyle w:val="6"/>
        <w:tblpPr w:leftFromText="180" w:rightFromText="180" w:vertAnchor="text" w:horzAnchor="page" w:tblpX="998" w:tblpY="177"/>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9"/>
        <w:gridCol w:w="1111"/>
        <w:gridCol w:w="2025"/>
        <w:gridCol w:w="3300"/>
        <w:gridCol w:w="2445"/>
      </w:tblGrid>
      <w:tr w14:paraId="7262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nil"/>
              <w:bottom w:val="nil"/>
              <w:right w:val="nil"/>
            </w:tcBorders>
            <w:noWrap/>
            <w:tcMar>
              <w:top w:w="15" w:type="dxa"/>
              <w:left w:w="15" w:type="dxa"/>
              <w:right w:w="15" w:type="dxa"/>
            </w:tcMar>
            <w:vAlign w:val="bottom"/>
          </w:tcPr>
          <w:p w14:paraId="0E29B20A">
            <w:pPr>
              <w:widowControl w:val="0"/>
              <w:spacing w:line="240" w:lineRule="auto"/>
              <w:ind w:left="0" w:leftChars="0"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黑体" w:cs="Times New Roman"/>
                <w:color w:val="auto"/>
                <w:kern w:val="2"/>
                <w:sz w:val="24"/>
                <w:szCs w:val="24"/>
                <w:highlight w:val="none"/>
                <w:lang w:val="en-US" w:eastAsia="zh-CN" w:bidi="ar-SA"/>
              </w:rPr>
              <w:t>附件3</w:t>
            </w:r>
          </w:p>
        </w:tc>
      </w:tr>
      <w:tr w14:paraId="39FF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nil"/>
              <w:bottom w:val="nil"/>
              <w:right w:val="nil"/>
            </w:tcBorders>
            <w:noWrap/>
            <w:tcMar>
              <w:top w:w="15" w:type="dxa"/>
              <w:left w:w="15" w:type="dxa"/>
              <w:right w:w="15" w:type="dxa"/>
            </w:tcMar>
            <w:vAlign w:val="center"/>
          </w:tcPr>
          <w:p w14:paraId="07234FF1">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eastAsia="方正小标宋简体" w:cs="Times New Roman"/>
                <w:color w:val="auto"/>
                <w:kern w:val="2"/>
                <w:sz w:val="30"/>
                <w:szCs w:val="30"/>
                <w:highlight w:val="none"/>
                <w:lang w:val="en-US" w:eastAsia="zh-CN" w:bidi="ar-SA"/>
              </w:rPr>
              <w:t>州</w:t>
            </w:r>
            <w:r>
              <w:rPr>
                <w:rFonts w:hint="default" w:ascii="Times New Roman" w:hAnsi="Times New Roman" w:eastAsia="方正小标宋简体" w:cs="Times New Roman"/>
                <w:color w:val="auto"/>
                <w:kern w:val="2"/>
                <w:sz w:val="30"/>
                <w:szCs w:val="30"/>
                <w:highlight w:val="none"/>
                <w:lang w:val="en-US" w:eastAsia="zh-CN" w:bidi="ar-SA"/>
              </w:rPr>
              <w:t>属企业国有资本收益</w:t>
            </w:r>
            <w:r>
              <w:rPr>
                <w:rFonts w:hint="eastAsia" w:ascii="Times New Roman" w:hAnsi="Times New Roman" w:eastAsia="方正小标宋简体" w:cs="Times New Roman"/>
                <w:color w:val="auto"/>
                <w:kern w:val="2"/>
                <w:sz w:val="30"/>
                <w:szCs w:val="30"/>
                <w:highlight w:val="none"/>
                <w:lang w:val="en-US" w:eastAsia="zh-CN" w:bidi="ar-SA"/>
              </w:rPr>
              <w:t>（</w:t>
            </w:r>
            <w:r>
              <w:rPr>
                <w:rFonts w:hint="default" w:ascii="Times New Roman" w:hAnsi="Times New Roman" w:eastAsia="方正小标宋简体" w:cs="Times New Roman"/>
                <w:color w:val="auto"/>
                <w:kern w:val="2"/>
                <w:sz w:val="30"/>
                <w:szCs w:val="30"/>
                <w:highlight w:val="none"/>
                <w:lang w:val="en-US" w:eastAsia="zh-CN" w:bidi="ar-SA"/>
              </w:rPr>
              <w:t>国有产权转让收入</w:t>
            </w:r>
            <w:r>
              <w:rPr>
                <w:rFonts w:hint="eastAsia" w:ascii="Times New Roman" w:hAnsi="Times New Roman" w:eastAsia="方正小标宋简体" w:cs="Times New Roman"/>
                <w:color w:val="auto"/>
                <w:kern w:val="2"/>
                <w:sz w:val="30"/>
                <w:szCs w:val="30"/>
                <w:highlight w:val="none"/>
                <w:lang w:val="en-US" w:eastAsia="zh-CN" w:bidi="ar-SA"/>
              </w:rPr>
              <w:t>）</w:t>
            </w:r>
            <w:r>
              <w:rPr>
                <w:rFonts w:hint="default" w:ascii="Times New Roman" w:hAnsi="Times New Roman" w:eastAsia="方正小标宋简体" w:cs="Times New Roman"/>
                <w:color w:val="auto"/>
                <w:kern w:val="2"/>
                <w:sz w:val="30"/>
                <w:szCs w:val="30"/>
                <w:highlight w:val="none"/>
                <w:lang w:val="en-US" w:eastAsia="zh-CN" w:bidi="ar-SA"/>
              </w:rPr>
              <w:t>申报表</w:t>
            </w:r>
          </w:p>
        </w:tc>
      </w:tr>
      <w:tr w14:paraId="4F32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11168">
            <w:pPr>
              <w:widowControl w:val="0"/>
              <w:spacing w:line="240" w:lineRule="auto"/>
              <w:ind w:left="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申报单位基本情况</w:t>
            </w:r>
          </w:p>
        </w:tc>
      </w:tr>
      <w:tr w14:paraId="7DDE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7CEBE3">
            <w:pPr>
              <w:widowControl w:val="0"/>
              <w:spacing w:line="240" w:lineRule="auto"/>
              <w:ind w:left="0" w:leftChars="0"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企业名称</w:t>
            </w:r>
          </w:p>
        </w:tc>
        <w:tc>
          <w:tcPr>
            <w:tcW w:w="77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011E9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665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000B60B">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组织形式</w:t>
            </w:r>
            <w:r>
              <w:rPr>
                <w:rFonts w:hint="default" w:ascii="Times New Roman" w:hAnsi="Times New Roman" w:eastAsia="宋体" w:cs="Times New Roman"/>
                <w:color w:val="auto"/>
                <w:kern w:val="2"/>
                <w:sz w:val="21"/>
                <w:szCs w:val="24"/>
                <w:highlight w:val="none"/>
                <w:lang w:val="en-US" w:eastAsia="zh-CN" w:bidi="ar-SA"/>
              </w:rPr>
              <w:br w:type="textWrapping"/>
            </w:r>
            <w:r>
              <w:rPr>
                <w:rFonts w:hint="default" w:ascii="Times New Roman" w:hAnsi="Times New Roman" w:eastAsia="宋体" w:cs="Times New Roman"/>
                <w:color w:val="auto"/>
                <w:kern w:val="2"/>
                <w:sz w:val="21"/>
                <w:szCs w:val="24"/>
                <w:highlight w:val="none"/>
                <w:lang w:val="en-US" w:eastAsia="zh-CN" w:bidi="ar-SA"/>
              </w:rPr>
              <w:t>（国有独资企业或国有控股参股企业）</w:t>
            </w:r>
          </w:p>
        </w:tc>
        <w:tc>
          <w:tcPr>
            <w:tcW w:w="77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F102D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3285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33E5DA">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注册地址</w:t>
            </w:r>
          </w:p>
        </w:tc>
        <w:tc>
          <w:tcPr>
            <w:tcW w:w="77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95A38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A11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098ACF">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所处行业</w:t>
            </w:r>
          </w:p>
        </w:tc>
        <w:tc>
          <w:tcPr>
            <w:tcW w:w="77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DF1A6F">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330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4E3124C">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注册资本</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B02D9F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9B61E0B">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其中：国有股权（股份）</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42AF8085">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262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69537F39">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联系人</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79C1ACE8">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FB68959">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联系电话</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4312E729">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69F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71570C86">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交易机构名称</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19D84DAC">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63998ED">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交易机构地址</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70F7623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135B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27F8FB4">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结算银行</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1B527FC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1D14C7E">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结算</w:t>
            </w:r>
            <w:r>
              <w:rPr>
                <w:rFonts w:hint="eastAsia" w:eastAsia="宋体" w:cs="Times New Roman"/>
                <w:color w:val="auto"/>
                <w:kern w:val="2"/>
                <w:sz w:val="21"/>
                <w:szCs w:val="24"/>
                <w:highlight w:val="none"/>
                <w:lang w:val="en-US" w:eastAsia="zh-CN" w:bidi="ar-SA"/>
              </w:rPr>
              <w:t>账户</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098980A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184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BECE68C">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财务经理</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15323E9">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A4FE6B4">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联系电话</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5B38F1C4">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4D6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574CF25">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转让标的</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65CFA4F5">
            <w:pPr>
              <w:widowControl w:val="0"/>
              <w:spacing w:line="240" w:lineRule="auto"/>
              <w:ind w:left="0" w:leftChars="0" w:firstLine="0" w:firstLineChars="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F24213D">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转让标的经备案或核准后评估价值</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619DA1D9">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7525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CD9440F">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转让底价</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759A98E2">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604C1CC6">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实际成交价</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29482EE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5303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7994D325">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合同签订日</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211011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BCB1175">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交易结算日</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14DB6EA2">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D6D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644E2C30">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价款结算方法</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15EB7BD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20C5B46">
            <w:pPr>
              <w:widowControl w:val="0"/>
              <w:spacing w:line="240" w:lineRule="auto"/>
              <w:ind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价款结算时间</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7ED1A30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3E96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1C8C7815">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受让方有关情况</w:t>
            </w:r>
          </w:p>
        </w:tc>
      </w:tr>
      <w:tr w14:paraId="58BD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3B5CFA1A">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名称</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75D29C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376659B5">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性质</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339EBB42">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4659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665938D">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注册地（或住所）</w:t>
            </w:r>
          </w:p>
        </w:tc>
        <w:tc>
          <w:tcPr>
            <w:tcW w:w="7770" w:type="dxa"/>
            <w:gridSpan w:val="3"/>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343351F1">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6F04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1920"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5A73626">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法定代表人</w:t>
            </w:r>
          </w:p>
        </w:tc>
        <w:tc>
          <w:tcPr>
            <w:tcW w:w="2025"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692B6D6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7303609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联系电话</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1284CD6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24D7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B0959F0">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应交国有资本收益申报情况</w:t>
            </w:r>
          </w:p>
        </w:tc>
      </w:tr>
      <w:tr w14:paraId="6C5E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809"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38C344ED">
            <w:pPr>
              <w:widowControl w:val="0"/>
              <w:spacing w:line="240" w:lineRule="auto"/>
              <w:ind w:firstLine="420"/>
              <w:jc w:val="center"/>
              <w:rPr>
                <w:rFonts w:hint="default" w:ascii="Times New Roman" w:hAnsi="Times New Roman" w:eastAsia="宋体" w:cs="Times New Roman"/>
                <w:color w:val="auto"/>
                <w:kern w:val="2"/>
                <w:sz w:val="21"/>
                <w:szCs w:val="24"/>
                <w:highlight w:val="none"/>
                <w:lang w:val="en-US" w:eastAsia="zh-CN" w:bidi="ar-SA"/>
              </w:rPr>
            </w:pPr>
          </w:p>
        </w:tc>
        <w:tc>
          <w:tcPr>
            <w:tcW w:w="3136"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20BA4197">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项目</w:t>
            </w: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7A2CF0E">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申报数</w:t>
            </w: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21EBB49D">
            <w:pPr>
              <w:widowControl w:val="0"/>
              <w:spacing w:line="240" w:lineRule="auto"/>
              <w:ind w:left="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监管部门审核数</w:t>
            </w:r>
          </w:p>
        </w:tc>
      </w:tr>
      <w:tr w14:paraId="431F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809"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AF485B9">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p>
        </w:tc>
        <w:tc>
          <w:tcPr>
            <w:tcW w:w="3136"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585A421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实际转让收入</w:t>
            </w: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F4F4D22">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5D3F74B6">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5DEB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809"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1400D2FA">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p>
        </w:tc>
        <w:tc>
          <w:tcPr>
            <w:tcW w:w="3136" w:type="dxa"/>
            <w:gridSpan w:val="2"/>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49319045">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减：转让费用</w:t>
            </w:r>
          </w:p>
        </w:tc>
        <w:tc>
          <w:tcPr>
            <w:tcW w:w="3300" w:type="dxa"/>
            <w:tcBorders>
              <w:top w:val="single" w:color="000000" w:sz="2" w:space="0"/>
              <w:left w:val="single" w:color="000000" w:sz="2" w:space="0"/>
              <w:bottom w:val="single" w:color="000000" w:sz="2" w:space="0"/>
              <w:right w:val="single" w:color="000000" w:sz="2" w:space="0"/>
            </w:tcBorders>
            <w:noWrap/>
            <w:tcMar>
              <w:top w:w="15" w:type="dxa"/>
              <w:left w:w="15" w:type="dxa"/>
              <w:right w:w="15" w:type="dxa"/>
            </w:tcMar>
            <w:vAlign w:val="bottom"/>
          </w:tcPr>
          <w:p w14:paraId="04246FB7">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445" w:type="dxa"/>
            <w:tcBorders>
              <w:top w:val="single" w:color="000000" w:sz="4" w:space="0"/>
              <w:left w:val="single" w:color="000000" w:sz="2" w:space="0"/>
              <w:bottom w:val="single" w:color="000000" w:sz="4" w:space="0"/>
              <w:right w:val="single" w:color="000000" w:sz="4" w:space="0"/>
            </w:tcBorders>
            <w:noWrap/>
            <w:tcMar>
              <w:top w:w="15" w:type="dxa"/>
              <w:left w:w="15" w:type="dxa"/>
              <w:right w:w="15" w:type="dxa"/>
            </w:tcMar>
            <w:vAlign w:val="bottom"/>
          </w:tcPr>
          <w:p w14:paraId="1655EEEE">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5D2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809" w:type="dxa"/>
            <w:tcBorders>
              <w:top w:val="single" w:color="000000" w:sz="2" w:space="0"/>
              <w:left w:val="single" w:color="000000" w:sz="4" w:space="0"/>
              <w:bottom w:val="single" w:color="000000" w:sz="4" w:space="0"/>
              <w:right w:val="single" w:color="000000" w:sz="4" w:space="0"/>
            </w:tcBorders>
            <w:noWrap/>
            <w:tcMar>
              <w:top w:w="15" w:type="dxa"/>
              <w:left w:w="15" w:type="dxa"/>
              <w:right w:w="15" w:type="dxa"/>
            </w:tcMar>
            <w:vAlign w:val="bottom"/>
          </w:tcPr>
          <w:p w14:paraId="41EC3ED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p>
        </w:tc>
        <w:tc>
          <w:tcPr>
            <w:tcW w:w="3136" w:type="dxa"/>
            <w:gridSpan w:val="2"/>
            <w:tcBorders>
              <w:top w:val="single" w:color="000000" w:sz="2" w:space="0"/>
              <w:left w:val="nil"/>
              <w:bottom w:val="single" w:color="000000" w:sz="4" w:space="0"/>
              <w:right w:val="single" w:color="000000" w:sz="4" w:space="0"/>
            </w:tcBorders>
            <w:noWrap/>
            <w:tcMar>
              <w:top w:w="15" w:type="dxa"/>
              <w:left w:w="15" w:type="dxa"/>
              <w:right w:w="15" w:type="dxa"/>
            </w:tcMar>
            <w:vAlign w:val="bottom"/>
          </w:tcPr>
          <w:p w14:paraId="3D825188">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得：转让净收入</w:t>
            </w:r>
          </w:p>
        </w:tc>
        <w:tc>
          <w:tcPr>
            <w:tcW w:w="3300" w:type="dxa"/>
            <w:tcBorders>
              <w:top w:val="single" w:color="000000" w:sz="2" w:space="0"/>
              <w:left w:val="single" w:color="000000" w:sz="4" w:space="0"/>
              <w:bottom w:val="single" w:color="000000" w:sz="4" w:space="0"/>
              <w:right w:val="single" w:color="000000" w:sz="4" w:space="0"/>
            </w:tcBorders>
            <w:noWrap/>
            <w:tcMar>
              <w:top w:w="15" w:type="dxa"/>
              <w:left w:w="15" w:type="dxa"/>
              <w:right w:w="15" w:type="dxa"/>
            </w:tcMar>
            <w:vAlign w:val="bottom"/>
          </w:tcPr>
          <w:p w14:paraId="10AB97FB">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70EB55">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p>
        </w:tc>
      </w:tr>
      <w:tr w14:paraId="0F11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473DDD">
            <w:pPr>
              <w:widowControl w:val="0"/>
              <w:spacing w:line="240" w:lineRule="auto"/>
              <w:ind w:firstLine="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附送资料</w:t>
            </w:r>
          </w:p>
        </w:tc>
      </w:tr>
      <w:tr w14:paraId="5258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single" w:color="000000" w:sz="4" w:space="0"/>
              <w:left w:val="single" w:color="000000" w:sz="4" w:space="0"/>
              <w:bottom w:val="nil"/>
              <w:right w:val="single" w:color="000000" w:sz="4" w:space="0"/>
            </w:tcBorders>
            <w:noWrap/>
            <w:tcMar>
              <w:top w:w="15" w:type="dxa"/>
              <w:left w:w="15" w:type="dxa"/>
              <w:right w:w="15" w:type="dxa"/>
            </w:tcMar>
            <w:vAlign w:val="bottom"/>
          </w:tcPr>
          <w:p w14:paraId="737690A3">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1</w:t>
            </w:r>
            <w:r>
              <w:rPr>
                <w:rFonts w:hint="eastAsia" w:eastAsia="宋体" w:cs="Times New Roman"/>
                <w:color w:val="auto"/>
                <w:kern w:val="2"/>
                <w:sz w:val="21"/>
                <w:szCs w:val="24"/>
                <w:highlight w:val="none"/>
                <w:lang w:val="en-US" w:eastAsia="zh-CN" w:bidi="ar-SA"/>
              </w:rPr>
              <w:t>.州</w:t>
            </w:r>
            <w:r>
              <w:rPr>
                <w:rFonts w:hint="default" w:ascii="Times New Roman" w:hAnsi="Times New Roman" w:eastAsia="宋体" w:cs="Times New Roman"/>
                <w:color w:val="auto"/>
                <w:kern w:val="2"/>
                <w:sz w:val="21"/>
                <w:szCs w:val="24"/>
                <w:highlight w:val="none"/>
                <w:lang w:val="en-US" w:eastAsia="zh-CN" w:bidi="ar-SA"/>
              </w:rPr>
              <w:t>政府批准文件或国有资产监管机构审批文件；</w:t>
            </w:r>
          </w:p>
        </w:tc>
      </w:tr>
      <w:tr w14:paraId="630A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single" w:color="000000" w:sz="4" w:space="0"/>
              <w:bottom w:val="nil"/>
              <w:right w:val="single" w:color="000000" w:sz="4" w:space="0"/>
            </w:tcBorders>
            <w:noWrap/>
            <w:tcMar>
              <w:top w:w="15" w:type="dxa"/>
              <w:left w:w="15" w:type="dxa"/>
              <w:right w:w="15" w:type="dxa"/>
            </w:tcMar>
            <w:vAlign w:val="bottom"/>
          </w:tcPr>
          <w:p w14:paraId="71B925E5">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2</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资产评估报告；</w:t>
            </w:r>
          </w:p>
        </w:tc>
      </w:tr>
      <w:tr w14:paraId="4CC3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single" w:color="000000" w:sz="4" w:space="0"/>
              <w:bottom w:val="nil"/>
              <w:right w:val="single" w:color="000000" w:sz="4" w:space="0"/>
            </w:tcBorders>
            <w:noWrap/>
            <w:tcMar>
              <w:top w:w="15" w:type="dxa"/>
              <w:left w:w="15" w:type="dxa"/>
              <w:right w:w="15" w:type="dxa"/>
            </w:tcMar>
            <w:vAlign w:val="bottom"/>
          </w:tcPr>
          <w:p w14:paraId="6A6A97E1">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3</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交易结算单据复印件；</w:t>
            </w:r>
          </w:p>
        </w:tc>
      </w:tr>
      <w:tr w14:paraId="2B0B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single" w:color="000000" w:sz="4" w:space="0"/>
              <w:bottom w:val="nil"/>
              <w:right w:val="single" w:color="000000" w:sz="4" w:space="0"/>
            </w:tcBorders>
            <w:noWrap/>
            <w:tcMar>
              <w:top w:w="15" w:type="dxa"/>
              <w:left w:w="15" w:type="dxa"/>
              <w:right w:w="15" w:type="dxa"/>
            </w:tcMar>
            <w:vAlign w:val="bottom"/>
          </w:tcPr>
          <w:p w14:paraId="2DD37F80">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转让费用清单及发票；</w:t>
            </w:r>
          </w:p>
        </w:tc>
      </w:tr>
      <w:tr w14:paraId="5885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single" w:color="000000" w:sz="4" w:space="0"/>
              <w:bottom w:val="nil"/>
              <w:right w:val="single" w:color="000000" w:sz="4" w:space="0"/>
            </w:tcBorders>
            <w:noWrap/>
            <w:tcMar>
              <w:top w:w="15" w:type="dxa"/>
              <w:left w:w="15" w:type="dxa"/>
              <w:right w:w="15" w:type="dxa"/>
            </w:tcMar>
            <w:vAlign w:val="bottom"/>
          </w:tcPr>
          <w:p w14:paraId="6987DA1F">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5</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产权转让合同；</w:t>
            </w:r>
          </w:p>
        </w:tc>
      </w:tr>
      <w:tr w14:paraId="0A96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0" w:hRule="atLeast"/>
        </w:trPr>
        <w:tc>
          <w:tcPr>
            <w:tcW w:w="9690" w:type="dxa"/>
            <w:gridSpan w:val="5"/>
            <w:tcBorders>
              <w:top w:val="nil"/>
              <w:left w:val="single" w:color="000000" w:sz="4" w:space="0"/>
              <w:bottom w:val="single" w:color="auto" w:sz="4" w:space="0"/>
              <w:right w:val="single" w:color="000000" w:sz="4" w:space="0"/>
            </w:tcBorders>
            <w:noWrap/>
            <w:tcMar>
              <w:top w:w="15" w:type="dxa"/>
              <w:left w:w="15" w:type="dxa"/>
              <w:right w:w="15" w:type="dxa"/>
            </w:tcMar>
            <w:vAlign w:val="bottom"/>
          </w:tcPr>
          <w:p w14:paraId="10D22A66">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6</w:t>
            </w:r>
            <w:r>
              <w:rPr>
                <w:rFonts w:hint="eastAsia"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其他资料</w:t>
            </w:r>
          </w:p>
        </w:tc>
      </w:tr>
      <w:tr w14:paraId="0DB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03" w:hRule="atLeast"/>
        </w:trPr>
        <w:tc>
          <w:tcPr>
            <w:tcW w:w="9690"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2B2A74">
            <w:pPr>
              <w:widowControl w:val="0"/>
              <w:spacing w:line="240" w:lineRule="auto"/>
              <w:ind w:firstLine="42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申报单位（章）：                                           监管部门（章）：</w:t>
            </w:r>
          </w:p>
        </w:tc>
      </w:tr>
    </w:tbl>
    <w:p w14:paraId="3DD11B22">
      <w:pPr>
        <w:pStyle w:val="2"/>
      </w:pPr>
    </w:p>
    <w:p w14:paraId="5F7D8278">
      <w:pPr>
        <w:pStyle w:val="2"/>
      </w:pPr>
    </w:p>
    <w:p w14:paraId="7B79492F">
      <w:pPr>
        <w:pStyle w:val="2"/>
      </w:pPr>
    </w:p>
    <w:p w14:paraId="798177C7">
      <w:pPr>
        <w:pStyle w:val="2"/>
      </w:pPr>
    </w:p>
    <w:p w14:paraId="4CB14BF7">
      <w:pPr>
        <w:pStyle w:val="2"/>
      </w:pPr>
    </w:p>
    <w:p w14:paraId="4A243460">
      <w:pPr>
        <w:pStyle w:val="2"/>
      </w:pPr>
    </w:p>
    <w:p w14:paraId="669D5842">
      <w:pPr>
        <w:pStyle w:val="2"/>
      </w:pPr>
    </w:p>
    <w:p w14:paraId="0690939A">
      <w:pPr>
        <w:pStyle w:val="2"/>
      </w:pPr>
    </w:p>
    <w:p w14:paraId="006637FA">
      <w:pPr>
        <w:pStyle w:val="2"/>
      </w:pPr>
    </w:p>
    <w:p w14:paraId="5779D3CB">
      <w:pPr>
        <w:pStyle w:val="2"/>
      </w:pPr>
    </w:p>
    <w:p w14:paraId="49BBFDFA">
      <w:pPr>
        <w:pStyle w:val="2"/>
      </w:pPr>
    </w:p>
    <w:p w14:paraId="20126BAB">
      <w:pPr>
        <w:pStyle w:val="2"/>
      </w:pPr>
    </w:p>
    <w:p w14:paraId="35082E6A">
      <w:pPr>
        <w:pStyle w:val="2"/>
      </w:pPr>
    </w:p>
    <w:p w14:paraId="7033122D">
      <w:pPr>
        <w:pStyle w:val="2"/>
      </w:pPr>
    </w:p>
    <w:p w14:paraId="03EB8D39">
      <w:pPr>
        <w:pStyle w:val="2"/>
      </w:pPr>
    </w:p>
    <w:p w14:paraId="1C578F68">
      <w:pPr>
        <w:pStyle w:val="2"/>
      </w:pPr>
    </w:p>
    <w:p w14:paraId="618E600F">
      <w:pPr>
        <w:pStyle w:val="2"/>
      </w:pPr>
    </w:p>
    <w:tbl>
      <w:tblPr>
        <w:tblStyle w:val="6"/>
        <w:tblpPr w:leftFromText="180" w:rightFromText="180" w:vertAnchor="text" w:horzAnchor="page" w:tblpX="1049" w:tblpY="-137"/>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55"/>
        <w:gridCol w:w="1910"/>
        <w:gridCol w:w="2424"/>
        <w:gridCol w:w="2401"/>
      </w:tblGrid>
      <w:tr w14:paraId="1366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exact"/>
        </w:trPr>
        <w:tc>
          <w:tcPr>
            <w:tcW w:w="9690" w:type="dxa"/>
            <w:gridSpan w:val="4"/>
            <w:tcBorders>
              <w:top w:val="nil"/>
              <w:left w:val="nil"/>
              <w:bottom w:val="nil"/>
              <w:right w:val="nil"/>
            </w:tcBorders>
            <w:noWrap/>
            <w:tcMar>
              <w:top w:w="15" w:type="dxa"/>
              <w:left w:w="15" w:type="dxa"/>
              <w:right w:w="15" w:type="dxa"/>
            </w:tcMar>
            <w:vAlign w:val="bottom"/>
          </w:tcPr>
          <w:p w14:paraId="20E9E1BE">
            <w:pPr>
              <w:widowControl w:val="0"/>
              <w:spacing w:line="240" w:lineRule="auto"/>
              <w:ind w:firstLine="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br w:type="page"/>
            </w:r>
            <w:r>
              <w:rPr>
                <w:rFonts w:hint="default" w:ascii="Times New Roman" w:hAnsi="Times New Roman" w:eastAsia="黑体" w:cs="Times New Roman"/>
                <w:color w:val="auto"/>
                <w:kern w:val="2"/>
                <w:sz w:val="24"/>
                <w:szCs w:val="24"/>
                <w:highlight w:val="none"/>
                <w:lang w:val="en-US" w:eastAsia="zh-CN" w:bidi="ar-SA"/>
              </w:rPr>
              <w:t>附件4</w:t>
            </w:r>
          </w:p>
        </w:tc>
      </w:tr>
      <w:tr w14:paraId="509D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exact"/>
        </w:trPr>
        <w:tc>
          <w:tcPr>
            <w:tcW w:w="9690" w:type="dxa"/>
            <w:gridSpan w:val="4"/>
            <w:tcBorders>
              <w:top w:val="nil"/>
              <w:left w:val="nil"/>
              <w:bottom w:val="nil"/>
              <w:right w:val="nil"/>
            </w:tcBorders>
            <w:noWrap/>
            <w:tcMar>
              <w:top w:w="15" w:type="dxa"/>
              <w:left w:w="15" w:type="dxa"/>
              <w:right w:w="15" w:type="dxa"/>
            </w:tcMar>
            <w:vAlign w:val="center"/>
          </w:tcPr>
          <w:p w14:paraId="4EBAAE60">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eastAsia" w:eastAsia="方正小标宋简体" w:cs="Times New Roman"/>
                <w:color w:val="auto"/>
                <w:sz w:val="30"/>
                <w:szCs w:val="30"/>
                <w:highlight w:val="none"/>
                <w:lang w:val="en-US" w:eastAsia="zh-CN"/>
              </w:rPr>
              <w:t>州</w:t>
            </w:r>
            <w:r>
              <w:rPr>
                <w:rFonts w:hint="default" w:ascii="Times New Roman" w:hAnsi="Times New Roman" w:eastAsia="方正小标宋简体" w:cs="Times New Roman"/>
                <w:color w:val="auto"/>
                <w:sz w:val="30"/>
                <w:szCs w:val="30"/>
                <w:highlight w:val="none"/>
                <w:lang w:val="en-US" w:eastAsia="zh-CN"/>
              </w:rPr>
              <w:t>属企业国有资本收益</w:t>
            </w:r>
            <w:r>
              <w:rPr>
                <w:rFonts w:hint="eastAsia" w:ascii="Times New Roman" w:hAnsi="Times New Roman" w:eastAsia="方正小标宋简体" w:cs="Times New Roman"/>
                <w:color w:val="auto"/>
                <w:sz w:val="30"/>
                <w:szCs w:val="30"/>
                <w:highlight w:val="none"/>
                <w:lang w:val="en-US" w:eastAsia="zh-CN"/>
              </w:rPr>
              <w:t>（</w:t>
            </w:r>
            <w:r>
              <w:rPr>
                <w:rFonts w:hint="default" w:ascii="Times New Roman" w:hAnsi="Times New Roman" w:eastAsia="方正小标宋简体" w:cs="Times New Roman"/>
                <w:color w:val="auto"/>
                <w:sz w:val="30"/>
                <w:szCs w:val="30"/>
                <w:highlight w:val="none"/>
                <w:lang w:val="en-US" w:eastAsia="zh-CN"/>
              </w:rPr>
              <w:t>企业清算收入</w:t>
            </w:r>
            <w:r>
              <w:rPr>
                <w:rFonts w:hint="eastAsia" w:ascii="Times New Roman" w:hAnsi="Times New Roman" w:eastAsia="方正小标宋简体" w:cs="Times New Roman"/>
                <w:color w:val="auto"/>
                <w:sz w:val="30"/>
                <w:szCs w:val="30"/>
                <w:highlight w:val="none"/>
                <w:lang w:val="en-US" w:eastAsia="zh-CN"/>
              </w:rPr>
              <w:t>）</w:t>
            </w:r>
            <w:r>
              <w:rPr>
                <w:rFonts w:hint="default" w:ascii="Times New Roman" w:hAnsi="Times New Roman" w:eastAsia="方正小标宋简体" w:cs="Times New Roman"/>
                <w:color w:val="auto"/>
                <w:sz w:val="30"/>
                <w:szCs w:val="30"/>
                <w:highlight w:val="none"/>
                <w:lang w:val="en-US" w:eastAsia="zh-CN"/>
              </w:rPr>
              <w:t>申报表</w:t>
            </w:r>
          </w:p>
        </w:tc>
      </w:tr>
      <w:tr w14:paraId="3674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F2F27">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申报单位（清算人或管理人）基本情况</w:t>
            </w:r>
          </w:p>
        </w:tc>
      </w:tr>
      <w:tr w14:paraId="53F6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6A59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批准成立单位</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6F85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BB865">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成立时间</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48BFC">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6733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5D5E1">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开户银行</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F1A8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F03C6">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银行</w:t>
            </w:r>
            <w:r>
              <w:rPr>
                <w:rFonts w:hint="eastAsia" w:eastAsia="宋体" w:cs="Times New Roman"/>
                <w:color w:val="auto"/>
                <w:sz w:val="21"/>
                <w:szCs w:val="24"/>
                <w:highlight w:val="none"/>
                <w:lang w:val="en-US" w:eastAsia="zh-CN"/>
              </w:rPr>
              <w:t>账号</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64A48">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AC1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6B9CF">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财务负责人</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82C6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3537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联系电话</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30916">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3E35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59F64">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企业清算基本情况</w:t>
            </w:r>
          </w:p>
        </w:tc>
      </w:tr>
      <w:tr w14:paraId="52DF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C9FB8D6">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 xml:space="preserve">企业名称 </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93FD0">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B81F5">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注册地址</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07D4E">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2A44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3523D97C">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所处行业</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D4E59">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988D68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组织形式</w:t>
            </w:r>
          </w:p>
          <w:p w14:paraId="3F0D8269">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（国有独资、控股、参股）</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6AD0F">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3A6B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2D632C5B">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注册资本</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F58FC">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AA029">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其中：国有股权（股份）</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42608">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3D98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A9171E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账面资产总额</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90061">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1F63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 xml:space="preserve">      其中：固定资产</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A69A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179B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361D14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账面负债总额</w:t>
            </w:r>
          </w:p>
        </w:tc>
        <w:tc>
          <w:tcPr>
            <w:tcW w:w="1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553E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89A7E">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 xml:space="preserve">            </w:t>
            </w:r>
            <w:r>
              <w:rPr>
                <w:rFonts w:hint="eastAsia" w:eastAsia="宋体" w:cs="Times New Roman"/>
                <w:color w:val="auto"/>
                <w:sz w:val="21"/>
                <w:szCs w:val="24"/>
                <w:highlight w:val="none"/>
                <w:lang w:val="en-US" w:eastAsia="zh-CN"/>
              </w:rPr>
              <w:t>账面</w:t>
            </w:r>
            <w:r>
              <w:rPr>
                <w:rFonts w:hint="default" w:ascii="Times New Roman" w:hAnsi="Times New Roman" w:eastAsia="宋体" w:cs="Times New Roman"/>
                <w:color w:val="auto"/>
                <w:sz w:val="21"/>
                <w:szCs w:val="24"/>
                <w:highlight w:val="none"/>
                <w:lang w:val="en-US" w:eastAsia="zh-CN"/>
              </w:rPr>
              <w:t>净资产</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5608B">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4CD7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1A1B6B8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审计机构</w:t>
            </w:r>
          </w:p>
        </w:tc>
        <w:tc>
          <w:tcPr>
            <w:tcW w:w="67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9D0C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6D8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295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080A892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资产评估机构</w:t>
            </w:r>
          </w:p>
        </w:tc>
        <w:tc>
          <w:tcPr>
            <w:tcW w:w="67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9045A">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6615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exact"/>
        </w:trPr>
        <w:tc>
          <w:tcPr>
            <w:tcW w:w="295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01A290A">
            <w:pPr>
              <w:keepNext w:val="0"/>
              <w:keepLines w:val="0"/>
              <w:pageBreakBefore w:val="0"/>
              <w:widowControl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清算终结日</w:t>
            </w:r>
          </w:p>
          <w:p w14:paraId="0F224405">
            <w:pPr>
              <w:keepNext w:val="0"/>
              <w:keepLines w:val="0"/>
              <w:pageBreakBefore w:val="0"/>
              <w:widowControl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（或法院裁定清算程序终结日）</w:t>
            </w:r>
          </w:p>
        </w:tc>
        <w:tc>
          <w:tcPr>
            <w:tcW w:w="67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ED0BB">
            <w:pPr>
              <w:keepNext w:val="0"/>
              <w:keepLines w:val="0"/>
              <w:pageBreakBefore w:val="0"/>
              <w:widowControl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0DD6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78BC2">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应交企业清算收入申报情况</w:t>
            </w:r>
          </w:p>
        </w:tc>
      </w:tr>
      <w:tr w14:paraId="3608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321EC8">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项  目</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FCE644">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申报数</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3DF4B4">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监管部门审核数</w:t>
            </w:r>
          </w:p>
        </w:tc>
      </w:tr>
      <w:tr w14:paraId="4863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A1690B">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清算财产变价总收入</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1844DA">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51383F">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595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737FA1">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减：清算费用</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35DAF5">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75D3E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7583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970AA0">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减：共益债务</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AF44AF">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02B7C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6967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3E9109">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得：剩余清算收入</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B3A2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A3F6D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4BBD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EAE4F5">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减：拖欠职工的劳动债权</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EFBBB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E91D7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461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69A4B0">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减：缴纳欠交税款</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B70D06">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C24C00">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E7D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DA198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减：清偿普通债务</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1D96C3">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F5A3A6">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739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1E024F">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得：清算净收入</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CCD0DC">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9F803A">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161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F78AE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监管部门所持股权（股份）比例</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7D12A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4161E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5E32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8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CF677A">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应交企业清算收入</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AC5EB4">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3C7B1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p>
        </w:tc>
      </w:tr>
      <w:tr w14:paraId="2A99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3E8F54">
            <w:pPr>
              <w:keepNext w:val="0"/>
              <w:keepLines w:val="0"/>
              <w:pageBreakBefore w:val="0"/>
              <w:kinsoku/>
              <w:wordWrap/>
              <w:overflowPunct/>
              <w:topLinePunct w:val="0"/>
              <w:autoSpaceDE/>
              <w:autoSpaceDN/>
              <w:bidi w:val="0"/>
              <w:adjustRightInd/>
              <w:snapToGrid/>
              <w:spacing w:after="0" w:afterAutospacing="0" w:line="240" w:lineRule="auto"/>
              <w:jc w:val="center"/>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附送资料</w:t>
            </w:r>
          </w:p>
        </w:tc>
      </w:tr>
      <w:tr w14:paraId="465A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single" w:color="000000" w:sz="4" w:space="0"/>
              <w:left w:val="single" w:color="000000" w:sz="4" w:space="0"/>
              <w:bottom w:val="nil"/>
              <w:right w:val="single" w:color="000000" w:sz="4" w:space="0"/>
            </w:tcBorders>
            <w:noWrap/>
            <w:tcMar>
              <w:top w:w="15" w:type="dxa"/>
              <w:left w:w="15" w:type="dxa"/>
              <w:right w:w="15" w:type="dxa"/>
            </w:tcMar>
            <w:vAlign w:val="bottom"/>
          </w:tcPr>
          <w:p w14:paraId="3173EA18">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1</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股东大会关于实施清算的决议或有关部门批准清算的文件；</w:t>
            </w:r>
          </w:p>
        </w:tc>
      </w:tr>
      <w:tr w14:paraId="48CD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nil"/>
              <w:left w:val="single" w:color="000000" w:sz="4" w:space="0"/>
              <w:bottom w:val="nil"/>
              <w:right w:val="single" w:color="000000" w:sz="4" w:space="0"/>
            </w:tcBorders>
            <w:noWrap/>
            <w:tcMar>
              <w:top w:w="15" w:type="dxa"/>
              <w:left w:w="15" w:type="dxa"/>
              <w:right w:w="15" w:type="dxa"/>
            </w:tcMar>
            <w:vAlign w:val="bottom"/>
          </w:tcPr>
          <w:p w14:paraId="0DEDAB5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2</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清算人或管理人组织成立的文件；</w:t>
            </w:r>
          </w:p>
        </w:tc>
      </w:tr>
      <w:tr w14:paraId="312A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nil"/>
              <w:left w:val="single" w:color="000000" w:sz="4" w:space="0"/>
              <w:bottom w:val="nil"/>
              <w:right w:val="single" w:color="000000" w:sz="4" w:space="0"/>
            </w:tcBorders>
            <w:noWrap/>
            <w:tcMar>
              <w:top w:w="15" w:type="dxa"/>
              <w:left w:w="15" w:type="dxa"/>
              <w:right w:w="15" w:type="dxa"/>
            </w:tcMar>
            <w:vAlign w:val="bottom"/>
          </w:tcPr>
          <w:p w14:paraId="0C7279A2">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3</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清算审计报告；</w:t>
            </w:r>
          </w:p>
        </w:tc>
      </w:tr>
      <w:tr w14:paraId="0A31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nil"/>
              <w:left w:val="single" w:color="000000" w:sz="4" w:space="0"/>
              <w:bottom w:val="nil"/>
              <w:right w:val="single" w:color="000000" w:sz="4" w:space="0"/>
            </w:tcBorders>
            <w:noWrap/>
            <w:tcMar>
              <w:top w:w="15" w:type="dxa"/>
              <w:left w:w="15" w:type="dxa"/>
              <w:right w:w="15" w:type="dxa"/>
            </w:tcMar>
            <w:vAlign w:val="bottom"/>
          </w:tcPr>
          <w:p w14:paraId="64412BB7">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4</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企业清算报告；</w:t>
            </w:r>
          </w:p>
        </w:tc>
      </w:tr>
      <w:tr w14:paraId="570C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9690" w:type="dxa"/>
            <w:gridSpan w:val="4"/>
            <w:tcBorders>
              <w:top w:val="nil"/>
              <w:left w:val="single" w:color="000000" w:sz="4" w:space="0"/>
              <w:bottom w:val="single" w:color="auto" w:sz="4" w:space="0"/>
              <w:right w:val="single" w:color="000000" w:sz="4" w:space="0"/>
            </w:tcBorders>
            <w:noWrap/>
            <w:tcMar>
              <w:top w:w="15" w:type="dxa"/>
              <w:left w:w="15" w:type="dxa"/>
              <w:right w:w="15" w:type="dxa"/>
            </w:tcMar>
            <w:vAlign w:val="bottom"/>
          </w:tcPr>
          <w:p w14:paraId="50416F2D">
            <w:pPr>
              <w:keepNext w:val="0"/>
              <w:keepLines w:val="0"/>
              <w:pageBreakBefore w:val="0"/>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val="en-US" w:eastAsia="zh-CN"/>
              </w:rPr>
              <w:t>5</w:t>
            </w:r>
            <w:r>
              <w:rPr>
                <w:rFonts w:hint="eastAsia" w:eastAsia="宋体" w:cs="Times New Roman"/>
                <w:color w:val="auto"/>
                <w:sz w:val="21"/>
                <w:szCs w:val="24"/>
                <w:highlight w:val="none"/>
                <w:lang w:val="en-US" w:eastAsia="zh-CN"/>
              </w:rPr>
              <w:t>.</w:t>
            </w:r>
            <w:r>
              <w:rPr>
                <w:rFonts w:hint="default" w:ascii="Times New Roman" w:hAnsi="Times New Roman" w:eastAsia="宋体" w:cs="Times New Roman"/>
                <w:color w:val="auto"/>
                <w:sz w:val="21"/>
                <w:szCs w:val="24"/>
                <w:highlight w:val="none"/>
                <w:lang w:val="en-US" w:eastAsia="zh-CN"/>
              </w:rPr>
              <w:t>其他资料</w:t>
            </w:r>
          </w:p>
        </w:tc>
      </w:tr>
      <w:tr w14:paraId="6C5A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trPr>
        <w:tc>
          <w:tcPr>
            <w:tcW w:w="969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14:paraId="4F6745E1">
            <w:pPr>
              <w:keepNext w:val="0"/>
              <w:keepLines w:val="0"/>
              <w:pageBreakBefore w:val="0"/>
              <w:widowControl w:val="0"/>
              <w:kinsoku/>
              <w:wordWrap/>
              <w:overflowPunct/>
              <w:topLinePunct w:val="0"/>
              <w:autoSpaceDE/>
              <w:autoSpaceDN/>
              <w:bidi w:val="0"/>
              <w:adjustRightInd/>
              <w:snapToGrid/>
              <w:spacing w:after="0" w:afterAutospacing="0" w:line="240" w:lineRule="auto"/>
              <w:jc w:val="both"/>
              <w:textAlignment w:val="auto"/>
              <w:rPr>
                <w:rFonts w:hint="default" w:ascii="Times New Roman" w:hAnsi="Times New Roman" w:eastAsia="宋体" w:cs="Times New Roman"/>
                <w:color w:val="auto"/>
                <w:sz w:val="21"/>
                <w:szCs w:val="24"/>
                <w:highlight w:val="none"/>
                <w:lang w:val="en-US" w:eastAsia="zh-CN"/>
              </w:rPr>
            </w:pPr>
          </w:p>
          <w:p w14:paraId="3C32B1BE">
            <w:pPr>
              <w:keepNext w:val="0"/>
              <w:keepLines w:val="0"/>
              <w:pageBreakBefore w:val="0"/>
              <w:widowControl w:val="0"/>
              <w:kinsoku/>
              <w:wordWrap/>
              <w:overflowPunct/>
              <w:topLinePunct w:val="0"/>
              <w:autoSpaceDE/>
              <w:autoSpaceDN/>
              <w:bidi w:val="0"/>
              <w:adjustRightInd/>
              <w:snapToGrid/>
              <w:spacing w:after="0" w:afterAutospacing="0" w:line="240" w:lineRule="auto"/>
              <w:jc w:val="both"/>
              <w:textAlignment w:val="auto"/>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清算人或管理人代表（签章）：</w:t>
            </w:r>
            <w:r>
              <w:rPr>
                <w:rFonts w:hint="eastAsia" w:eastAsia="宋体" w:cs="Times New Roman"/>
                <w:color w:val="auto"/>
                <w:sz w:val="21"/>
                <w:szCs w:val="24"/>
                <w:highlight w:val="none"/>
                <w:lang w:val="en-US" w:eastAsia="zh-CN"/>
              </w:rPr>
              <w:t xml:space="preserve">                           </w:t>
            </w:r>
          </w:p>
          <w:p w14:paraId="01C40A1E">
            <w:pPr>
              <w:widowControl w:val="0"/>
              <w:ind w:firstLine="420"/>
              <w:jc w:val="both"/>
              <w:rPr>
                <w:rFonts w:hint="default" w:ascii="Times New Roman" w:hAnsi="Times New Roman" w:eastAsia="宋体" w:cs="Times New Roman"/>
                <w:kern w:val="2"/>
                <w:sz w:val="21"/>
                <w:szCs w:val="24"/>
                <w:lang w:val="en-US" w:eastAsia="zh-CN" w:bidi="ar-SA"/>
              </w:rPr>
            </w:pPr>
          </w:p>
          <w:p w14:paraId="28D4E2C3">
            <w:pPr>
              <w:keepNext w:val="0"/>
              <w:keepLines w:val="0"/>
              <w:pageBreakBefore w:val="0"/>
              <w:widowControl w:val="0"/>
              <w:kinsoku/>
              <w:wordWrap/>
              <w:overflowPunct/>
              <w:topLinePunct w:val="0"/>
              <w:autoSpaceDE/>
              <w:autoSpaceDN/>
              <w:bidi w:val="0"/>
              <w:adjustRightInd/>
              <w:snapToGrid/>
              <w:spacing w:after="0" w:afterAutospacing="0" w:line="240" w:lineRule="auto"/>
              <w:ind w:firstLine="630" w:firstLineChars="300"/>
              <w:jc w:val="both"/>
              <w:textAlignment w:val="auto"/>
              <w:rPr>
                <w:rFonts w:hint="default" w:ascii="Times New Roman" w:hAnsi="Times New Roman" w:eastAsia="宋体" w:cs="Times New Roman"/>
                <w:color w:val="auto"/>
                <w:sz w:val="21"/>
                <w:szCs w:val="24"/>
                <w:highlight w:val="none"/>
                <w:lang w:eastAsia="zh-CN"/>
              </w:rPr>
            </w:pPr>
            <w:r>
              <w:rPr>
                <w:rFonts w:hint="eastAsia" w:eastAsia="宋体" w:cs="Times New Roman"/>
                <w:color w:val="auto"/>
                <w:sz w:val="21"/>
                <w:szCs w:val="24"/>
                <w:highlight w:val="none"/>
                <w:lang w:val="en-US" w:eastAsia="zh-CN"/>
              </w:rPr>
              <w:t xml:space="preserve">          </w:t>
            </w:r>
            <w:r>
              <w:rPr>
                <w:rFonts w:hint="default" w:ascii="Times New Roman" w:hAnsi="Times New Roman" w:eastAsia="宋体" w:cs="Times New Roman"/>
                <w:color w:val="auto"/>
                <w:sz w:val="21"/>
                <w:szCs w:val="24"/>
                <w:highlight w:val="none"/>
                <w:lang w:val="en-US" w:eastAsia="zh-CN"/>
              </w:rPr>
              <w:t>（代公章）                          监管部门（章）：</w:t>
            </w:r>
          </w:p>
        </w:tc>
      </w:tr>
    </w:tbl>
    <w:p w14:paraId="6BBCF2E5">
      <w:pPr>
        <w:pStyle w:val="2"/>
      </w:pPr>
    </w:p>
    <w:p w14:paraId="1CD89BF9">
      <w:pPr>
        <w:pStyle w:val="2"/>
      </w:pPr>
    </w:p>
    <w:sectPr>
      <w:headerReference r:id="rId3" w:type="default"/>
      <w:footerReference r:id="rId4" w:type="default"/>
      <w:pgSz w:w="11906" w:h="16838"/>
      <w:pgMar w:top="1962" w:right="1474" w:bottom="1848" w:left="1587" w:header="567"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AC1E">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64BA1A">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4MhO6gEAALcDAAAOAAAAZHJzL2Uyb0RvYy54bWytU82O0zAQ&#10;viPxDpbvNGlF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P7g&#10;yE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p w14:paraId="744DFB8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022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11" name="直接连接符 1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qsbuYPQBAAC/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kVJZYZvPG7&#10;j99+fPj88/snHO++fiGYQZkGDzVWX9ldmGbgdyFxPspg0h/ZkGNDz6uzs9UCBT41dLU8X72cVBbH&#10;SDjmF8t5iQWUcCzIueIBwweIr4QzJAUN1comAVjNDq8hYl8s/V2Slq27VlrnS9SWDA2d45egGTpT&#10;oiMwNB7Zge0oYbpDy/MYMiQ4rdq0PQFB6PZXOpADS0YpF9XFPJHGdn+Vpd5bBv1Yl1OjhYyK+Cq0&#10;Msi5TN+0W1sESdKNYqVo79pT1jCv473mNpMHk3H+nOfdD+9u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R0DW1QAAAAkBAAAPAAAAAAAAAAEAIAAAACIAAABkcnMvZG93bnJldi54bWxQSwECFAAU&#10;AAAACACHTuJAqsbuYPQBAAC/AwAADgAAAAAAAAABACAAAAAkAQAAZHJzL2Uyb0RvYy54bWxQSwUG&#10;AAAAAAYABgBZAQAAigUAAAAA&#10;">
              <v:fill on="f" focussize="0,0"/>
              <v:stroke weight="1.75pt" color="#005192 [3204]" miterlimit="8" joinstyle="miter"/>
              <v:imagedata o:title=""/>
              <o:lock v:ext="edit" aspectratio="f"/>
            </v:line>
          </w:pict>
        </mc:Fallback>
      </mc:AlternateContent>
    </w:r>
  </w:p>
  <w:p w14:paraId="7FC35CE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9700E"/>
    <w:rsid w:val="18D9700E"/>
    <w:rsid w:val="5045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17</Pages>
  <Words>5479</Words>
  <Characters>5552</Characters>
  <Lines>0</Lines>
  <Paragraphs>0</Paragraphs>
  <TotalTime>2</TotalTime>
  <ScaleCrop>false</ScaleCrop>
  <LinksUpToDate>false</LinksUpToDate>
  <CharactersWithSpaces>5826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2025-04-30T07:28:00Z</dcterms:created>
  <dc:creator>Administrator</dc:creator>
  <cp:lastModifiedBy>Administrator</cp:lastModifiedBy>
  <dcterms:modified xsi:type="dcterms:W3CDTF">2025-04-30T07:57:22Z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277C2B9CFF944FD49BC61D95F97B2253_11</vt:lpwstr>
  </property>
</Properties>
</file>