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E3C0F">
      <w:pPr>
        <w:tabs>
          <w:tab w:val="left" w:pos="3892"/>
        </w:tabs>
        <w:spacing w:line="580" w:lineRule="exact"/>
        <w:jc w:val="left"/>
        <w:rPr>
          <w:rFonts w:hint="eastAsia" w:ascii="方正仿宋_GBK" w:hAnsi="方正仿宋_GBK" w:eastAsia="方正仿宋_GBK" w:cs="方正仿宋_GBK"/>
          <w:color w:val="auto"/>
          <w:sz w:val="28"/>
          <w:szCs w:val="28"/>
          <w:lang w:eastAsia="zh-CN"/>
        </w:rPr>
      </w:pPr>
      <w:bookmarkStart w:id="525" w:name="_GoBack"/>
      <w:bookmarkEnd w:id="525"/>
      <w:r>
        <w:rPr>
          <w:rFonts w:hint="eastAsia" w:ascii="方正仿宋_GBK" w:hAnsi="方正仿宋_GBK" w:eastAsia="方正仿宋_GBK" w:cs="方正仿宋_GBK"/>
          <w:color w:val="auto"/>
          <w:sz w:val="28"/>
          <w:szCs w:val="28"/>
          <w:lang w:eastAsia="zh-CN"/>
        </w:rPr>
        <w:t>附件：</w:t>
      </w:r>
    </w:p>
    <w:p w14:paraId="6D2E1AD2">
      <w:pPr>
        <w:tabs>
          <w:tab w:val="left" w:pos="3892"/>
        </w:tabs>
        <w:spacing w:line="580" w:lineRule="exact"/>
        <w:jc w:val="center"/>
        <w:rPr>
          <w:rFonts w:hint="eastAsia" w:ascii="宋体" w:hAnsi="宋体" w:eastAsia="方正小标宋_GBK" w:cs="方正小标宋_GBK"/>
          <w:color w:val="auto"/>
          <w:sz w:val="52"/>
          <w:szCs w:val="52"/>
        </w:rPr>
      </w:pPr>
    </w:p>
    <w:p w14:paraId="000E3459">
      <w:pPr>
        <w:tabs>
          <w:tab w:val="left" w:pos="3892"/>
        </w:tabs>
        <w:spacing w:line="580" w:lineRule="exact"/>
        <w:jc w:val="center"/>
        <w:rPr>
          <w:rFonts w:ascii="宋体" w:hAnsi="宋体" w:eastAsia="微软雅黑" w:cs="微软雅黑"/>
          <w:b/>
          <w:bCs/>
          <w:color w:val="auto"/>
          <w:sz w:val="52"/>
          <w:szCs w:val="52"/>
          <w:lang w:val="en-US"/>
        </w:rPr>
      </w:pPr>
      <w:r>
        <w:rPr>
          <w:rFonts w:hint="eastAsia" w:ascii="宋体" w:hAnsi="宋体" w:eastAsia="方正小标宋_GBK" w:cs="方正小标宋_GBK"/>
          <w:color w:val="auto"/>
          <w:sz w:val="52"/>
          <w:szCs w:val="52"/>
        </w:rPr>
        <w:t>德宏州食品安全“十四五”规划</w:t>
      </w:r>
    </w:p>
    <w:p w14:paraId="5419F2F2">
      <w:pPr>
        <w:pStyle w:val="6"/>
        <w:spacing w:line="580" w:lineRule="exact"/>
        <w:ind w:right="258" w:firstLine="200"/>
        <w:jc w:val="center"/>
        <w:rPr>
          <w:rFonts w:ascii="宋体" w:hAnsi="宋体" w:eastAsia="方正楷体_GBK" w:cs="方正楷体_GBK"/>
          <w:bCs/>
          <w:color w:val="auto"/>
          <w:spacing w:val="19"/>
          <w:sz w:val="48"/>
          <w:szCs w:val="48"/>
          <w:lang w:val="en-US"/>
        </w:rPr>
      </w:pPr>
    </w:p>
    <w:p w14:paraId="172D19DB">
      <w:pPr>
        <w:pStyle w:val="6"/>
        <w:spacing w:line="580" w:lineRule="exact"/>
        <w:ind w:right="258" w:firstLine="200"/>
        <w:jc w:val="center"/>
        <w:rPr>
          <w:rFonts w:ascii="宋体" w:hAnsi="宋体" w:eastAsia="方正楷体_GBK" w:cs="方正楷体_GBK"/>
          <w:bCs/>
          <w:color w:val="auto"/>
          <w:spacing w:val="19"/>
          <w:sz w:val="48"/>
          <w:szCs w:val="48"/>
          <w:lang w:val="en-US"/>
        </w:rPr>
      </w:pPr>
    </w:p>
    <w:p w14:paraId="4BE3031E">
      <w:pPr>
        <w:pStyle w:val="6"/>
        <w:spacing w:line="580" w:lineRule="exact"/>
        <w:ind w:right="258" w:firstLine="200"/>
        <w:jc w:val="center"/>
        <w:rPr>
          <w:rFonts w:ascii="宋体" w:hAnsi="宋体" w:eastAsia="方正楷体_GBK" w:cs="方正楷体_GBK"/>
          <w:bCs/>
          <w:color w:val="auto"/>
          <w:spacing w:val="19"/>
          <w:sz w:val="48"/>
          <w:szCs w:val="48"/>
          <w:lang w:val="en-US"/>
        </w:rPr>
      </w:pPr>
      <w:r>
        <w:rPr>
          <w:rFonts w:hint="eastAsia" w:ascii="宋体" w:hAnsi="宋体" w:eastAsia="方正楷体_GBK" w:cs="方正楷体_GBK"/>
          <w:bCs/>
          <w:color w:val="auto"/>
          <w:spacing w:val="19"/>
          <w:sz w:val="48"/>
          <w:szCs w:val="48"/>
          <w:lang w:val="en-US"/>
        </w:rPr>
        <w:t>（征求意见稿）</w:t>
      </w:r>
    </w:p>
    <w:p w14:paraId="6F5296AD">
      <w:pPr>
        <w:pStyle w:val="9"/>
        <w:spacing w:line="580" w:lineRule="exact"/>
        <w:ind w:firstLine="880" w:firstLineChars="400"/>
        <w:jc w:val="both"/>
        <w:rPr>
          <w:rFonts w:ascii="宋体" w:hAnsi="宋体" w:eastAsia="仿宋"/>
          <w:color w:val="auto"/>
          <w:lang w:val="en-US"/>
        </w:rPr>
      </w:pPr>
    </w:p>
    <w:p w14:paraId="7A1C171E">
      <w:pPr>
        <w:spacing w:line="580" w:lineRule="exact"/>
        <w:jc w:val="both"/>
        <w:rPr>
          <w:rFonts w:ascii="宋体" w:hAnsi="宋体" w:eastAsia="仿宋" w:cs="方正小标宋_GBK"/>
          <w:color w:val="auto"/>
          <w:sz w:val="32"/>
          <w:szCs w:val="32"/>
        </w:rPr>
      </w:pPr>
    </w:p>
    <w:p w14:paraId="6907F02B">
      <w:pPr>
        <w:spacing w:line="580" w:lineRule="exact"/>
        <w:ind w:firstLine="640" w:firstLineChars="200"/>
        <w:jc w:val="both"/>
        <w:rPr>
          <w:rFonts w:ascii="宋体" w:hAnsi="宋体" w:eastAsia="仿宋" w:cs="方正小标宋_GBK"/>
          <w:color w:val="auto"/>
          <w:sz w:val="32"/>
          <w:szCs w:val="32"/>
        </w:rPr>
      </w:pPr>
    </w:p>
    <w:p w14:paraId="0F1CC264">
      <w:pPr>
        <w:spacing w:line="580" w:lineRule="exact"/>
        <w:ind w:firstLine="640" w:firstLineChars="200"/>
        <w:jc w:val="both"/>
        <w:rPr>
          <w:rFonts w:ascii="宋体" w:hAnsi="宋体" w:eastAsia="仿宋" w:cs="方正小标宋_GBK"/>
          <w:color w:val="auto"/>
          <w:sz w:val="32"/>
          <w:szCs w:val="32"/>
        </w:rPr>
      </w:pPr>
    </w:p>
    <w:p w14:paraId="5892B0D7">
      <w:pPr>
        <w:spacing w:line="580" w:lineRule="exact"/>
        <w:ind w:firstLine="640" w:firstLineChars="200"/>
        <w:jc w:val="both"/>
        <w:rPr>
          <w:rFonts w:ascii="宋体" w:hAnsi="宋体" w:eastAsia="仿宋" w:cs="方正小标宋_GBK"/>
          <w:color w:val="auto"/>
          <w:sz w:val="32"/>
          <w:szCs w:val="32"/>
        </w:rPr>
      </w:pPr>
    </w:p>
    <w:p w14:paraId="5E358B23">
      <w:pPr>
        <w:pStyle w:val="9"/>
        <w:spacing w:line="580" w:lineRule="exact"/>
        <w:ind w:firstLine="200"/>
        <w:rPr>
          <w:rFonts w:ascii="宋体" w:hAnsi="宋体" w:eastAsia="仿宋"/>
          <w:color w:val="auto"/>
        </w:rPr>
      </w:pPr>
    </w:p>
    <w:p w14:paraId="77D8A540">
      <w:pPr>
        <w:spacing w:line="580" w:lineRule="exact"/>
        <w:ind w:firstLine="200"/>
        <w:rPr>
          <w:rFonts w:ascii="宋体" w:hAnsi="宋体" w:eastAsia="仿宋"/>
          <w:color w:val="auto"/>
        </w:rPr>
      </w:pPr>
    </w:p>
    <w:p w14:paraId="142C36A4">
      <w:pPr>
        <w:pStyle w:val="6"/>
        <w:spacing w:line="580" w:lineRule="exact"/>
        <w:ind w:firstLine="200"/>
        <w:rPr>
          <w:rFonts w:ascii="宋体" w:hAnsi="宋体" w:eastAsia="仿宋"/>
          <w:color w:val="auto"/>
        </w:rPr>
      </w:pPr>
    </w:p>
    <w:p w14:paraId="21FBE3D4">
      <w:pPr>
        <w:pStyle w:val="9"/>
        <w:spacing w:line="580" w:lineRule="exact"/>
        <w:rPr>
          <w:rFonts w:ascii="宋体" w:hAnsi="宋体" w:eastAsia="仿宋"/>
          <w:color w:val="auto"/>
        </w:rPr>
      </w:pPr>
    </w:p>
    <w:p w14:paraId="4BB9F842">
      <w:pPr>
        <w:spacing w:line="580" w:lineRule="exact"/>
        <w:rPr>
          <w:rFonts w:ascii="宋体" w:hAnsi="宋体" w:eastAsia="仿宋"/>
          <w:color w:val="auto"/>
        </w:rPr>
      </w:pPr>
    </w:p>
    <w:p w14:paraId="4B107345">
      <w:pPr>
        <w:pStyle w:val="13"/>
        <w:spacing w:after="0" w:line="580" w:lineRule="exact"/>
        <w:rPr>
          <w:rFonts w:ascii="宋体" w:hAnsi="宋体" w:eastAsia="仿宋"/>
          <w:color w:val="auto"/>
        </w:rPr>
      </w:pPr>
    </w:p>
    <w:p w14:paraId="4440DA09">
      <w:pPr>
        <w:pStyle w:val="13"/>
        <w:spacing w:after="0" w:line="580" w:lineRule="exact"/>
        <w:rPr>
          <w:rFonts w:ascii="宋体" w:hAnsi="宋体" w:eastAsia="仿宋"/>
          <w:color w:val="auto"/>
        </w:rPr>
      </w:pPr>
    </w:p>
    <w:p w14:paraId="0E5A4251">
      <w:pPr>
        <w:pStyle w:val="9"/>
        <w:spacing w:line="580" w:lineRule="exact"/>
        <w:ind w:left="0"/>
        <w:jc w:val="center"/>
        <w:rPr>
          <w:rFonts w:ascii="宋体" w:hAnsi="宋体" w:eastAsia="方正小标宋_GBK" w:cs="方正仿宋_GBK"/>
          <w:bCs/>
          <w:color w:val="auto"/>
          <w:sz w:val="44"/>
          <w:szCs w:val="44"/>
        </w:rPr>
      </w:pPr>
      <w:r>
        <w:rPr>
          <w:rFonts w:hint="eastAsia" w:ascii="宋体" w:hAnsi="宋体" w:eastAsia="方正小标宋_GBK" w:cs="方正仿宋_GBK"/>
          <w:bCs/>
          <w:color w:val="auto"/>
          <w:sz w:val="44"/>
          <w:szCs w:val="44"/>
        </w:rPr>
        <w:t>德宏州</w:t>
      </w:r>
      <w:r>
        <w:rPr>
          <w:rFonts w:hint="eastAsia" w:ascii="宋体" w:hAnsi="宋体" w:eastAsia="方正小标宋_GBK" w:cs="方正仿宋_GBK"/>
          <w:bCs/>
          <w:color w:val="auto"/>
          <w:sz w:val="44"/>
          <w:szCs w:val="44"/>
          <w:lang w:eastAsia="zh-CN"/>
        </w:rPr>
        <w:t>人民</w:t>
      </w:r>
      <w:r>
        <w:rPr>
          <w:rFonts w:hint="eastAsia" w:ascii="宋体" w:hAnsi="宋体" w:eastAsia="方正小标宋_GBK" w:cs="方正仿宋_GBK"/>
          <w:bCs/>
          <w:color w:val="auto"/>
          <w:sz w:val="44"/>
          <w:szCs w:val="44"/>
        </w:rPr>
        <w:t>政府食品安全</w:t>
      </w:r>
      <w:r>
        <w:rPr>
          <w:rFonts w:hint="eastAsia" w:ascii="宋体" w:hAnsi="宋体" w:eastAsia="方正小标宋_GBK" w:cs="方正仿宋_GBK"/>
          <w:bCs/>
          <w:color w:val="auto"/>
          <w:sz w:val="44"/>
          <w:szCs w:val="44"/>
          <w:lang w:eastAsia="zh-CN"/>
        </w:rPr>
        <w:t>委员会办公室</w:t>
      </w:r>
    </w:p>
    <w:p w14:paraId="3025E7F4">
      <w:pPr>
        <w:spacing w:line="580" w:lineRule="exact"/>
        <w:jc w:val="center"/>
        <w:rPr>
          <w:rFonts w:ascii="宋体" w:hAnsi="宋体" w:eastAsia="仿宋" w:cs="仿宋"/>
          <w:bCs/>
          <w:color w:val="auto"/>
          <w:sz w:val="44"/>
          <w:szCs w:val="44"/>
        </w:rPr>
      </w:pPr>
    </w:p>
    <w:p w14:paraId="3E4E590B">
      <w:pPr>
        <w:pStyle w:val="13"/>
        <w:spacing w:after="0" w:line="580" w:lineRule="exact"/>
        <w:jc w:val="center"/>
        <w:rPr>
          <w:rFonts w:ascii="宋体" w:hAnsi="宋体" w:eastAsia="方正仿宋_GBK" w:cs="方正仿宋_GBK"/>
          <w:bCs/>
          <w:color w:val="auto"/>
          <w:sz w:val="44"/>
          <w:szCs w:val="44"/>
          <w:lang w:val="en-US"/>
        </w:rPr>
        <w:sectPr>
          <w:footerReference r:id="rId4" w:type="first"/>
          <w:footerReference r:id="rId3" w:type="default"/>
          <w:pgSz w:w="11910" w:h="16840"/>
          <w:pgMar w:top="1582" w:right="1298" w:bottom="1882" w:left="1304" w:header="0" w:footer="1678" w:gutter="0"/>
          <w:pgNumType w:fmt="upperRoman" w:start="1"/>
          <w:cols w:space="720" w:num="1"/>
          <w:titlePg/>
          <w:docGrid w:linePitch="299" w:charSpace="0"/>
        </w:sectPr>
      </w:pPr>
      <w:r>
        <w:rPr>
          <w:rFonts w:hint="eastAsia" w:ascii="宋体" w:hAnsi="宋体" w:eastAsia="方正仿宋_GBK" w:cs="方正仿宋_GBK"/>
          <w:bCs/>
          <w:color w:val="auto"/>
          <w:sz w:val="44"/>
          <w:szCs w:val="44"/>
          <w:lang w:val="en-US"/>
        </w:rPr>
        <w:t>2021年</w:t>
      </w:r>
      <w:r>
        <w:rPr>
          <w:rFonts w:hint="eastAsia" w:ascii="宋体" w:hAnsi="宋体" w:eastAsia="方正仿宋_GBK" w:cs="方正仿宋_GBK"/>
          <w:bCs/>
          <w:color w:val="auto"/>
          <w:sz w:val="44"/>
          <w:szCs w:val="44"/>
          <w:lang w:val="en-US" w:eastAsia="zh-CN"/>
        </w:rPr>
        <w:t>9</w:t>
      </w:r>
      <w:r>
        <w:rPr>
          <w:rFonts w:hint="eastAsia" w:ascii="宋体" w:hAnsi="宋体" w:eastAsia="方正仿宋_GBK" w:cs="方正仿宋_GBK"/>
          <w:bCs/>
          <w:color w:val="auto"/>
          <w:sz w:val="44"/>
          <w:szCs w:val="44"/>
          <w:lang w:val="en-US"/>
        </w:rPr>
        <w:t>月</w:t>
      </w:r>
    </w:p>
    <w:p w14:paraId="7E44BD53">
      <w:pPr>
        <w:snapToGrid w:val="0"/>
        <w:spacing w:line="580" w:lineRule="exact"/>
        <w:jc w:val="center"/>
        <w:rPr>
          <w:rFonts w:ascii="Times New Roman" w:hAnsi="Times New Roman" w:eastAsia="方正小标宋_GBK"/>
          <w:color w:val="auto"/>
          <w:sz w:val="44"/>
          <w:szCs w:val="44"/>
        </w:rPr>
      </w:pPr>
      <w:r>
        <w:rPr>
          <w:rFonts w:ascii="Times New Roman" w:hAnsi="Times New Roman" w:eastAsia="方正小标宋_GBK"/>
          <w:color w:val="auto"/>
          <w:sz w:val="44"/>
          <w:szCs w:val="44"/>
        </w:rPr>
        <w:t>目    录</w:t>
      </w:r>
    </w:p>
    <w:p w14:paraId="53AE7FC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黑体"/>
          <w:color w:val="auto"/>
          <w:sz w:val="32"/>
        </w:rPr>
      </w:pPr>
      <w:r>
        <w:rPr>
          <w:rFonts w:ascii="Times New Roman" w:hAnsi="Times New Roman" w:eastAsia="黑体"/>
          <w:color w:val="auto"/>
          <w:sz w:val="32"/>
        </w:rPr>
        <w:t>前言</w:t>
      </w:r>
    </w:p>
    <w:p w14:paraId="6F89F6A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黑体"/>
          <w:color w:val="auto"/>
          <w:sz w:val="32"/>
        </w:rPr>
      </w:pPr>
    </w:p>
    <w:p w14:paraId="7CA5B1C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黑体"/>
          <w:color w:val="auto"/>
          <w:sz w:val="32"/>
        </w:rPr>
      </w:pPr>
      <w:r>
        <w:rPr>
          <w:rFonts w:ascii="Times New Roman" w:hAnsi="Times New Roman" w:eastAsia="黑体"/>
          <w:color w:val="auto"/>
          <w:sz w:val="32"/>
        </w:rPr>
        <w:t xml:space="preserve">第一章  </w:t>
      </w:r>
      <w:r>
        <w:rPr>
          <w:rFonts w:hint="eastAsia" w:ascii="Times New Roman" w:hAnsi="Times New Roman" w:eastAsia="黑体"/>
          <w:color w:val="auto"/>
          <w:sz w:val="32"/>
        </w:rPr>
        <w:t>发展现状与</w:t>
      </w:r>
      <w:r>
        <w:rPr>
          <w:rFonts w:ascii="Times New Roman" w:hAnsi="Times New Roman" w:eastAsia="黑体"/>
          <w:color w:val="auto"/>
          <w:sz w:val="32"/>
        </w:rPr>
        <w:t>形势</w:t>
      </w:r>
    </w:p>
    <w:p w14:paraId="235D4BE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楷体_GB2312"/>
          <w:color w:val="auto"/>
          <w:sz w:val="32"/>
        </w:rPr>
      </w:pPr>
      <w:r>
        <w:rPr>
          <w:rFonts w:ascii="Times New Roman" w:hAnsi="Times New Roman" w:eastAsia="仿宋_GB2312"/>
          <w:color w:val="auto"/>
          <w:sz w:val="32"/>
        </w:rPr>
        <w:t xml:space="preserve">   </w:t>
      </w:r>
      <w:r>
        <w:rPr>
          <w:rFonts w:ascii="Times New Roman" w:hAnsi="Times New Roman" w:eastAsia="楷体_GB2312"/>
          <w:color w:val="auto"/>
          <w:sz w:val="32"/>
        </w:rPr>
        <w:t xml:space="preserve"> 第一节  </w:t>
      </w:r>
      <w:r>
        <w:rPr>
          <w:rFonts w:hint="eastAsia" w:ascii="Times New Roman" w:hAnsi="Times New Roman" w:eastAsia="楷体_GB2312"/>
          <w:color w:val="auto"/>
          <w:sz w:val="32"/>
          <w:lang w:eastAsia="zh-CN"/>
        </w:rPr>
        <w:t>“</w:t>
      </w:r>
      <w:r>
        <w:rPr>
          <w:rFonts w:ascii="Times New Roman" w:hAnsi="Times New Roman" w:eastAsia="楷体_GB2312"/>
          <w:color w:val="auto"/>
          <w:sz w:val="32"/>
        </w:rPr>
        <w:t>十</w:t>
      </w:r>
      <w:r>
        <w:rPr>
          <w:rFonts w:hint="eastAsia" w:ascii="Times New Roman" w:hAnsi="Times New Roman" w:eastAsia="楷体_GB2312"/>
          <w:color w:val="auto"/>
          <w:sz w:val="32"/>
        </w:rPr>
        <w:t>三</w:t>
      </w:r>
      <w:r>
        <w:rPr>
          <w:rFonts w:ascii="Times New Roman" w:hAnsi="Times New Roman" w:eastAsia="楷体_GB2312"/>
          <w:color w:val="auto"/>
          <w:sz w:val="32"/>
        </w:rPr>
        <w:t>五</w:t>
      </w:r>
      <w:r>
        <w:rPr>
          <w:rFonts w:hint="eastAsia" w:ascii="Times New Roman" w:hAnsi="Times New Roman" w:eastAsia="楷体_GB2312"/>
          <w:color w:val="auto"/>
          <w:sz w:val="32"/>
          <w:lang w:eastAsia="zh-CN"/>
        </w:rPr>
        <w:t>”</w:t>
      </w:r>
      <w:r>
        <w:rPr>
          <w:rFonts w:ascii="Times New Roman" w:hAnsi="Times New Roman" w:eastAsia="楷体_GB2312"/>
          <w:color w:val="auto"/>
          <w:sz w:val="32"/>
        </w:rPr>
        <w:t>回顾</w:t>
      </w:r>
    </w:p>
    <w:p w14:paraId="5BA79F3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仿宋_GB2312"/>
          <w:color w:val="auto"/>
          <w:sz w:val="32"/>
        </w:rPr>
      </w:pPr>
      <w:r>
        <w:rPr>
          <w:rFonts w:ascii="Times New Roman" w:hAnsi="Times New Roman" w:eastAsia="黑体"/>
          <w:color w:val="auto"/>
          <w:sz w:val="32"/>
        </w:rPr>
        <w:t xml:space="preserve">       </w:t>
      </w:r>
      <w:r>
        <w:rPr>
          <w:rFonts w:ascii="Times New Roman" w:hAnsi="Times New Roman" w:eastAsia="仿宋_GB2312"/>
          <w:color w:val="auto"/>
          <w:sz w:val="32"/>
        </w:rPr>
        <w:t xml:space="preserve"> 一、</w:t>
      </w:r>
      <w:r>
        <w:rPr>
          <w:rFonts w:hint="eastAsia" w:ascii="Times New Roman" w:hAnsi="Times New Roman" w:eastAsia="仿宋_GB2312"/>
          <w:color w:val="auto"/>
          <w:sz w:val="32"/>
        </w:rPr>
        <w:t>食品产业稳步发展</w:t>
      </w:r>
    </w:p>
    <w:p w14:paraId="0AFDF10B">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ascii="Times New Roman" w:hAnsi="Times New Roman" w:eastAsia="仿宋_GB2312"/>
          <w:color w:val="auto"/>
          <w:sz w:val="32"/>
        </w:rPr>
      </w:pPr>
      <w:r>
        <w:rPr>
          <w:rFonts w:hint="eastAsia" w:ascii="Times New Roman" w:hAnsi="Times New Roman" w:eastAsia="仿宋_GB2312"/>
          <w:color w:val="auto"/>
          <w:sz w:val="32"/>
        </w:rPr>
        <w:t>监管体制建设不断完善</w:t>
      </w:r>
    </w:p>
    <w:p w14:paraId="7F4C4502">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ascii="Times New Roman" w:hAnsi="Times New Roman" w:eastAsia="仿宋_GB2312"/>
          <w:color w:val="auto"/>
          <w:sz w:val="32"/>
        </w:rPr>
      </w:pPr>
      <w:r>
        <w:rPr>
          <w:rFonts w:ascii="Times New Roman" w:hAnsi="Times New Roman" w:eastAsia="仿宋_GB2312"/>
          <w:color w:val="auto"/>
          <w:sz w:val="32"/>
        </w:rPr>
        <w:t>监管</w:t>
      </w:r>
      <w:r>
        <w:rPr>
          <w:rFonts w:hint="eastAsia" w:ascii="Times New Roman" w:hAnsi="Times New Roman" w:eastAsia="仿宋_GB2312"/>
          <w:color w:val="auto"/>
          <w:sz w:val="32"/>
        </w:rPr>
        <w:t>服务</w:t>
      </w:r>
      <w:r>
        <w:rPr>
          <w:rFonts w:ascii="Times New Roman" w:hAnsi="Times New Roman" w:eastAsia="仿宋_GB2312"/>
          <w:color w:val="auto"/>
          <w:sz w:val="32"/>
        </w:rPr>
        <w:t>能力</w:t>
      </w:r>
      <w:r>
        <w:rPr>
          <w:rFonts w:hint="eastAsia" w:ascii="Times New Roman" w:hAnsi="Times New Roman" w:eastAsia="仿宋_GB2312"/>
          <w:color w:val="auto"/>
          <w:sz w:val="32"/>
        </w:rPr>
        <w:t>有新</w:t>
      </w:r>
      <w:r>
        <w:rPr>
          <w:rFonts w:ascii="Times New Roman" w:hAnsi="Times New Roman" w:eastAsia="仿宋_GB2312"/>
          <w:color w:val="auto"/>
          <w:sz w:val="32"/>
        </w:rPr>
        <w:t>提升</w:t>
      </w:r>
    </w:p>
    <w:p w14:paraId="087411FC">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ascii="Times New Roman" w:hAnsi="Times New Roman" w:eastAsia="仿宋_GB2312"/>
          <w:color w:val="auto"/>
          <w:sz w:val="32"/>
        </w:rPr>
      </w:pPr>
      <w:r>
        <w:rPr>
          <w:rFonts w:ascii="Times New Roman" w:hAnsi="Times New Roman" w:eastAsia="仿宋_GB2312"/>
          <w:color w:val="auto"/>
          <w:sz w:val="32"/>
        </w:rPr>
        <w:t>监管</w:t>
      </w:r>
      <w:r>
        <w:rPr>
          <w:rFonts w:hint="eastAsia" w:ascii="Times New Roman" w:hAnsi="Times New Roman" w:eastAsia="仿宋_GB2312"/>
          <w:color w:val="auto"/>
          <w:sz w:val="32"/>
        </w:rPr>
        <w:t>执法</w:t>
      </w:r>
      <w:r>
        <w:rPr>
          <w:rFonts w:ascii="Times New Roman" w:hAnsi="Times New Roman" w:eastAsia="仿宋_GB2312"/>
          <w:color w:val="auto"/>
          <w:sz w:val="32"/>
        </w:rPr>
        <w:t>力度持续加大</w:t>
      </w:r>
    </w:p>
    <w:p w14:paraId="30310B1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ascii="Times New Roman" w:hAnsi="Times New Roman" w:eastAsia="仿宋_GB2312"/>
          <w:color w:val="auto"/>
          <w:sz w:val="32"/>
        </w:rPr>
      </w:pPr>
      <w:r>
        <w:rPr>
          <w:rFonts w:ascii="Times New Roman" w:hAnsi="Times New Roman" w:eastAsia="仿宋_GB2312"/>
          <w:color w:val="auto"/>
          <w:sz w:val="32"/>
        </w:rPr>
        <w:t>五、</w:t>
      </w:r>
      <w:r>
        <w:rPr>
          <w:rFonts w:hint="eastAsia" w:ascii="Times New Roman" w:hAnsi="Times New Roman" w:eastAsia="仿宋_GB2312"/>
          <w:color w:val="auto"/>
          <w:sz w:val="32"/>
        </w:rPr>
        <w:t>技术支撑保障能力大幅提升</w:t>
      </w:r>
    </w:p>
    <w:p w14:paraId="5FC92FB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六、社会共治基础更加牢固</w:t>
      </w:r>
    </w:p>
    <w:p w14:paraId="1130A9F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楷体_GB2312"/>
          <w:color w:val="auto"/>
          <w:sz w:val="32"/>
        </w:rPr>
      </w:pPr>
      <w:r>
        <w:rPr>
          <w:rFonts w:ascii="Times New Roman" w:hAnsi="Times New Roman" w:eastAsia="黑体"/>
          <w:color w:val="auto"/>
          <w:sz w:val="32"/>
          <w:szCs w:val="32"/>
        </w:rPr>
        <w:t xml:space="preserve">   </w:t>
      </w:r>
      <w:r>
        <w:rPr>
          <w:rFonts w:ascii="Times New Roman" w:hAnsi="Times New Roman" w:eastAsia="楷体_GB2312"/>
          <w:color w:val="auto"/>
          <w:sz w:val="32"/>
        </w:rPr>
        <w:t xml:space="preserve">第二节  </w:t>
      </w:r>
      <w:r>
        <w:rPr>
          <w:rFonts w:hint="eastAsia" w:ascii="Times New Roman" w:hAnsi="Times New Roman" w:eastAsia="楷体_GB2312"/>
          <w:color w:val="auto"/>
          <w:sz w:val="32"/>
          <w:lang w:eastAsia="zh-CN"/>
        </w:rPr>
        <w:t>“</w:t>
      </w:r>
      <w:r>
        <w:rPr>
          <w:rFonts w:ascii="Times New Roman" w:hAnsi="Times New Roman" w:eastAsia="楷体_GB2312"/>
          <w:color w:val="auto"/>
          <w:sz w:val="32"/>
        </w:rPr>
        <w:t>十</w:t>
      </w:r>
      <w:r>
        <w:rPr>
          <w:rFonts w:hint="eastAsia" w:ascii="Times New Roman" w:hAnsi="Times New Roman" w:eastAsia="楷体_GB2312"/>
          <w:color w:val="auto"/>
          <w:sz w:val="32"/>
        </w:rPr>
        <w:t>四</w:t>
      </w:r>
      <w:r>
        <w:rPr>
          <w:rFonts w:ascii="Times New Roman" w:hAnsi="Times New Roman" w:eastAsia="楷体_GB2312"/>
          <w:color w:val="auto"/>
          <w:sz w:val="32"/>
        </w:rPr>
        <w:t>五</w:t>
      </w:r>
      <w:r>
        <w:rPr>
          <w:rFonts w:hint="eastAsia" w:ascii="Times New Roman" w:hAnsi="Times New Roman" w:eastAsia="楷体_GB2312"/>
          <w:color w:val="auto"/>
          <w:sz w:val="32"/>
          <w:lang w:eastAsia="zh-CN"/>
        </w:rPr>
        <w:t>”</w:t>
      </w:r>
      <w:r>
        <w:rPr>
          <w:rFonts w:ascii="Times New Roman" w:hAnsi="Times New Roman" w:eastAsia="楷体_GB2312"/>
          <w:color w:val="auto"/>
          <w:sz w:val="32"/>
        </w:rPr>
        <w:t>面临</w:t>
      </w:r>
      <w:r>
        <w:rPr>
          <w:rFonts w:hint="eastAsia" w:ascii="Times New Roman" w:hAnsi="Times New Roman" w:eastAsia="楷体_GB2312"/>
          <w:color w:val="auto"/>
          <w:sz w:val="32"/>
        </w:rPr>
        <w:t>的</w:t>
      </w:r>
      <w:r>
        <w:rPr>
          <w:rFonts w:ascii="Times New Roman" w:hAnsi="Times New Roman" w:eastAsia="楷体_GB2312"/>
          <w:color w:val="auto"/>
          <w:sz w:val="32"/>
        </w:rPr>
        <w:t>形势</w:t>
      </w:r>
    </w:p>
    <w:p w14:paraId="2E97EE9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一、顶层设计为食品安全工作指明了方向</w:t>
      </w:r>
    </w:p>
    <w:p w14:paraId="6E1BB5C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二、国家发展战略为食品安全治理提供了历史机遇</w:t>
      </w:r>
    </w:p>
    <w:p w14:paraId="7BE432C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w:t>
      </w:r>
      <w:r>
        <w:rPr>
          <w:rFonts w:hint="eastAsia" w:ascii="Times New Roman" w:hAnsi="Times New Roman" w:eastAsia="仿宋_GB2312"/>
          <w:color w:val="auto"/>
          <w:spacing w:val="-6"/>
          <w:sz w:val="32"/>
          <w:lang w:val="en-US"/>
        </w:rPr>
        <w:t>信息科技发展进步为食品安全监管提供了有力支撑</w:t>
      </w:r>
    </w:p>
    <w:p w14:paraId="194A477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四、</w:t>
      </w:r>
      <w:r>
        <w:rPr>
          <w:rFonts w:hint="eastAsia" w:ascii="Times New Roman" w:hAnsi="Times New Roman" w:eastAsia="仿宋_GB2312"/>
          <w:color w:val="auto"/>
          <w:spacing w:val="-6"/>
          <w:sz w:val="32"/>
          <w:lang w:val="en-US"/>
        </w:rPr>
        <w:t>公众安全意识提升为食品安全共治共享营造了氛围</w:t>
      </w:r>
    </w:p>
    <w:p w14:paraId="74B8C5B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五、德宏产业发展战略为食品安全工作提供了新动力</w:t>
      </w:r>
    </w:p>
    <w:p w14:paraId="5AB0F1C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黑体"/>
          <w:color w:val="auto"/>
          <w:sz w:val="32"/>
        </w:rPr>
      </w:pPr>
      <w:r>
        <w:rPr>
          <w:rFonts w:ascii="Times New Roman" w:hAnsi="Times New Roman" w:eastAsia="黑体"/>
          <w:color w:val="auto"/>
          <w:sz w:val="32"/>
        </w:rPr>
        <w:t>第二章  总体要求</w:t>
      </w:r>
    </w:p>
    <w:p w14:paraId="28ABF85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rPr>
      </w:pPr>
      <w:r>
        <w:rPr>
          <w:rFonts w:hint="eastAsia" w:ascii="Times New Roman" w:hAnsi="Times New Roman" w:eastAsia="楷体_GB2312"/>
          <w:color w:val="auto"/>
          <w:sz w:val="32"/>
        </w:rPr>
        <w:t>第一节  指导思想</w:t>
      </w:r>
    </w:p>
    <w:p w14:paraId="596096B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rPr>
      </w:pPr>
      <w:r>
        <w:rPr>
          <w:rFonts w:hint="eastAsia" w:ascii="Times New Roman" w:hAnsi="Times New Roman" w:eastAsia="楷体_GB2312"/>
          <w:color w:val="auto"/>
          <w:sz w:val="32"/>
        </w:rPr>
        <w:t>第二节  基本原则</w:t>
      </w:r>
    </w:p>
    <w:p w14:paraId="71B7615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ascii="Times New Roman" w:hAnsi="Times New Roman" w:eastAsia="楷体_GB2312"/>
          <w:color w:val="auto"/>
          <w:sz w:val="32"/>
        </w:rPr>
      </w:pPr>
      <w:r>
        <w:rPr>
          <w:rFonts w:ascii="Times New Roman" w:hAnsi="Times New Roman" w:eastAsia="楷体_GB2312"/>
          <w:color w:val="auto"/>
          <w:sz w:val="32"/>
        </w:rPr>
        <w:t xml:space="preserve">第三节  </w:t>
      </w:r>
      <w:r>
        <w:rPr>
          <w:rFonts w:hint="eastAsia" w:ascii="Times New Roman" w:hAnsi="Times New Roman" w:eastAsia="楷体_GB2312"/>
          <w:color w:val="auto"/>
          <w:sz w:val="32"/>
          <w:lang w:eastAsia="zh-CN"/>
        </w:rPr>
        <w:t>发展</w:t>
      </w:r>
      <w:r>
        <w:rPr>
          <w:rFonts w:ascii="Times New Roman" w:hAnsi="Times New Roman" w:eastAsia="楷体_GB2312"/>
          <w:color w:val="auto"/>
          <w:sz w:val="32"/>
        </w:rPr>
        <w:t>目标</w:t>
      </w:r>
    </w:p>
    <w:p w14:paraId="280543F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仿宋_GB2312"/>
          <w:color w:val="auto"/>
          <w:sz w:val="32"/>
        </w:rPr>
      </w:pPr>
      <w:r>
        <w:rPr>
          <w:rFonts w:ascii="Times New Roman" w:hAnsi="Times New Roman" w:eastAsia="黑体"/>
          <w:color w:val="auto"/>
          <w:sz w:val="32"/>
        </w:rPr>
        <w:t>第三章  主要任务</w:t>
      </w:r>
    </w:p>
    <w:p w14:paraId="4BBC74A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第一节  全面深化食品安全管理改革</w:t>
      </w:r>
    </w:p>
    <w:p w14:paraId="763B098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一、严格落实党政同责</w:t>
      </w:r>
    </w:p>
    <w:p w14:paraId="3A83DE3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二、强化</w:t>
      </w:r>
      <w:r>
        <w:rPr>
          <w:rFonts w:hint="eastAsia" w:ascii="Times New Roman" w:hAnsi="Times New Roman" w:eastAsia="仿宋_GB2312"/>
          <w:color w:val="auto"/>
          <w:sz w:val="32"/>
          <w:lang w:val="en-US" w:eastAsia="zh-CN"/>
        </w:rPr>
        <w:t>部门</w:t>
      </w:r>
      <w:r>
        <w:rPr>
          <w:rFonts w:hint="eastAsia" w:ascii="Times New Roman" w:hAnsi="Times New Roman" w:eastAsia="仿宋_GB2312"/>
          <w:color w:val="auto"/>
          <w:sz w:val="32"/>
          <w:lang w:val="en-US"/>
        </w:rPr>
        <w:t>协同监管</w:t>
      </w:r>
    </w:p>
    <w:p w14:paraId="4A1D888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三、加强基层综合执法</w:t>
      </w:r>
    </w:p>
    <w:p w14:paraId="2D53A6B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第二节  完善标准规范和实施</w:t>
      </w:r>
    </w:p>
    <w:p w14:paraId="24EA1DF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一、健全规章和制度规范</w:t>
      </w:r>
    </w:p>
    <w:p w14:paraId="344FD71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二、强化标准实施</w:t>
      </w:r>
    </w:p>
    <w:p w14:paraId="21BA293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第三节  严格食品安全源头治理</w:t>
      </w:r>
    </w:p>
    <w:p w14:paraId="7387DAB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一、加强产地环境污染治理</w:t>
      </w:r>
    </w:p>
    <w:p w14:paraId="0979797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二、加强农业投入品监管</w:t>
      </w:r>
    </w:p>
    <w:p w14:paraId="1B727F2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第四节 严格食品安全过程监管</w:t>
      </w:r>
    </w:p>
    <w:p w14:paraId="648A400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一、严控生产加工关</w:t>
      </w:r>
    </w:p>
    <w:p w14:paraId="4E80795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二、严查流通销售关</w:t>
      </w:r>
    </w:p>
    <w:p w14:paraId="06E0192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三、严管餐饮服务关</w:t>
      </w:r>
    </w:p>
    <w:p w14:paraId="108BF89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四、严守食品进出口关</w:t>
      </w:r>
    </w:p>
    <w:p w14:paraId="032DA1F6">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s="华光仿宋二_CNKI"/>
          <w:color w:val="auto"/>
          <w:sz w:val="32"/>
          <w:szCs w:val="22"/>
          <w:lang w:val="en-US" w:eastAsia="zh-CN" w:bidi="zh-CN"/>
        </w:rPr>
      </w:pPr>
      <w:r>
        <w:rPr>
          <w:rFonts w:hint="eastAsia" w:ascii="Times New Roman" w:hAnsi="Times New Roman" w:eastAsia="仿宋_GB2312" w:cs="华光仿宋二_CNKI"/>
          <w:color w:val="auto"/>
          <w:sz w:val="32"/>
          <w:szCs w:val="22"/>
          <w:lang w:val="en-US" w:eastAsia="zh-CN" w:bidi="zh-CN"/>
        </w:rPr>
        <w:t>五、严把粮食收储关</w:t>
      </w:r>
    </w:p>
    <w:p w14:paraId="1A36BCB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第五节  全面落实生产经营者主体责任</w:t>
      </w:r>
    </w:p>
    <w:p w14:paraId="06519B7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一、推进落实质量安全管理责任</w:t>
      </w:r>
    </w:p>
    <w:p w14:paraId="2FC9AC2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二、完善生产经营主体信用体系</w:t>
      </w:r>
    </w:p>
    <w:p w14:paraId="33CD0CD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三、推进食品安全追溯体系建设</w:t>
      </w:r>
    </w:p>
    <w:p w14:paraId="2E58D02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四、推动建立食品安全责任保险机制</w:t>
      </w:r>
    </w:p>
    <w:p w14:paraId="37993D8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第六节  严惩违法违规行为</w:t>
      </w:r>
    </w:p>
    <w:p w14:paraId="51C9206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一、严厉打击违法犯罪</w:t>
      </w:r>
    </w:p>
    <w:p w14:paraId="14524B4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二、完善行刑衔接机制</w:t>
      </w:r>
    </w:p>
    <w:p w14:paraId="3193C20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三、强化信用联合惩戒</w:t>
      </w:r>
    </w:p>
    <w:p w14:paraId="54BAE10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第七节  加强食品安全基层治理</w:t>
      </w:r>
    </w:p>
    <w:p w14:paraId="261E4B8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一、加强基层监管能力建设</w:t>
      </w:r>
    </w:p>
    <w:p w14:paraId="6E99B40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二、建立农村食品安全风险防范机制</w:t>
      </w:r>
    </w:p>
    <w:p w14:paraId="3E930C5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第八节  全面推进</w:t>
      </w:r>
      <w:r>
        <w:rPr>
          <w:rFonts w:hint="eastAsia" w:ascii="Times New Roman" w:hAnsi="Times New Roman" w:eastAsia="楷体_GB2312"/>
          <w:color w:val="auto"/>
          <w:sz w:val="32"/>
          <w:lang w:val="en-US" w:eastAsia="zh-CN"/>
        </w:rPr>
        <w:t>“</w:t>
      </w:r>
      <w:r>
        <w:rPr>
          <w:rFonts w:hint="eastAsia" w:ascii="Times New Roman" w:hAnsi="Times New Roman" w:eastAsia="楷体_GB2312"/>
          <w:color w:val="auto"/>
          <w:sz w:val="32"/>
          <w:lang w:val="en-US"/>
        </w:rPr>
        <w:t>互联网+食品”监管</w:t>
      </w:r>
    </w:p>
    <w:p w14:paraId="06FE057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一、推广应用食品安全综合监管平台</w:t>
      </w:r>
    </w:p>
    <w:p w14:paraId="628928A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二、推广应用食品安全综合信息平台</w:t>
      </w:r>
    </w:p>
    <w:p w14:paraId="759E569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第九节  提高食品安全风险防控能力</w:t>
      </w:r>
    </w:p>
    <w:p w14:paraId="396AEA5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一、加强检验检测能力建设</w:t>
      </w:r>
    </w:p>
    <w:p w14:paraId="0D071BA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二、强化风险监测预警</w:t>
      </w:r>
    </w:p>
    <w:p w14:paraId="7CE2290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三、改革完善抽检机制</w:t>
      </w:r>
    </w:p>
    <w:p w14:paraId="6A95751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四、加强应急处置能力建设</w:t>
      </w:r>
    </w:p>
    <w:p w14:paraId="2B8858A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lang w:val="en-US"/>
        </w:rPr>
      </w:pPr>
      <w:r>
        <w:rPr>
          <w:rFonts w:hint="eastAsia" w:ascii="Times New Roman" w:hAnsi="Times New Roman" w:eastAsia="楷体_GB2312"/>
          <w:color w:val="auto"/>
          <w:sz w:val="32"/>
          <w:lang w:val="en-US"/>
        </w:rPr>
        <w:t>第十节  推动食品产业高质量发展</w:t>
      </w:r>
    </w:p>
    <w:p w14:paraId="5FAC3E3C">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一、深化许可认证改革</w:t>
      </w:r>
    </w:p>
    <w:p w14:paraId="4244172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二、实施质量兴农计划</w:t>
      </w:r>
    </w:p>
    <w:p w14:paraId="0E2B1FC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三、推动食品产业转型升级</w:t>
      </w:r>
    </w:p>
    <w:p w14:paraId="5FD54F9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olor w:val="auto"/>
          <w:sz w:val="32"/>
          <w:lang w:val="en-US"/>
        </w:rPr>
      </w:pPr>
      <w:r>
        <w:rPr>
          <w:rFonts w:hint="eastAsia" w:ascii="Times New Roman" w:hAnsi="Times New Roman" w:eastAsia="仿宋_GB2312"/>
          <w:color w:val="auto"/>
          <w:sz w:val="32"/>
          <w:lang w:val="en-US"/>
        </w:rPr>
        <w:t>四、加快食品安全科技创新</w:t>
      </w:r>
    </w:p>
    <w:p w14:paraId="3DA3B4A0">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s="华光仿宋二_CNKI"/>
          <w:color w:val="auto"/>
          <w:sz w:val="32"/>
          <w:szCs w:val="22"/>
          <w:lang w:val="en-US" w:eastAsia="zh-CN" w:bidi="zh-CN"/>
        </w:rPr>
      </w:pPr>
      <w:r>
        <w:rPr>
          <w:rFonts w:hint="eastAsia" w:ascii="Times New Roman" w:hAnsi="Times New Roman" w:eastAsia="楷体_GB2312" w:cs="华光仿宋二_CNKI"/>
          <w:color w:val="auto"/>
          <w:sz w:val="32"/>
          <w:szCs w:val="22"/>
          <w:lang w:val="en-US" w:eastAsia="zh-CN" w:bidi="zh-CN"/>
        </w:rPr>
        <w:t>第十一节 推进食品安全社会共治</w:t>
      </w:r>
    </w:p>
    <w:p w14:paraId="444AFB1F">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s="华光仿宋二_CNKI"/>
          <w:color w:val="auto"/>
          <w:sz w:val="32"/>
          <w:szCs w:val="22"/>
          <w:lang w:val="en-US" w:eastAsia="zh-CN" w:bidi="zh-CN"/>
        </w:rPr>
      </w:pPr>
      <w:r>
        <w:rPr>
          <w:rFonts w:hint="eastAsia" w:ascii="Times New Roman" w:hAnsi="Times New Roman" w:eastAsia="仿宋_GB2312" w:cs="华光仿宋二_CNKI"/>
          <w:color w:val="auto"/>
          <w:sz w:val="32"/>
          <w:szCs w:val="22"/>
          <w:lang w:val="en-US" w:eastAsia="zh-CN" w:bidi="zh-CN"/>
        </w:rPr>
        <w:t>一、开展食品安全风险交流</w:t>
      </w:r>
    </w:p>
    <w:p w14:paraId="39BF33FD">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s="华光仿宋二_CNKI"/>
          <w:color w:val="auto"/>
          <w:sz w:val="32"/>
          <w:szCs w:val="22"/>
          <w:lang w:val="en-US" w:eastAsia="zh-CN" w:bidi="zh-CN"/>
        </w:rPr>
      </w:pPr>
      <w:r>
        <w:rPr>
          <w:rFonts w:hint="eastAsia" w:ascii="Times New Roman" w:hAnsi="Times New Roman" w:eastAsia="仿宋_GB2312" w:cs="华光仿宋二_CNKI"/>
          <w:color w:val="auto"/>
          <w:sz w:val="32"/>
          <w:szCs w:val="22"/>
          <w:lang w:val="en-US" w:eastAsia="zh-CN" w:bidi="zh-CN"/>
        </w:rPr>
        <w:t>二、拓宽社会监督渠道</w:t>
      </w:r>
    </w:p>
    <w:p w14:paraId="1144430E">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s="华光仿宋二_CNKI"/>
          <w:color w:val="auto"/>
          <w:sz w:val="32"/>
          <w:szCs w:val="22"/>
          <w:lang w:val="en-US" w:eastAsia="zh-CN" w:bidi="zh-CN"/>
        </w:rPr>
      </w:pPr>
      <w:r>
        <w:rPr>
          <w:rFonts w:hint="eastAsia" w:ascii="Times New Roman" w:hAnsi="Times New Roman" w:eastAsia="仿宋_GB2312" w:cs="华光仿宋二_CNKI"/>
          <w:color w:val="auto"/>
          <w:sz w:val="32"/>
          <w:szCs w:val="22"/>
          <w:lang w:val="en-US" w:eastAsia="zh-CN" w:bidi="zh-CN"/>
        </w:rPr>
        <w:t>三、广泛开展科普宣传教育</w:t>
      </w:r>
    </w:p>
    <w:p w14:paraId="66C37245">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280" w:firstLineChars="400"/>
        <w:jc w:val="left"/>
        <w:textAlignment w:val="auto"/>
        <w:outlineLvl w:val="9"/>
        <w:rPr>
          <w:rFonts w:hint="eastAsia" w:ascii="Times New Roman" w:hAnsi="Times New Roman" w:eastAsia="仿宋_GB2312" w:cs="华光仿宋二_CNKI"/>
          <w:color w:val="auto"/>
          <w:sz w:val="32"/>
          <w:szCs w:val="22"/>
          <w:lang w:val="en-US" w:eastAsia="zh-CN" w:bidi="zh-CN"/>
        </w:rPr>
      </w:pPr>
      <w:r>
        <w:rPr>
          <w:rFonts w:hint="eastAsia" w:ascii="Times New Roman" w:hAnsi="Times New Roman" w:eastAsia="仿宋_GB2312" w:cs="华光仿宋二_CNKI"/>
          <w:color w:val="auto"/>
          <w:sz w:val="32"/>
          <w:szCs w:val="22"/>
          <w:lang w:val="en-US" w:eastAsia="zh-CN" w:bidi="zh-CN"/>
        </w:rPr>
        <w:t>四、完善投诉举报机制</w:t>
      </w:r>
    </w:p>
    <w:p w14:paraId="3E14439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left"/>
        <w:textAlignment w:val="auto"/>
        <w:outlineLvl w:val="9"/>
        <w:rPr>
          <w:rFonts w:ascii="Times New Roman" w:hAnsi="Times New Roman" w:eastAsia="仿宋_GB2312"/>
          <w:color w:val="auto"/>
          <w:sz w:val="32"/>
        </w:rPr>
      </w:pPr>
      <w:r>
        <w:rPr>
          <w:rFonts w:ascii="Times New Roman" w:hAnsi="Times New Roman" w:eastAsia="黑体"/>
          <w:color w:val="auto"/>
          <w:sz w:val="32"/>
        </w:rPr>
        <w:t>第四章  保障措施</w:t>
      </w:r>
    </w:p>
    <w:p w14:paraId="32840C74">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rPr>
      </w:pPr>
      <w:r>
        <w:rPr>
          <w:rFonts w:hint="eastAsia" w:ascii="Times New Roman" w:hAnsi="Times New Roman" w:eastAsia="楷体_GB2312"/>
          <w:color w:val="auto"/>
          <w:sz w:val="32"/>
        </w:rPr>
        <w:t>第一节  加强组织领导</w:t>
      </w:r>
    </w:p>
    <w:p w14:paraId="3AEA7A87">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olor w:val="auto"/>
          <w:sz w:val="32"/>
        </w:rPr>
      </w:pPr>
      <w:r>
        <w:rPr>
          <w:rFonts w:hint="eastAsia" w:ascii="Times New Roman" w:hAnsi="Times New Roman" w:eastAsia="楷体_GB2312"/>
          <w:color w:val="auto"/>
          <w:sz w:val="32"/>
        </w:rPr>
        <w:t>第二节</w:t>
      </w:r>
      <w:r>
        <w:rPr>
          <w:rFonts w:hint="eastAsia" w:ascii="Times New Roman" w:hAnsi="Times New Roman" w:eastAsia="楷体_GB2312"/>
          <w:color w:val="auto"/>
          <w:sz w:val="32"/>
          <w:lang w:val="en-US" w:eastAsia="zh-CN"/>
        </w:rPr>
        <w:t xml:space="preserve"> </w:t>
      </w:r>
      <w:r>
        <w:rPr>
          <w:rFonts w:hint="eastAsia" w:ascii="Times New Roman" w:hAnsi="Times New Roman" w:eastAsia="楷体_GB2312"/>
          <w:color w:val="auto"/>
          <w:sz w:val="32"/>
        </w:rPr>
        <w:t xml:space="preserve"> 加大投入力度</w:t>
      </w:r>
    </w:p>
    <w:p w14:paraId="2689EEAF">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left"/>
        <w:textAlignment w:val="auto"/>
        <w:outlineLvl w:val="9"/>
        <w:rPr>
          <w:rFonts w:ascii="宋体" w:hAnsi="宋体"/>
          <w:color w:val="auto"/>
        </w:rPr>
      </w:pPr>
      <w:r>
        <w:rPr>
          <w:rFonts w:hint="eastAsia" w:ascii="Times New Roman" w:hAnsi="Times New Roman" w:eastAsia="楷体_GB2312"/>
          <w:color w:val="auto"/>
          <w:sz w:val="32"/>
        </w:rPr>
        <w:t>第三节  严格考核评估</w:t>
      </w:r>
    </w:p>
    <w:p w14:paraId="0122E5DE">
      <w:pPr>
        <w:spacing w:line="580" w:lineRule="exact"/>
        <w:jc w:val="center"/>
        <w:rPr>
          <w:rFonts w:ascii="Times New Roman" w:hAnsi="Times New Roman" w:eastAsia="方正小标宋_GBK"/>
          <w:color w:val="auto"/>
          <w:sz w:val="44"/>
          <w:szCs w:val="44"/>
        </w:rPr>
      </w:pPr>
    </w:p>
    <w:p w14:paraId="47DAF986">
      <w:pPr>
        <w:spacing w:line="580" w:lineRule="exact"/>
        <w:jc w:val="center"/>
        <w:rPr>
          <w:rFonts w:ascii="Times New Roman" w:hAnsi="Times New Roman" w:eastAsia="方正小标宋_GBK"/>
          <w:color w:val="auto"/>
          <w:sz w:val="44"/>
          <w:szCs w:val="44"/>
        </w:rPr>
      </w:pPr>
    </w:p>
    <w:p w14:paraId="65573FF7">
      <w:pPr>
        <w:spacing w:line="580" w:lineRule="exact"/>
        <w:jc w:val="center"/>
        <w:rPr>
          <w:rFonts w:ascii="Times New Roman" w:hAnsi="Times New Roman" w:eastAsia="方正小标宋_GBK"/>
          <w:color w:val="auto"/>
          <w:sz w:val="44"/>
          <w:szCs w:val="44"/>
        </w:rPr>
      </w:pPr>
    </w:p>
    <w:p w14:paraId="3A4C74C5">
      <w:pPr>
        <w:spacing w:line="580" w:lineRule="exact"/>
        <w:jc w:val="center"/>
        <w:rPr>
          <w:rFonts w:ascii="Times New Roman" w:hAnsi="Times New Roman" w:eastAsia="方正小标宋_GBK"/>
          <w:color w:val="auto"/>
          <w:sz w:val="44"/>
          <w:szCs w:val="44"/>
        </w:rPr>
      </w:pPr>
    </w:p>
    <w:p w14:paraId="7CC1D7ED">
      <w:pPr>
        <w:spacing w:line="580" w:lineRule="exact"/>
        <w:jc w:val="center"/>
        <w:rPr>
          <w:rFonts w:ascii="Times New Roman" w:hAnsi="Times New Roman" w:eastAsia="方正小标宋_GBK"/>
          <w:color w:val="auto"/>
          <w:sz w:val="44"/>
          <w:szCs w:val="44"/>
        </w:rPr>
      </w:pPr>
      <w:r>
        <w:rPr>
          <w:rFonts w:ascii="Times New Roman" w:hAnsi="Times New Roman" w:eastAsia="方正小标宋_GBK"/>
          <w:color w:val="auto"/>
          <w:sz w:val="44"/>
          <w:szCs w:val="44"/>
        </w:rPr>
        <w:t>前言</w:t>
      </w:r>
    </w:p>
    <w:p w14:paraId="188B9A16">
      <w:pPr>
        <w:pStyle w:val="9"/>
        <w:spacing w:line="580" w:lineRule="exact"/>
        <w:rPr>
          <w:rFonts w:ascii="宋体" w:hAnsi="宋体"/>
          <w:color w:val="auto"/>
        </w:rPr>
      </w:pPr>
    </w:p>
    <w:p w14:paraId="6CDFA425">
      <w:pPr>
        <w:adjustRightInd w:val="0"/>
        <w:spacing w:line="580" w:lineRule="exact"/>
        <w:ind w:firstLine="560" w:firstLineChars="200"/>
        <w:jc w:val="both"/>
        <w:rPr>
          <w:rFonts w:ascii="宋体" w:hAnsi="宋体" w:eastAsia="仿宋" w:cs="宋体"/>
          <w:color w:val="auto"/>
          <w:sz w:val="28"/>
          <w:szCs w:val="28"/>
          <w:lang w:val="en-US" w:bidi="ar-SA"/>
        </w:rPr>
      </w:pPr>
    </w:p>
    <w:p w14:paraId="1653EE51">
      <w:pPr>
        <w:pStyle w:val="6"/>
        <w:spacing w:line="580" w:lineRule="exact"/>
        <w:ind w:firstLine="640" w:firstLineChars="200"/>
        <w:rPr>
          <w:rFonts w:ascii="Times New Roman" w:hAnsi="Times New Roman" w:eastAsia="方正仿宋_GBK" w:cs="Times New Roman"/>
          <w:color w:val="auto"/>
          <w:sz w:val="32"/>
          <w:szCs w:val="32"/>
          <w:lang w:val="en-US" w:bidi="ar-SA"/>
        </w:rPr>
      </w:pPr>
      <w:r>
        <w:rPr>
          <w:rFonts w:ascii="Times New Roman" w:hAnsi="Times New Roman" w:eastAsia="方正仿宋_GBK" w:cs="Times New Roman"/>
          <w:color w:val="auto"/>
          <w:sz w:val="32"/>
          <w:szCs w:val="32"/>
          <w:lang w:val="en-US" w:bidi="ar-SA"/>
        </w:rPr>
        <w:t>食品安全是重大的民生问题和公共安全问题，事关人民群众的身体健康和生命安全，关系到经济社会的健康发展与和谐稳定。党的十八大以来，习近平总书记对食品安全工作作出一系列重要指示批示，为我们做好食品安全工作指明了前进方向、提供了根本遵循。为不断完善</w:t>
      </w:r>
      <w:r>
        <w:rPr>
          <w:rFonts w:hint="eastAsia" w:ascii="Times New Roman" w:hAnsi="Times New Roman" w:eastAsia="方正仿宋_GBK" w:cs="Times New Roman"/>
          <w:color w:val="auto"/>
          <w:sz w:val="32"/>
          <w:szCs w:val="32"/>
          <w:lang w:val="en-US" w:bidi="ar-SA"/>
        </w:rPr>
        <w:t>德宏</w:t>
      </w:r>
      <w:r>
        <w:rPr>
          <w:rFonts w:ascii="Times New Roman" w:hAnsi="Times New Roman" w:eastAsia="方正仿宋_GBK" w:cs="Times New Roman"/>
          <w:color w:val="auto"/>
          <w:sz w:val="32"/>
          <w:szCs w:val="32"/>
          <w:lang w:val="en-US" w:bidi="ar-SA"/>
        </w:rPr>
        <w:t>食品安全治理体系，保障人民群众舌尖上的安全</w:t>
      </w:r>
      <w:r>
        <w:rPr>
          <w:rFonts w:hint="eastAsia" w:ascii="Times New Roman" w:hAnsi="Times New Roman" w:eastAsia="方正仿宋_GBK" w:cs="Times New Roman"/>
          <w:color w:val="auto"/>
          <w:sz w:val="32"/>
          <w:szCs w:val="32"/>
          <w:lang w:val="en-US" w:eastAsia="zh-CN" w:bidi="ar-SA"/>
        </w:rPr>
        <w:t>，</w:t>
      </w:r>
      <w:r>
        <w:rPr>
          <w:rFonts w:ascii="Times New Roman" w:hAnsi="Times New Roman" w:eastAsia="方正仿宋_GBK" w:cs="Times New Roman"/>
          <w:color w:val="auto"/>
          <w:sz w:val="32"/>
          <w:szCs w:val="32"/>
          <w:lang w:val="en-US" w:bidi="ar-SA"/>
        </w:rPr>
        <w:t>按照党中央、国务院和省委、省政府、州委、州政府关于对食品安全工作的总体要求，依据《中华人民共和国食品安全法》《中共中央 国务院关于深化改革加强食品安全工作的意见》《云南省食品安全</w:t>
      </w:r>
      <w:r>
        <w:rPr>
          <w:rFonts w:hint="eastAsia" w:ascii="Times New Roman" w:hAnsi="Times New Roman" w:eastAsia="方正仿宋_GBK" w:cs="Times New Roman"/>
          <w:color w:val="auto"/>
          <w:sz w:val="32"/>
          <w:szCs w:val="32"/>
          <w:lang w:val="en-US" w:bidi="ar-SA"/>
        </w:rPr>
        <w:t>“</w:t>
      </w:r>
      <w:r>
        <w:rPr>
          <w:rFonts w:ascii="Times New Roman" w:hAnsi="Times New Roman" w:eastAsia="方正仿宋_GBK" w:cs="Times New Roman"/>
          <w:color w:val="auto"/>
          <w:sz w:val="32"/>
          <w:szCs w:val="32"/>
          <w:lang w:val="en-US" w:bidi="ar-SA"/>
        </w:rPr>
        <w:t>十四五</w:t>
      </w:r>
      <w:r>
        <w:rPr>
          <w:rFonts w:hint="eastAsia" w:ascii="Times New Roman" w:hAnsi="Times New Roman" w:eastAsia="方正仿宋_GBK" w:cs="Times New Roman"/>
          <w:color w:val="auto"/>
          <w:sz w:val="32"/>
          <w:szCs w:val="32"/>
          <w:lang w:val="en-US" w:bidi="ar-SA"/>
        </w:rPr>
        <w:t>”</w:t>
      </w:r>
      <w:r>
        <w:rPr>
          <w:rFonts w:ascii="Times New Roman" w:hAnsi="Times New Roman" w:eastAsia="方正仿宋_GBK" w:cs="Times New Roman"/>
          <w:color w:val="auto"/>
          <w:sz w:val="32"/>
          <w:szCs w:val="32"/>
          <w:lang w:val="en-US" w:bidi="ar-SA"/>
        </w:rPr>
        <w:t>规划》和《德宏州国民经济和社会发展第十四个五年规划和二〇三五年远景目标纲要》，制定《德宏州食品安全</w:t>
      </w:r>
      <w:r>
        <w:rPr>
          <w:rFonts w:hint="eastAsia" w:ascii="Times New Roman" w:hAnsi="Times New Roman" w:eastAsia="方正仿宋_GBK" w:cs="Times New Roman"/>
          <w:color w:val="auto"/>
          <w:sz w:val="32"/>
          <w:szCs w:val="32"/>
          <w:lang w:val="en-US" w:bidi="ar-SA"/>
        </w:rPr>
        <w:t>“</w:t>
      </w:r>
      <w:r>
        <w:rPr>
          <w:rFonts w:ascii="Times New Roman" w:hAnsi="Times New Roman" w:eastAsia="方正仿宋_GBK" w:cs="Times New Roman"/>
          <w:color w:val="auto"/>
          <w:sz w:val="32"/>
          <w:szCs w:val="32"/>
          <w:lang w:val="en-US" w:bidi="ar-SA"/>
        </w:rPr>
        <w:t>十四五</w:t>
      </w:r>
      <w:r>
        <w:rPr>
          <w:rFonts w:hint="eastAsia" w:ascii="Times New Roman" w:hAnsi="Times New Roman" w:eastAsia="方正仿宋_GBK" w:cs="Times New Roman"/>
          <w:color w:val="auto"/>
          <w:sz w:val="32"/>
          <w:szCs w:val="32"/>
          <w:lang w:val="en-US" w:bidi="ar-SA"/>
        </w:rPr>
        <w:t>”</w:t>
      </w:r>
      <w:r>
        <w:rPr>
          <w:rFonts w:ascii="Times New Roman" w:hAnsi="Times New Roman" w:eastAsia="方正仿宋_GBK" w:cs="Times New Roman"/>
          <w:color w:val="auto"/>
          <w:sz w:val="32"/>
          <w:szCs w:val="32"/>
          <w:lang w:val="en-US" w:bidi="ar-SA"/>
        </w:rPr>
        <w:t>规划》。</w:t>
      </w:r>
    </w:p>
    <w:p w14:paraId="48D7E702">
      <w:pPr>
        <w:pStyle w:val="6"/>
        <w:spacing w:line="580" w:lineRule="exact"/>
        <w:rPr>
          <w:rFonts w:ascii="宋体" w:hAnsi="宋体" w:eastAsia="方正仿宋_GBK" w:cs="方正仿宋_GBK"/>
          <w:color w:val="auto"/>
          <w:sz w:val="32"/>
          <w:szCs w:val="32"/>
          <w:lang w:val="en-US" w:bidi="ar-SA"/>
        </w:rPr>
      </w:pPr>
    </w:p>
    <w:p w14:paraId="65A0C68D">
      <w:pPr>
        <w:spacing w:line="580" w:lineRule="exact"/>
        <w:jc w:val="center"/>
        <w:rPr>
          <w:rFonts w:ascii="Times New Roman" w:hAnsi="Times New Roman" w:eastAsia="方正小标宋_GBK"/>
          <w:color w:val="auto"/>
          <w:sz w:val="44"/>
          <w:szCs w:val="44"/>
        </w:rPr>
      </w:pPr>
      <w:bookmarkStart w:id="0" w:name="_Toc66917100"/>
      <w:bookmarkStart w:id="1" w:name="_Toc9540"/>
      <w:bookmarkStart w:id="2" w:name="_Toc9542"/>
      <w:bookmarkStart w:id="3" w:name="_Toc61875483"/>
      <w:bookmarkStart w:id="4" w:name="_Toc66134801"/>
      <w:bookmarkStart w:id="5" w:name="_Toc63165681"/>
      <w:bookmarkStart w:id="6" w:name="_Toc7679"/>
      <w:bookmarkStart w:id="7" w:name="_Toc14887"/>
    </w:p>
    <w:p w14:paraId="6AE9AF76">
      <w:pPr>
        <w:spacing w:line="580" w:lineRule="exact"/>
        <w:jc w:val="center"/>
        <w:rPr>
          <w:rFonts w:ascii="Times New Roman" w:hAnsi="Times New Roman" w:eastAsia="方正小标宋_GBK"/>
          <w:color w:val="auto"/>
          <w:sz w:val="44"/>
          <w:szCs w:val="44"/>
        </w:rPr>
      </w:pPr>
    </w:p>
    <w:p w14:paraId="1DF53981">
      <w:pPr>
        <w:spacing w:line="580" w:lineRule="exact"/>
        <w:jc w:val="center"/>
        <w:rPr>
          <w:rFonts w:hint="eastAsia" w:ascii="Times New Roman" w:hAnsi="Times New Roman" w:eastAsia="方正小标宋_GBK"/>
          <w:color w:val="auto"/>
          <w:sz w:val="44"/>
          <w:szCs w:val="44"/>
        </w:rPr>
      </w:pPr>
    </w:p>
    <w:p w14:paraId="1D4E3019">
      <w:pPr>
        <w:pStyle w:val="6"/>
        <w:rPr>
          <w:color w:val="auto"/>
        </w:rPr>
      </w:pPr>
    </w:p>
    <w:p w14:paraId="276B14A1">
      <w:pPr>
        <w:pStyle w:val="6"/>
        <w:spacing w:line="580" w:lineRule="exact"/>
        <w:rPr>
          <w:rFonts w:ascii="Times New Roman" w:hAnsi="Times New Roman" w:eastAsia="方正小标宋_GBK"/>
          <w:color w:val="auto"/>
          <w:sz w:val="44"/>
          <w:szCs w:val="44"/>
        </w:rPr>
      </w:pPr>
    </w:p>
    <w:p w14:paraId="5B5EB7BF">
      <w:pPr>
        <w:pStyle w:val="9"/>
        <w:spacing w:line="580" w:lineRule="exact"/>
        <w:rPr>
          <w:rFonts w:ascii="Times New Roman" w:hAnsi="Times New Roman" w:eastAsia="方正小标宋_GBK"/>
          <w:color w:val="auto"/>
          <w:sz w:val="44"/>
          <w:szCs w:val="44"/>
        </w:rPr>
      </w:pPr>
    </w:p>
    <w:p w14:paraId="3F556839">
      <w:pPr>
        <w:spacing w:line="580" w:lineRule="exact"/>
        <w:rPr>
          <w:rFonts w:ascii="Times New Roman" w:hAnsi="Times New Roman" w:eastAsia="方正小标宋_GBK"/>
          <w:color w:val="auto"/>
          <w:sz w:val="44"/>
          <w:szCs w:val="44"/>
        </w:rPr>
      </w:pPr>
    </w:p>
    <w:p w14:paraId="7BC338D7">
      <w:pPr>
        <w:pStyle w:val="6"/>
        <w:rPr>
          <w:color w:val="auto"/>
        </w:rPr>
      </w:pPr>
    </w:p>
    <w:p w14:paraId="4177BD76">
      <w:pPr>
        <w:spacing w:line="560" w:lineRule="exact"/>
        <w:jc w:val="center"/>
        <w:rPr>
          <w:rFonts w:ascii="Times New Roman" w:hAnsi="Times New Roman" w:eastAsia="方正小标宋_GBK"/>
          <w:color w:val="auto"/>
          <w:sz w:val="44"/>
          <w:szCs w:val="44"/>
        </w:rPr>
      </w:pPr>
      <w:r>
        <w:rPr>
          <w:rFonts w:ascii="Times New Roman" w:hAnsi="Times New Roman" w:eastAsia="方正小标宋_GBK"/>
          <w:color w:val="auto"/>
          <w:sz w:val="44"/>
          <w:szCs w:val="44"/>
        </w:rPr>
        <w:t xml:space="preserve">第一章  </w:t>
      </w:r>
      <w:r>
        <w:rPr>
          <w:rFonts w:hint="eastAsia" w:ascii="Times New Roman" w:hAnsi="Times New Roman" w:eastAsia="方正小标宋_GBK"/>
          <w:color w:val="auto"/>
          <w:sz w:val="44"/>
          <w:szCs w:val="44"/>
        </w:rPr>
        <w:t>发展现状与形势</w:t>
      </w:r>
    </w:p>
    <w:p w14:paraId="526ABD8C">
      <w:pPr>
        <w:spacing w:line="560" w:lineRule="exact"/>
        <w:rPr>
          <w:rFonts w:ascii="Times New Roman" w:hAnsi="Times New Roman" w:eastAsia="黑体"/>
          <w:color w:val="auto"/>
          <w:sz w:val="32"/>
          <w:szCs w:val="32"/>
        </w:rPr>
      </w:pPr>
      <w:r>
        <w:rPr>
          <w:rFonts w:ascii="Times New Roman" w:hAnsi="Times New Roman" w:eastAsia="黑体"/>
          <w:color w:val="auto"/>
          <w:sz w:val="32"/>
          <w:szCs w:val="32"/>
        </w:rPr>
        <w:t xml:space="preserve">   </w:t>
      </w:r>
    </w:p>
    <w:p w14:paraId="38F1AB7E">
      <w:pPr>
        <w:spacing w:line="560" w:lineRule="exact"/>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 xml:space="preserve">第一节  </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十三五”回顾</w:t>
      </w:r>
    </w:p>
    <w:bookmarkEnd w:id="0"/>
    <w:bookmarkEnd w:id="1"/>
    <w:bookmarkEnd w:id="2"/>
    <w:bookmarkEnd w:id="3"/>
    <w:bookmarkEnd w:id="4"/>
    <w:bookmarkEnd w:id="5"/>
    <w:bookmarkEnd w:id="6"/>
    <w:p w14:paraId="4112C7BD">
      <w:pPr>
        <w:pStyle w:val="3"/>
        <w:ind w:firstLine="640"/>
        <w:rPr>
          <w:rFonts w:ascii="宋体" w:hAnsi="宋体" w:eastAsia="方正黑体_GBK" w:cs="方正黑体_GBK"/>
          <w:b w:val="0"/>
          <w:bCs w:val="0"/>
          <w:color w:val="auto"/>
          <w:sz w:val="32"/>
          <w:szCs w:val="32"/>
        </w:rPr>
      </w:pPr>
    </w:p>
    <w:p w14:paraId="4C600621">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“十三五”期间，在</w:t>
      </w:r>
      <w:r>
        <w:rPr>
          <w:rFonts w:hint="default" w:ascii="Times New Roman" w:hAnsi="Times New Roman" w:eastAsia="方正仿宋_GBK" w:cs="Times New Roman"/>
          <w:color w:val="auto"/>
          <w:sz w:val="32"/>
          <w:szCs w:val="32"/>
          <w:lang w:eastAsia="zh-CN"/>
        </w:rPr>
        <w:t>德宏</w:t>
      </w:r>
      <w:r>
        <w:rPr>
          <w:rFonts w:hint="default" w:ascii="Times New Roman" w:hAnsi="Times New Roman" w:eastAsia="方正仿宋_GBK" w:cs="Times New Roman"/>
          <w:color w:val="auto"/>
          <w:sz w:val="32"/>
          <w:szCs w:val="32"/>
        </w:rPr>
        <w:t>州委、州政府的坚强领导下，全州食品安全工作坚持以习近平新时代中国特色社会主义思想为指导，深入贯彻习近平总书记考察云南重要讲话精神，认真落实党中央、国务院关于食品安全工作的决策部署，坚持以人民为中心的发展思想，遵循“四个最严”要求，深入实施食品安全战略，着力深化党政同责，持续加强从农田到餐桌全过程监管，食品安全治理能力和保障水平不断提升。“十三五”规划目标全面完成，食品产业持续健康发展，人民群众饮食安全得到有效保障，全州食用农产品和食品抽检量达到4批次/千人，主要农产品质量安全监测和食品抽检合格率分别达到99.6%、99.45%，城乡居民食品安全综合满意度达</w:t>
      </w:r>
      <w:r>
        <w:rPr>
          <w:rFonts w:hint="default" w:ascii="Times New Roman" w:hAnsi="Times New Roman" w:eastAsia="方正仿宋_GBK" w:cs="Times New Roman"/>
          <w:color w:val="auto"/>
          <w:sz w:val="32"/>
          <w:szCs w:val="32"/>
          <w:lang w:val="en-US"/>
        </w:rPr>
        <w:t>74.31</w:t>
      </w:r>
      <w:r>
        <w:rPr>
          <w:rFonts w:hint="default" w:ascii="Times New Roman" w:hAnsi="Times New Roman" w:eastAsia="方正仿宋_GBK" w:cs="Times New Roman"/>
          <w:color w:val="auto"/>
          <w:sz w:val="32"/>
          <w:szCs w:val="32"/>
        </w:rPr>
        <w:t>%。全州</w:t>
      </w:r>
      <w:bookmarkStart w:id="8" w:name="_Toc66134803"/>
      <w:bookmarkStart w:id="9" w:name="_Toc6781"/>
      <w:bookmarkStart w:id="10" w:name="_Toc66917102"/>
      <w:bookmarkStart w:id="11" w:name="_Toc61875485"/>
      <w:bookmarkStart w:id="12" w:name="_Toc66134814"/>
      <w:bookmarkStart w:id="13" w:name="_Toc63165688"/>
      <w:r>
        <w:rPr>
          <w:rFonts w:hint="default" w:ascii="Times New Roman" w:hAnsi="Times New Roman" w:eastAsia="方正仿宋_GBK" w:cs="Times New Roman"/>
          <w:color w:val="auto"/>
          <w:sz w:val="32"/>
          <w:szCs w:val="32"/>
        </w:rPr>
        <w:t>未发生区域性、系统性重大食品安全问题，总体状况稳定向好。</w:t>
      </w:r>
    </w:p>
    <w:p w14:paraId="032B019F">
      <w:pPr>
        <w:spacing w:line="560" w:lineRule="exact"/>
        <w:ind w:firstLine="640" w:firstLineChars="200"/>
        <w:rPr>
          <w:rFonts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rPr>
        <w:t>一、食品产业稳步发展</w:t>
      </w:r>
    </w:p>
    <w:p w14:paraId="76CCEEAE">
      <w:pPr>
        <w:spacing w:line="560" w:lineRule="exact"/>
        <w:ind w:firstLine="640" w:firstLineChars="200"/>
        <w:jc w:val="both"/>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深化行政审批制度改革，优化服务环境，全力促进食品产业发展。截至2020年末，全州规模以上食品工业企业39户，较2015年末31户增加25.81%；实现工业产值94.76亿元与2015年42.72亿元相比，年均增长17.28%。加强食用农产品产地准出与市场准入管理，开展食用农产品合格证试点。全州城区农贸市场，</w:t>
      </w:r>
      <w:r>
        <w:rPr>
          <w:rFonts w:ascii="Times New Roman" w:hAnsi="Times New Roman" w:eastAsia="方正仿宋_GBK" w:cs="Times New Roman"/>
          <w:color w:val="auto"/>
          <w:sz w:val="32"/>
          <w:szCs w:val="32"/>
          <w:lang w:val="en-US"/>
        </w:rPr>
        <w:t>100%</w:t>
      </w:r>
      <w:r>
        <w:rPr>
          <w:rFonts w:ascii="Times New Roman" w:hAnsi="Times New Roman" w:eastAsia="方正仿宋_GBK" w:cs="Times New Roman"/>
          <w:color w:val="auto"/>
          <w:sz w:val="32"/>
          <w:szCs w:val="32"/>
        </w:rPr>
        <w:t>落实农贸市场“五有”要求，培育了一批“放心肉菜示范超市”。推广应用《云南省食品生产安全监管信息化平台》，实现食品生产许可</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全程网办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。督促企业落实自查制度，普通食品生产企业自查报告率达</w:t>
      </w:r>
      <w:r>
        <w:rPr>
          <w:rFonts w:ascii="Times New Roman" w:hAnsi="Times New Roman" w:eastAsia="方正仿宋_GBK" w:cs="Times New Roman"/>
          <w:color w:val="auto"/>
          <w:sz w:val="32"/>
          <w:szCs w:val="32"/>
          <w:lang w:val="en-US"/>
        </w:rPr>
        <w:t>100</w:t>
      </w:r>
      <w:r>
        <w:rPr>
          <w:rFonts w:ascii="Times New Roman" w:hAnsi="Times New Roman" w:eastAsia="方正仿宋_GBK" w:cs="Times New Roman"/>
          <w:color w:val="auto"/>
          <w:sz w:val="32"/>
          <w:szCs w:val="32"/>
        </w:rPr>
        <w:t>%，保健食品生产企业自查报告率达100%，食品生产企业管理人员法律法规知识监督抽查考核覆盖率达</w:t>
      </w:r>
      <w:r>
        <w:rPr>
          <w:rFonts w:ascii="Times New Roman" w:hAnsi="Times New Roman" w:eastAsia="方正仿宋_GBK" w:cs="Times New Roman"/>
          <w:color w:val="auto"/>
          <w:sz w:val="32"/>
          <w:szCs w:val="32"/>
          <w:lang w:val="en-US"/>
        </w:rPr>
        <w:t>100</w:t>
      </w:r>
      <w:r>
        <w:rPr>
          <w:rFonts w:ascii="Times New Roman" w:hAnsi="Times New Roman" w:eastAsia="方正仿宋_GBK" w:cs="Times New Roman"/>
          <w:color w:val="auto"/>
          <w:sz w:val="32"/>
          <w:szCs w:val="32"/>
        </w:rPr>
        <w:t>%。食品生产企业建立和实施食品安全管理体系认证</w:t>
      </w:r>
      <w:r>
        <w:rPr>
          <w:rFonts w:ascii="Times New Roman" w:hAnsi="Times New Roman" w:eastAsia="方正仿宋_GBK" w:cs="Times New Roman"/>
          <w:color w:val="auto"/>
          <w:sz w:val="32"/>
          <w:szCs w:val="32"/>
          <w:lang w:val="en-US"/>
        </w:rPr>
        <w:t>14家</w:t>
      </w:r>
      <w:r>
        <w:rPr>
          <w:rFonts w:ascii="Times New Roman" w:hAnsi="Times New Roman" w:eastAsia="方正仿宋_GBK" w:cs="Times New Roman"/>
          <w:color w:val="auto"/>
          <w:sz w:val="32"/>
          <w:szCs w:val="32"/>
        </w:rPr>
        <w:t>、危害分析和关键控制点（HACCP）认证</w:t>
      </w:r>
      <w:r>
        <w:rPr>
          <w:rFonts w:ascii="Times New Roman" w:hAnsi="Times New Roman" w:eastAsia="方正仿宋_GBK" w:cs="Times New Roman"/>
          <w:color w:val="auto"/>
          <w:sz w:val="32"/>
          <w:szCs w:val="32"/>
          <w:lang w:val="en-US"/>
        </w:rPr>
        <w:t>9家</w:t>
      </w:r>
      <w:r>
        <w:rPr>
          <w:rFonts w:ascii="Times New Roman" w:hAnsi="Times New Roman" w:eastAsia="方正仿宋_GBK" w:cs="Times New Roman"/>
          <w:color w:val="auto"/>
          <w:sz w:val="32"/>
          <w:szCs w:val="32"/>
        </w:rPr>
        <w:t>。全力打造世界一流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绿色食品牌</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，大力发展</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三品一标</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，完成</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三品一标</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认证产品</w:t>
      </w:r>
      <w:r>
        <w:rPr>
          <w:rFonts w:ascii="Times New Roman" w:hAnsi="Times New Roman" w:eastAsia="方正仿宋_GBK" w:cs="Times New Roman"/>
          <w:color w:val="auto"/>
          <w:sz w:val="32"/>
          <w:szCs w:val="32"/>
          <w:lang w:val="en-US"/>
        </w:rPr>
        <w:t>101</w:t>
      </w:r>
      <w:r>
        <w:rPr>
          <w:rFonts w:ascii="Times New Roman" w:hAnsi="Times New Roman" w:eastAsia="方正仿宋_GBK" w:cs="Times New Roman"/>
          <w:color w:val="auto"/>
          <w:sz w:val="32"/>
          <w:szCs w:val="32"/>
        </w:rPr>
        <w:t>个</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包括28个有机农产品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，比2015年57个增长77.19%，认证单位28家，监测种植面积67万余亩。连续3年组织企业申报云南省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10大名品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、绿色食品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10强企业</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20佳创新企业</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评选活动，云南德宏英茂糖业有限公司蝉联2019年、2020年云南省绿色食品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10强企业</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，安琪酵母（德宏）有限公司荣获2019年云南省绿色食品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20佳创新企业</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十三五</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期间，德宏州在食品领域获得国家、省级工信科技项目294项，安排资金10882.7万元。</w:t>
      </w:r>
    </w:p>
    <w:p w14:paraId="7DADCC20">
      <w:pPr>
        <w:spacing w:line="560" w:lineRule="exact"/>
        <w:ind w:firstLine="640" w:firstLineChars="200"/>
        <w:rPr>
          <w:rFonts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二、监管体制建设不断完善</w:t>
      </w:r>
    </w:p>
    <w:p w14:paraId="62AFFD2C">
      <w:pPr>
        <w:pStyle w:val="6"/>
        <w:autoSpaceDE/>
        <w:autoSpaceDN/>
        <w:spacing w:line="560" w:lineRule="exact"/>
        <w:ind w:firstLine="640" w:firstLineChars="200"/>
        <w:jc w:val="both"/>
        <w:rPr>
          <w:rFonts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rPr>
        <w:t>德宏</w:t>
      </w:r>
      <w:r>
        <w:rPr>
          <w:rFonts w:ascii="Times New Roman" w:hAnsi="Times New Roman" w:eastAsia="方正仿宋_GBK" w:cs="Times New Roman"/>
          <w:color w:val="auto"/>
          <w:sz w:val="32"/>
          <w:szCs w:val="32"/>
        </w:rPr>
        <w:t>州委、州政府高度重视食品安全工作，将食品安全工作纳入各级国民经济和社会发展规划、政府工作报告的重点任务。印发《德宏州深化改革加强食品安全工作的实施方案》，明确了全州食品安全工作近期和中长期工作目标和措施。制定出台《德宏州党政领导干部食品安全责任清单》，明确了各级党委领导责任和政府行政责任。将食品安全工作纳入</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平安德宏</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建设，纳入党政领导班子和领导干部综合考核评价内容，评议考核体系进一步完善。加强各级政府食安委和食品安全办建设，制定《德宏州人民政府食品安全委员会工作规则》《德宏州人民政府食品安全委员会食品安全专项协作小组议事规则》《德宏州人民政府食品安全委员会办公室工作细则》及成立6个专项协作小组等制度建设</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食安委及其办公室统筹协调及长效机制不断完善</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构建了分工明确、职责清晰、运转高效的工作机制</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olor w:val="auto"/>
          <w:sz w:val="32"/>
          <w:szCs w:val="32"/>
        </w:rPr>
        <w:t>建立部门权力清单和服务清单，不断完善行政执法规范化操作规程。</w:t>
      </w:r>
      <w:r>
        <w:rPr>
          <w:rFonts w:ascii="Times New Roman" w:hAnsi="Times New Roman" w:eastAsia="方正仿宋_GBK" w:cs="Times New Roman"/>
          <w:color w:val="auto"/>
          <w:sz w:val="32"/>
          <w:szCs w:val="32"/>
        </w:rPr>
        <w:t>州、县</w:t>
      </w:r>
      <w:r>
        <w:rPr>
          <w:rFonts w:hint="eastAsia" w:ascii="Times New Roman" w:hAnsi="Times New Roman" w:eastAsia="方正仿宋_GBK" w:cs="Times New Roman"/>
          <w:color w:val="auto"/>
          <w:sz w:val="32"/>
          <w:szCs w:val="32"/>
          <w:lang w:eastAsia="zh-CN"/>
        </w:rPr>
        <w:t>市</w:t>
      </w:r>
      <w:r>
        <w:rPr>
          <w:rFonts w:ascii="Times New Roman" w:hAnsi="Times New Roman" w:eastAsia="方正仿宋_GBK" w:cs="Times New Roman"/>
          <w:color w:val="auto"/>
          <w:sz w:val="32"/>
          <w:szCs w:val="32"/>
        </w:rPr>
        <w:t>食品安全监管体制改革顺利完成，</w:t>
      </w:r>
      <w:r>
        <w:rPr>
          <w:rFonts w:hint="eastAsia" w:ascii="Times New Roman" w:hAnsi="Times New Roman" w:eastAsia="方正仿宋_GBK" w:cs="Times New Roman"/>
          <w:color w:val="auto"/>
          <w:sz w:val="32"/>
          <w:szCs w:val="32"/>
        </w:rPr>
        <w:t>按监管区域组建</w:t>
      </w:r>
      <w:r>
        <w:rPr>
          <w:rFonts w:hint="eastAsia" w:ascii="Times New Roman" w:hAnsi="Times New Roman" w:eastAsia="方正仿宋_GBK" w:cs="Times New Roman"/>
          <w:color w:val="auto"/>
          <w:sz w:val="32"/>
          <w:szCs w:val="32"/>
          <w:lang w:val="en-US"/>
        </w:rPr>
        <w:t>30</w:t>
      </w:r>
      <w:r>
        <w:rPr>
          <w:rFonts w:ascii="Times New Roman" w:hAnsi="Times New Roman" w:eastAsia="方正仿宋_GBK" w:cs="Times New Roman"/>
          <w:color w:val="auto"/>
          <w:sz w:val="32"/>
          <w:szCs w:val="32"/>
          <w:lang w:val="en-US"/>
        </w:rPr>
        <w:t>个</w:t>
      </w:r>
      <w:r>
        <w:rPr>
          <w:rFonts w:ascii="Times New Roman" w:hAnsi="Times New Roman" w:eastAsia="方正仿宋_GBK" w:cs="Times New Roman"/>
          <w:color w:val="auto"/>
          <w:sz w:val="32"/>
          <w:szCs w:val="32"/>
        </w:rPr>
        <w:t>乡（镇）市场监管所，级别均为副科级</w:t>
      </w:r>
      <w:r>
        <w:rPr>
          <w:rFonts w:hint="eastAsia" w:ascii="Times New Roman" w:hAnsi="Times New Roman" w:eastAsia="方正仿宋_GBK" w:cs="Times New Roman"/>
          <w:color w:val="auto"/>
          <w:sz w:val="32"/>
          <w:szCs w:val="32"/>
        </w:rPr>
        <w:t>。食品检测机构有</w:t>
      </w:r>
      <w:r>
        <w:rPr>
          <w:rFonts w:hint="eastAsia" w:ascii="Times New Roman" w:hAnsi="Times New Roman" w:eastAsia="方正仿宋_GBK" w:cs="Times New Roman"/>
          <w:color w:val="auto"/>
          <w:sz w:val="32"/>
          <w:szCs w:val="32"/>
          <w:lang w:val="en-US"/>
        </w:rPr>
        <w:t>州级质量技术检测中心1个、食品药品检验所1个，县级</w:t>
      </w:r>
      <w:r>
        <w:rPr>
          <w:rFonts w:hint="eastAsia" w:ascii="Times New Roman" w:hAnsi="Times New Roman" w:eastAsia="方正仿宋_GBK" w:cs="Times New Roman"/>
          <w:color w:val="auto"/>
          <w:sz w:val="32"/>
          <w:szCs w:val="32"/>
        </w:rPr>
        <w:t>食品药品检验检测所</w:t>
      </w:r>
      <w:r>
        <w:rPr>
          <w:rFonts w:hint="eastAsia" w:ascii="Times New Roman" w:hAnsi="Times New Roman" w:eastAsia="方正仿宋_GBK" w:cs="Times New Roman"/>
          <w:color w:val="auto"/>
          <w:sz w:val="32"/>
          <w:szCs w:val="32"/>
          <w:lang w:val="en-US"/>
        </w:rPr>
        <w:t>4个</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全州所有乡镇行政村配备专兼职食品安全协管员（信息员）612人，自然村配备联络员1322人。州、县市、乡镇、村四级食品安全监管网络初步形成。</w:t>
      </w:r>
      <w:r>
        <w:rPr>
          <w:rFonts w:hint="eastAsia" w:ascii="Times New Roman" w:hAnsi="Times New Roman" w:eastAsia="方正仿宋_GBK"/>
          <w:color w:val="auto"/>
          <w:sz w:val="32"/>
          <w:szCs w:val="32"/>
        </w:rPr>
        <w:t>州公安局在</w:t>
      </w:r>
      <w:r>
        <w:rPr>
          <w:rFonts w:ascii="Times New Roman" w:hAnsi="Times New Roman" w:eastAsia="方正仿宋_GBK"/>
          <w:color w:val="auto"/>
          <w:sz w:val="32"/>
          <w:szCs w:val="32"/>
        </w:rPr>
        <w:t>治安</w:t>
      </w:r>
      <w:r>
        <w:rPr>
          <w:rFonts w:hint="eastAsia" w:ascii="Times New Roman" w:hAnsi="Times New Roman" w:eastAsia="方正仿宋_GBK"/>
          <w:color w:val="auto"/>
          <w:sz w:val="32"/>
          <w:szCs w:val="32"/>
        </w:rPr>
        <w:t>支队</w:t>
      </w:r>
      <w:r>
        <w:rPr>
          <w:rFonts w:ascii="Times New Roman" w:hAnsi="Times New Roman" w:eastAsia="方正仿宋_GBK"/>
          <w:color w:val="auto"/>
          <w:sz w:val="32"/>
          <w:szCs w:val="32"/>
        </w:rPr>
        <w:t>加挂了</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食药环旅侦查大队</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牌</w:t>
      </w:r>
      <w:r>
        <w:rPr>
          <w:rFonts w:ascii="Times New Roman" w:hAnsi="Times New Roman" w:eastAsia="方正仿宋_GBK"/>
          <w:color w:val="auto"/>
          <w:sz w:val="32"/>
          <w:szCs w:val="32"/>
        </w:rPr>
        <w:t>，承担相应的工作职责和任务</w:t>
      </w:r>
      <w:r>
        <w:rPr>
          <w:rFonts w:hint="eastAsia" w:ascii="Times New Roman" w:hAnsi="Times New Roman" w:eastAsia="方正仿宋_GBK"/>
          <w:color w:val="auto"/>
          <w:sz w:val="32"/>
          <w:szCs w:val="32"/>
        </w:rPr>
        <w:t>；农业农村部门在州县两级</w:t>
      </w:r>
      <w:r>
        <w:rPr>
          <w:rFonts w:ascii="Times New Roman" w:hAnsi="Times New Roman" w:eastAsia="方正仿宋_GBK"/>
          <w:color w:val="auto"/>
          <w:sz w:val="32"/>
          <w:szCs w:val="32"/>
        </w:rPr>
        <w:t>成立农业行政执法支队、执法大队，完成了工作职能</w:t>
      </w:r>
      <w:r>
        <w:rPr>
          <w:rFonts w:hint="eastAsia" w:ascii="Times New Roman" w:hAnsi="Times New Roman" w:eastAsia="方正仿宋_GBK"/>
          <w:color w:val="auto"/>
          <w:sz w:val="32"/>
          <w:szCs w:val="32"/>
        </w:rPr>
        <w:t>划分；新组建州市场监管综合行政执法支队整合了州市场监督管理局相关领域的监管执法职责，统一行使行政处罚权以及与之相关的行政检查、行政强制权，构建统一、权威、高效的市场监管执法体系，筑牢安全防线，维护公平竞争的市场秩序。完善行刑衔接机制，健全行政执法与刑事司法衔接工作机制，进一步加大对食品领域违法犯罪行为打击力度，切实维护人民群众生命安全和身体健康。</w:t>
      </w:r>
      <w:r>
        <w:rPr>
          <w:rFonts w:ascii="Times New Roman" w:hAnsi="Times New Roman" w:eastAsia="方正仿宋_GBK"/>
          <w:color w:val="auto"/>
          <w:sz w:val="32"/>
          <w:szCs w:val="32"/>
        </w:rPr>
        <w:t>建立健全食品安全法规标准体系</w:t>
      </w:r>
      <w:r>
        <w:rPr>
          <w:rFonts w:hint="eastAsia" w:ascii="Times New Roman" w:hAnsi="Times New Roman" w:eastAsia="方正仿宋_GBK"/>
          <w:color w:val="auto"/>
          <w:sz w:val="32"/>
          <w:szCs w:val="32"/>
        </w:rPr>
        <w:t>，突出德宏特色食品、民俗食品和重点品种，开展德宏特色食品工艺标准体系研究，研制撒苤、火烧猪（肉）、过手米线地方标准和制作工艺规程，完成德宏州地方标准《撒苤制作工</w:t>
      </w:r>
      <w:r>
        <w:rPr>
          <w:rFonts w:hint="eastAsia" w:ascii="Times New Roman" w:hAnsi="Times New Roman" w:eastAsia="方正仿宋_GBK"/>
          <w:color w:val="auto"/>
          <w:sz w:val="32"/>
          <w:szCs w:val="32"/>
          <w:lang w:eastAsia="zh-CN"/>
        </w:rPr>
        <w:t>艺</w:t>
      </w:r>
      <w:r>
        <w:rPr>
          <w:rFonts w:hint="eastAsia" w:ascii="Times New Roman" w:hAnsi="Times New Roman" w:eastAsia="方正仿宋_GBK"/>
          <w:color w:val="auto"/>
          <w:sz w:val="32"/>
          <w:szCs w:val="32"/>
        </w:rPr>
        <w:t>规程》《火烧猪制作工</w:t>
      </w:r>
      <w:r>
        <w:rPr>
          <w:rFonts w:hint="eastAsia" w:ascii="Times New Roman" w:hAnsi="Times New Roman" w:eastAsia="方正仿宋_GBK"/>
          <w:color w:val="auto"/>
          <w:sz w:val="32"/>
          <w:szCs w:val="32"/>
          <w:lang w:eastAsia="zh-CN"/>
        </w:rPr>
        <w:t>艺</w:t>
      </w:r>
      <w:r>
        <w:rPr>
          <w:rFonts w:hint="eastAsia" w:ascii="Times New Roman" w:hAnsi="Times New Roman" w:eastAsia="方正仿宋_GBK"/>
          <w:color w:val="auto"/>
          <w:sz w:val="32"/>
          <w:szCs w:val="32"/>
        </w:rPr>
        <w:t>规程》《过手米线制作工艺规程》的制定、批准发布实施，德宏特色食品工艺标准体系不断完善。完成了5个食品安全国家标准和2个食品安全地方标准跟踪评价，落实云南省企业标准备案规定，</w:t>
      </w:r>
      <w:r>
        <w:rPr>
          <w:rFonts w:hint="eastAsia" w:ascii="Times New Roman" w:hAnsi="Times New Roman" w:eastAsia="方正仿宋_GBK"/>
          <w:color w:val="auto"/>
          <w:sz w:val="32"/>
          <w:szCs w:val="32"/>
          <w:lang w:eastAsia="zh-CN"/>
        </w:rPr>
        <w:t>应</w:t>
      </w:r>
      <w:r>
        <w:rPr>
          <w:rFonts w:hint="eastAsia" w:ascii="Times New Roman" w:hAnsi="Times New Roman" w:eastAsia="方正仿宋_GBK"/>
          <w:color w:val="auto"/>
          <w:sz w:val="32"/>
          <w:szCs w:val="32"/>
        </w:rPr>
        <w:t>用云南省企业标准备案信息平台，完成企业标准备案111件。</w:t>
      </w:r>
    </w:p>
    <w:p w14:paraId="716E794E">
      <w:pPr>
        <w:pStyle w:val="6"/>
        <w:autoSpaceDE/>
        <w:autoSpaceDN/>
        <w:spacing w:line="560" w:lineRule="exact"/>
        <w:ind w:firstLine="640" w:firstLineChars="200"/>
        <w:jc w:val="both"/>
        <w:rPr>
          <w:rFonts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三、监管服务能力有新提升</w:t>
      </w:r>
    </w:p>
    <w:p w14:paraId="7B22BAC7">
      <w:pPr>
        <w:autoSpaceDE/>
        <w:autoSpaceDN/>
        <w:spacing w:line="560" w:lineRule="exact"/>
        <w:ind w:firstLine="640" w:firstLineChars="200"/>
        <w:jc w:val="both"/>
        <w:rPr>
          <w:rFonts w:ascii="Times New Roman" w:hAnsi="Times New Roman" w:eastAsia="仿宋_GB2312"/>
          <w:color w:val="auto"/>
          <w:sz w:val="32"/>
        </w:rPr>
      </w:pPr>
      <w:r>
        <w:rPr>
          <w:rFonts w:hint="eastAsia" w:ascii="宋体" w:hAnsi="宋体" w:eastAsia="方正仿宋_GBK" w:cs="方正仿宋_GBK"/>
          <w:color w:val="auto"/>
          <w:sz w:val="32"/>
          <w:szCs w:val="32"/>
        </w:rPr>
        <w:t>持续加大政策扶持和经费投入，监管力量和技术支撑不断加强。在省级支持下全州</w:t>
      </w:r>
      <w:r>
        <w:rPr>
          <w:rFonts w:hint="eastAsia" w:ascii="宋体" w:hAnsi="宋体" w:eastAsia="方正仿宋_GBK" w:cs="方正仿宋_GBK"/>
          <w:color w:val="auto"/>
          <w:sz w:val="32"/>
          <w:szCs w:val="32"/>
          <w:lang w:val="en-US"/>
        </w:rPr>
        <w:t>30</w:t>
      </w:r>
      <w:r>
        <w:rPr>
          <w:rFonts w:hint="eastAsia" w:ascii="宋体" w:hAnsi="宋体" w:eastAsia="方正仿宋_GBK" w:cs="方正仿宋_GBK"/>
          <w:color w:val="auto"/>
          <w:sz w:val="32"/>
          <w:szCs w:val="32"/>
        </w:rPr>
        <w:t>个乡镇市场监管所完成“八个一”能力提升项目工程。</w:t>
      </w:r>
      <w:r>
        <w:rPr>
          <w:rFonts w:ascii="Times New Roman" w:hAnsi="Times New Roman" w:eastAsia="方正仿宋_GBK" w:cs="Times New Roman"/>
          <w:color w:val="auto"/>
          <w:sz w:val="32"/>
          <w:szCs w:val="32"/>
        </w:rPr>
        <w:t>食品安全工作经费列入本级财政预算，</w:t>
      </w:r>
      <w:r>
        <w:rPr>
          <w:rFonts w:hint="eastAsia" w:ascii="Times New Roman" w:hAnsi="Times New Roman" w:eastAsia="方正仿宋_GBK" w:cs="Times New Roman"/>
          <w:color w:val="auto"/>
          <w:sz w:val="32"/>
          <w:szCs w:val="32"/>
        </w:rPr>
        <w:t>州财政</w:t>
      </w:r>
      <w:r>
        <w:rPr>
          <w:rFonts w:ascii="Times New Roman" w:hAnsi="Times New Roman" w:eastAsia="方正仿宋_GBK" w:cs="Times New Roman"/>
          <w:color w:val="auto"/>
          <w:sz w:val="32"/>
          <w:szCs w:val="32"/>
        </w:rPr>
        <w:t>累计拨付全州食品</w:t>
      </w:r>
      <w:r>
        <w:rPr>
          <w:rFonts w:hint="eastAsia" w:ascii="Times New Roman" w:hAnsi="Times New Roman" w:eastAsia="方正仿宋_GBK" w:cs="Times New Roman"/>
          <w:color w:val="auto"/>
          <w:sz w:val="32"/>
          <w:szCs w:val="32"/>
          <w:lang w:eastAsia="zh-CN"/>
        </w:rPr>
        <w:t>安全</w:t>
      </w:r>
      <w:r>
        <w:rPr>
          <w:rFonts w:ascii="Times New Roman" w:hAnsi="Times New Roman" w:eastAsia="方正仿宋_GBK" w:cs="Times New Roman"/>
          <w:color w:val="auto"/>
          <w:sz w:val="32"/>
          <w:szCs w:val="32"/>
        </w:rPr>
        <w:t>协管员信息员津贴补贴</w:t>
      </w:r>
      <w:r>
        <w:rPr>
          <w:rFonts w:hint="eastAsia" w:ascii="Times New Roman" w:hAnsi="Times New Roman" w:eastAsia="方正仿宋_GBK" w:cs="Times New Roman"/>
          <w:color w:val="auto"/>
          <w:sz w:val="32"/>
          <w:szCs w:val="32"/>
        </w:rPr>
        <w:t>经费</w:t>
      </w:r>
      <w:r>
        <w:rPr>
          <w:rFonts w:ascii="Times New Roman" w:hAnsi="Times New Roman" w:eastAsia="方正仿宋_GBK" w:cs="Times New Roman"/>
          <w:color w:val="auto"/>
          <w:sz w:val="32"/>
          <w:szCs w:val="32"/>
        </w:rPr>
        <w:t>153.18万元，拨付州食品药品检验所能力提升经费178.87万元。</w:t>
      </w:r>
      <w:r>
        <w:rPr>
          <w:rFonts w:hint="eastAsia" w:ascii="宋体" w:hAnsi="宋体" w:eastAsia="方正仿宋_GBK" w:cs="方正仿宋_GBK"/>
          <w:color w:val="auto"/>
          <w:sz w:val="32"/>
          <w:szCs w:val="32"/>
        </w:rPr>
        <w:t>积极推进区块链在农业产业现代化中的应用，普洱茶、蜂蜜、坚果、水果蔬菜等产品率先使用“孔雀码”，实现德宏名优产品“一品一码”防伪溯源。全州纳入云南重要产品追溯协同平台接入“绿色食品牌”大产业备案企业228家，全州53家生产经营主体上线省级追溯平台，48家生产经营主体上线国家追溯平台，绿色食品追溯体系进一步完善。全州推广应用省级进口冷链食品安全信息追溯平台“云智溯”，实现进口冷链食品</w:t>
      </w:r>
      <w:r>
        <w:rPr>
          <w:rFonts w:hint="eastAsia" w:ascii="宋体" w:hAnsi="宋体" w:eastAsia="方正仿宋_GBK" w:cs="方正仿宋_GBK"/>
          <w:color w:val="auto"/>
          <w:sz w:val="32"/>
          <w:szCs w:val="32"/>
          <w:lang w:val="en-US"/>
        </w:rPr>
        <w:t>“进、销、储、运”</w:t>
      </w:r>
      <w:r>
        <w:rPr>
          <w:rFonts w:hint="eastAsia" w:ascii="宋体" w:hAnsi="宋体" w:eastAsia="方正仿宋_GBK" w:cs="方正仿宋_GBK"/>
          <w:color w:val="auto"/>
          <w:sz w:val="32"/>
          <w:szCs w:val="32"/>
        </w:rPr>
        <w:t>全流程闭环管理。运用“互联网+食品监管”模式，不断提升食品生产、销售、餐饮服务日常监管效能。着力推进全州学校食堂、A级以上景区、大型餐馆等区域的“互联网+明厨亮灶”工作。</w:t>
      </w:r>
      <w:r>
        <w:rPr>
          <w:rFonts w:ascii="Times New Roman" w:hAnsi="Times New Roman" w:eastAsia="方正仿宋_GBK"/>
          <w:color w:val="auto"/>
          <w:sz w:val="32"/>
          <w:szCs w:val="32"/>
        </w:rPr>
        <w:t>突出抓好餐饮质量三年提升工程，打造明厨亮灶企业8379户（其中</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网络明厨亮灶企业10户）</w:t>
      </w:r>
      <w:r>
        <w:rPr>
          <w:rFonts w:hint="eastAsia" w:ascii="Times New Roman" w:hAnsi="Times New Roman" w:eastAsia="方正仿宋_GBK"/>
          <w:color w:val="auto"/>
          <w:sz w:val="32"/>
          <w:szCs w:val="32"/>
        </w:rPr>
        <w:t>。</w:t>
      </w:r>
      <w:r>
        <w:rPr>
          <w:rFonts w:ascii="宋体" w:hAnsi="宋体" w:eastAsia="方正仿宋_GBK" w:cs="方正仿宋_GBK"/>
          <w:color w:val="auto"/>
          <w:sz w:val="32"/>
          <w:szCs w:val="32"/>
          <w:lang w:val="en-US"/>
        </w:rPr>
        <w:t>把保障学校食品安全作为一项重大的政治任务来抓，</w:t>
      </w:r>
      <w:r>
        <w:rPr>
          <w:rFonts w:hint="eastAsia" w:ascii="宋体" w:hAnsi="宋体" w:eastAsia="方正仿宋_GBK" w:cs="方正仿宋_GBK"/>
          <w:color w:val="auto"/>
          <w:sz w:val="32"/>
          <w:szCs w:val="32"/>
          <w:lang w:val="en-US"/>
        </w:rPr>
        <w:t>全州学校食堂100%实现了“明厨亮灶”，全州学校食堂“六T”管理覆盖率达100%。</w:t>
      </w:r>
      <w:r>
        <w:rPr>
          <w:rFonts w:ascii="Times New Roman" w:hAnsi="Times New Roman" w:eastAsia="方正仿宋_GBK"/>
          <w:color w:val="auto"/>
          <w:sz w:val="32"/>
          <w:szCs w:val="32"/>
        </w:rPr>
        <w:t>实施餐厨垃圾收集处置</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5个县市均在垃圾场附近选址设立了餐厨垃圾临时处置点，强化对学校、机关食堂和餐饮企业的厨余垃圾（泔水）去向进行监督检查，严防餐厨剩余物流向生猪养殖场。</w:t>
      </w:r>
      <w:r>
        <w:rPr>
          <w:rFonts w:hint="eastAsia" w:ascii="宋体" w:hAnsi="宋体" w:eastAsia="方正仿宋_GBK" w:cs="方正仿宋_GBK"/>
          <w:color w:val="auto"/>
          <w:sz w:val="32"/>
          <w:szCs w:val="32"/>
        </w:rPr>
        <w:t>按照《云南省食品检查队伍岗前培训实施方案》要求，组织全州食品安全监管人员开展为期三年的检查</w:t>
      </w:r>
      <w:r>
        <w:rPr>
          <w:rFonts w:hint="eastAsia" w:ascii="宋体" w:hAnsi="宋体" w:eastAsia="方正仿宋_GBK" w:cs="方正仿宋_GBK"/>
          <w:color w:val="auto"/>
          <w:sz w:val="32"/>
          <w:szCs w:val="32"/>
          <w:lang w:val="en-US"/>
        </w:rPr>
        <w:t>队伍</w:t>
      </w:r>
      <w:r>
        <w:rPr>
          <w:rFonts w:hint="eastAsia" w:ascii="宋体" w:hAnsi="宋体" w:eastAsia="方正仿宋_GBK" w:cs="方正仿宋_GBK"/>
          <w:color w:val="auto"/>
          <w:sz w:val="32"/>
          <w:szCs w:val="32"/>
        </w:rPr>
        <w:t>岗前</w:t>
      </w:r>
      <w:r>
        <w:rPr>
          <w:rFonts w:hint="eastAsia" w:ascii="宋体" w:hAnsi="宋体" w:eastAsia="方正仿宋_GBK" w:cs="方正仿宋_GBK"/>
          <w:color w:val="auto"/>
          <w:sz w:val="32"/>
          <w:szCs w:val="32"/>
          <w:lang w:val="en-US"/>
        </w:rPr>
        <w:t>培训。</w:t>
      </w:r>
      <w:r>
        <w:rPr>
          <w:rFonts w:hint="eastAsia" w:ascii="宋体" w:hAnsi="宋体" w:eastAsia="方正仿宋_GBK" w:cs="方正仿宋_GBK"/>
          <w:color w:val="auto"/>
          <w:sz w:val="32"/>
          <w:szCs w:val="32"/>
        </w:rPr>
        <w:t>开展多层次应急演练培训，食品安全突发事件应急处置能力进一步提升。</w:t>
      </w:r>
    </w:p>
    <w:p w14:paraId="3AE33BF7">
      <w:pPr>
        <w:spacing w:line="560" w:lineRule="exact"/>
        <w:ind w:firstLine="640" w:firstLineChars="200"/>
        <w:rPr>
          <w:rFonts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四、监管执法力度持续加大</w:t>
      </w:r>
    </w:p>
    <w:p w14:paraId="74D4A55F">
      <w:pPr>
        <w:autoSpaceDE/>
        <w:autoSpaceDN/>
        <w:spacing w:line="560" w:lineRule="exact"/>
        <w:ind w:firstLine="640" w:firstLineChars="200"/>
        <w:jc w:val="both"/>
        <w:rPr>
          <w:color w:val="auto"/>
        </w:rPr>
      </w:pPr>
      <w:r>
        <w:rPr>
          <w:rFonts w:hint="eastAsia" w:ascii="Times New Roman" w:hAnsi="Times New Roman" w:eastAsia="方正仿宋_GBK" w:cs="Times New Roman"/>
          <w:color w:val="auto"/>
          <w:sz w:val="32"/>
          <w:szCs w:val="32"/>
          <w:lang w:val="en-US" w:eastAsia="zh-CN"/>
        </w:rPr>
        <w:t>食品安全源头治理不断深入，持续打好污染防治攻坚战，完成177家企业“散乱污”整治，全州8个“千吨万人”水源、27个“千人级”乡镇水源、6个县级以上城市水源、2个城市备用水源保护区划定工作完成，饮用水源地水质100%达标。</w:t>
      </w:r>
      <w:r>
        <w:rPr>
          <w:rFonts w:ascii="Times New Roman" w:hAnsi="Times New Roman" w:eastAsia="方正仿宋_GBK" w:cs="Times New Roman"/>
          <w:color w:val="auto"/>
          <w:sz w:val="32"/>
          <w:szCs w:val="32"/>
        </w:rPr>
        <w:t>全州170座加油站完成了地下油罐防渗改造。对辖区内10个尾矿库开展环境状况调查及风险评估，建立环境风险管理档案。</w:t>
      </w:r>
      <w:r>
        <w:rPr>
          <w:rFonts w:hint="eastAsia" w:ascii="Times New Roman" w:hAnsi="Times New Roman" w:eastAsia="方正仿宋_GBK" w:cs="Times New Roman"/>
          <w:color w:val="auto"/>
          <w:sz w:val="32"/>
          <w:szCs w:val="32"/>
        </w:rPr>
        <w:t>顺利完成农村生活污水治理任务，二类县和三类县均达到考核目标。</w:t>
      </w:r>
      <w:r>
        <w:rPr>
          <w:rFonts w:ascii="Times New Roman" w:hAnsi="Times New Roman" w:eastAsia="方正仿宋_GBK" w:cs="Times New Roman"/>
          <w:color w:val="auto"/>
          <w:sz w:val="32"/>
          <w:szCs w:val="32"/>
        </w:rPr>
        <w:t>全面加强食品安全抽检监测，实现重点区域、生产企业、重要安全性指标、食品类别和食品业态有效覆盖。加强日常监管和重点整治，以常态化监管为主线，督促经营者严格落实各项食品安全管理制度，强化网络订餐食品安全监管。突出重点食品、重点环节、重点区域开展重点整治，严厉查处违法违规经营行为。各级各部门严格落实</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四个最严</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，持续加大食品生产经营各环节监管执法力度，</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十三五</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期间，查处食品安全违法案件3340起（含无主案件），案值11808.41万元；集中销毁假冒伪劣</w:t>
      </w:r>
      <w:r>
        <w:rPr>
          <w:rFonts w:hint="eastAsia" w:ascii="Times New Roman" w:hAnsi="Times New Roman" w:eastAsia="方正仿宋_GBK" w:cs="Times New Roman"/>
          <w:color w:val="auto"/>
          <w:sz w:val="32"/>
          <w:szCs w:val="32"/>
        </w:rPr>
        <w:t>或无中文标识的</w:t>
      </w:r>
      <w:r>
        <w:rPr>
          <w:rFonts w:ascii="Times New Roman" w:hAnsi="Times New Roman" w:eastAsia="方正仿宋_GBK" w:cs="Times New Roman"/>
          <w:color w:val="auto"/>
          <w:sz w:val="32"/>
          <w:szCs w:val="32"/>
        </w:rPr>
        <w:t>食品</w:t>
      </w:r>
      <w:r>
        <w:rPr>
          <w:rFonts w:hint="eastAsia" w:ascii="Times New Roman" w:hAnsi="Times New Roman" w:eastAsia="方正仿宋_GBK" w:cs="Times New Roman"/>
          <w:color w:val="auto"/>
          <w:sz w:val="32"/>
          <w:szCs w:val="32"/>
        </w:rPr>
        <w:t>货值</w:t>
      </w:r>
      <w:r>
        <w:rPr>
          <w:rFonts w:hint="eastAsia" w:ascii="Times New Roman" w:hAnsi="Times New Roman" w:eastAsia="方正仿宋_GBK" w:cs="Times New Roman"/>
          <w:color w:val="auto"/>
          <w:sz w:val="32"/>
          <w:szCs w:val="32"/>
          <w:lang w:val="en-US"/>
        </w:rPr>
        <w:t>760余万元</w:t>
      </w:r>
      <w:r>
        <w:rPr>
          <w:rFonts w:ascii="Times New Roman" w:hAnsi="Times New Roman" w:eastAsia="方正仿宋_GBK" w:cs="Times New Roman"/>
          <w:color w:val="auto"/>
          <w:sz w:val="32"/>
          <w:szCs w:val="32"/>
        </w:rPr>
        <w:t>。持续开展打击食药违法犯罪</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利剑</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昆仑</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专项行动，侦办食品药品安全犯罪案件53件、抓获犯罪嫌疑人19人。完成在养禁食陆生野生动物退出养殖261个（302户）处置工作，列入《国家畜禽遗传资源目录》《国家重点保护水生动物名录》和蛙类等动物39家养殖场所，保留非食用野生动物人工繁育场所16家。以推进爱国卫生</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净餐馆</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管集市</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专项行动为契机，督促餐饮服务单位、农贸市场开办方和食品经营者落实主体责任，全州落实农贸市场提升改造</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一场一策</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及餐馆</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不达标就整改，不整改就停业</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的要求，全州应完成达标整改的食品经营户5152家，已完成3485家。城区32个农贸市场基本达标24个，正在提升改造2个；淘汰取缔1个；正在重建4个，重建完成1个。牵头完成洗手设施安装223座。及时发布误食有毒野生菌和农村集体聚餐食物中毒预警通告和各类食品安全信息，对食物中毒事件多发的地区开展专项督办</w:t>
      </w:r>
      <w:r>
        <w:rPr>
          <w:rFonts w:ascii="Times New Roman" w:hAnsi="Times New Roman" w:eastAsia="方正仿宋_GBK" w:cs="Times New Roman"/>
          <w:color w:val="auto"/>
          <w:sz w:val="32"/>
          <w:szCs w:val="32"/>
          <w:lang w:val="en-US"/>
        </w:rPr>
        <w:t>，</w:t>
      </w:r>
      <w:r>
        <w:rPr>
          <w:rFonts w:ascii="Times New Roman" w:hAnsi="Times New Roman" w:eastAsia="方正仿宋_GBK" w:cs="Times New Roman"/>
          <w:color w:val="auto"/>
          <w:sz w:val="32"/>
          <w:szCs w:val="32"/>
        </w:rPr>
        <w:t>食物中毒防控工作不断加强。</w:t>
      </w:r>
    </w:p>
    <w:p w14:paraId="0281F889">
      <w:pPr>
        <w:spacing w:line="560" w:lineRule="exact"/>
        <w:ind w:firstLine="640" w:firstLineChars="200"/>
        <w:rPr>
          <w:rFonts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五、技术支撑保障能力大幅提升</w:t>
      </w:r>
    </w:p>
    <w:p w14:paraId="522EDBFD">
      <w:pPr>
        <w:spacing w:line="560" w:lineRule="exact"/>
        <w:ind w:firstLine="640" w:firstLineChars="200"/>
        <w:rPr>
          <w:rFonts w:ascii="Times New Roman" w:hAnsi="Times New Roman" w:eastAsia="方正仿宋_GBK"/>
          <w:color w:val="auto"/>
          <w:sz w:val="32"/>
          <w:szCs w:val="32"/>
          <w:lang w:val="en-US"/>
        </w:rPr>
      </w:pPr>
      <w:r>
        <w:rPr>
          <w:rFonts w:ascii="Times New Roman" w:hAnsi="Times New Roman" w:eastAsia="方正仿宋_GBK" w:cs="Times New Roman"/>
          <w:color w:val="auto"/>
          <w:sz w:val="32"/>
          <w:szCs w:val="32"/>
        </w:rPr>
        <w:t>食品监测覆盖范围不断扩大，全州71个医疗保健机构纳入食源性疾病监测网络哨点医院，病原学监测</w:t>
      </w:r>
      <w:r>
        <w:rPr>
          <w:rFonts w:hint="eastAsia" w:ascii="Times New Roman" w:hAnsi="Times New Roman" w:eastAsia="方正仿宋_GBK" w:cs="Times New Roman"/>
          <w:color w:val="auto"/>
          <w:sz w:val="32"/>
          <w:szCs w:val="32"/>
          <w:lang w:eastAsia="zh-CN"/>
        </w:rPr>
        <w:t>哨点</w:t>
      </w:r>
      <w:r>
        <w:rPr>
          <w:rFonts w:ascii="Times New Roman" w:hAnsi="Times New Roman" w:eastAsia="方正仿宋_GBK" w:cs="Times New Roman"/>
          <w:color w:val="auto"/>
          <w:sz w:val="32"/>
          <w:szCs w:val="32"/>
        </w:rPr>
        <w:t>医院1个，完成监测样品1673件，获得监测数据11232条。</w:t>
      </w:r>
      <w:r>
        <w:rPr>
          <w:rFonts w:ascii="Times New Roman" w:hAnsi="Times New Roman" w:eastAsia="方正仿宋_GBK" w:cs="Times New Roman"/>
          <w:color w:val="auto"/>
          <w:sz w:val="32"/>
          <w:szCs w:val="32"/>
          <w:lang w:val="en-US"/>
        </w:rPr>
        <w:t>全州</w:t>
      </w:r>
      <w:r>
        <w:rPr>
          <w:rFonts w:ascii="Times New Roman" w:hAnsi="Times New Roman" w:eastAsia="方正仿宋_GBK" w:cs="Times New Roman"/>
          <w:color w:val="auto"/>
          <w:sz w:val="32"/>
          <w:szCs w:val="32"/>
        </w:rPr>
        <w:t>完成农产品质量检测站建设，</w:t>
      </w:r>
      <w:r>
        <w:rPr>
          <w:rFonts w:ascii="Times New Roman" w:hAnsi="Times New Roman" w:eastAsia="方正仿宋_GBK" w:cs="Times New Roman"/>
          <w:color w:val="auto"/>
          <w:sz w:val="32"/>
          <w:szCs w:val="32"/>
          <w:lang w:val="en-US"/>
        </w:rPr>
        <w:t>现有食品（农产品）安全检验机构10个</w:t>
      </w:r>
      <w:r>
        <w:rPr>
          <w:rFonts w:ascii="Times New Roman" w:hAnsi="Times New Roman" w:eastAsia="方正仿宋_GBK" w:cs="Times New Roman"/>
          <w:color w:val="auto"/>
          <w:sz w:val="32"/>
          <w:szCs w:val="32"/>
        </w:rPr>
        <w:t>，州级1家、县级农产品质量安全检测机构</w:t>
      </w:r>
      <w:r>
        <w:rPr>
          <w:rFonts w:ascii="Times New Roman" w:hAnsi="Times New Roman" w:eastAsia="方正仿宋_GBK" w:cs="Times New Roman"/>
          <w:color w:val="auto"/>
          <w:sz w:val="32"/>
          <w:szCs w:val="32"/>
          <w:lang w:val="en-US"/>
        </w:rPr>
        <w:t>4</w:t>
      </w:r>
      <w:r>
        <w:rPr>
          <w:rFonts w:ascii="Times New Roman" w:hAnsi="Times New Roman" w:eastAsia="方正仿宋_GBK" w:cs="Times New Roman"/>
          <w:color w:val="auto"/>
          <w:sz w:val="32"/>
          <w:szCs w:val="32"/>
        </w:rPr>
        <w:t>家通过</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双认证</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lang w:val="en-US"/>
        </w:rPr>
        <w:t>。州食品药品检验所、瑞丽食品药品检验所，机构实验室用房达到国家标准</w:t>
      </w:r>
      <w:r>
        <w:rPr>
          <w:rFonts w:hint="eastAsia" w:ascii="Times New Roman" w:hAnsi="Times New Roman" w:eastAsia="方正仿宋_GBK" w:cs="Times New Roman"/>
          <w:color w:val="auto"/>
          <w:sz w:val="32"/>
          <w:szCs w:val="32"/>
          <w:lang w:val="en-US"/>
        </w:rPr>
        <w:t>；</w:t>
      </w:r>
      <w:r>
        <w:rPr>
          <w:rFonts w:ascii="Times New Roman" w:hAnsi="Times New Roman" w:eastAsia="方正仿宋_GBK" w:cs="Times New Roman"/>
          <w:color w:val="auto"/>
          <w:sz w:val="32"/>
          <w:szCs w:val="32"/>
          <w:lang w:val="en-US"/>
        </w:rPr>
        <w:t>州食品药品检验所实验室检验参数</w:t>
      </w:r>
      <w:r>
        <w:rPr>
          <w:rFonts w:hint="eastAsia" w:ascii="Times New Roman" w:hAnsi="Times New Roman" w:eastAsia="方正仿宋_GBK" w:cs="Times New Roman"/>
          <w:color w:val="auto"/>
          <w:sz w:val="32"/>
          <w:szCs w:val="32"/>
          <w:lang w:val="en-US"/>
        </w:rPr>
        <w:t>达</w:t>
      </w:r>
      <w:r>
        <w:rPr>
          <w:rFonts w:ascii="Times New Roman" w:hAnsi="Times New Roman" w:eastAsia="方正仿宋_GBK" w:cs="Times New Roman"/>
          <w:color w:val="auto"/>
          <w:sz w:val="32"/>
          <w:szCs w:val="32"/>
          <w:lang w:val="en-US"/>
        </w:rPr>
        <w:t>1256项</w:t>
      </w:r>
      <w:r>
        <w:rPr>
          <w:rFonts w:hint="eastAsia" w:ascii="Times New Roman" w:hAnsi="Times New Roman" w:eastAsia="方正仿宋_GBK" w:cs="Times New Roman"/>
          <w:color w:val="auto"/>
          <w:sz w:val="32"/>
          <w:szCs w:val="32"/>
          <w:lang w:val="en-US"/>
        </w:rPr>
        <w:t>，比</w:t>
      </w:r>
      <w:r>
        <w:rPr>
          <w:rFonts w:ascii="Times New Roman" w:hAnsi="Times New Roman" w:eastAsia="方正仿宋_GBK" w:cs="Times New Roman"/>
          <w:color w:val="auto"/>
          <w:sz w:val="32"/>
          <w:szCs w:val="32"/>
          <w:lang w:val="en-US"/>
        </w:rPr>
        <w:t>2015年216项检验参数</w:t>
      </w:r>
      <w:r>
        <w:rPr>
          <w:rFonts w:hint="eastAsia" w:ascii="Times New Roman" w:hAnsi="Times New Roman" w:eastAsia="方正仿宋_GBK" w:cs="Times New Roman"/>
          <w:color w:val="auto"/>
          <w:sz w:val="32"/>
          <w:szCs w:val="32"/>
          <w:lang w:val="en-US"/>
        </w:rPr>
        <w:t>增长481.5%</w:t>
      </w:r>
      <w:r>
        <w:rPr>
          <w:rFonts w:ascii="Times New Roman" w:hAnsi="Times New Roman" w:eastAsia="方正仿宋_GBK" w:cs="Times New Roman"/>
          <w:color w:val="auto"/>
          <w:sz w:val="32"/>
          <w:szCs w:val="32"/>
          <w:lang w:val="en-US"/>
        </w:rPr>
        <w:t>，食品检验能力大幅提升。各县市市场监管局均配备快速检测车，具备快速筛查能力。全州食用农产品和食品抽检量达到辖区人口总数的4批次/千人</w:t>
      </w:r>
      <w:r>
        <w:rPr>
          <w:rFonts w:hint="default" w:ascii="Times New Roman" w:hAnsi="Times New Roman" w:eastAsia="方正仿宋_GBK" w:cs="Times New Roman"/>
          <w:color w:val="auto"/>
          <w:sz w:val="32"/>
          <w:szCs w:val="32"/>
          <w:lang w:val="en-US"/>
        </w:rPr>
        <w:t>·</w:t>
      </w:r>
      <w:r>
        <w:rPr>
          <w:rFonts w:ascii="Times New Roman" w:hAnsi="Times New Roman" w:eastAsia="方正仿宋_GBK" w:cs="Times New Roman"/>
          <w:color w:val="auto"/>
          <w:sz w:val="32"/>
          <w:szCs w:val="32"/>
          <w:lang w:val="en-US"/>
        </w:rPr>
        <w:t>年。</w:t>
      </w:r>
    </w:p>
    <w:p w14:paraId="684890E6">
      <w:pPr>
        <w:spacing w:line="560" w:lineRule="exact"/>
        <w:ind w:firstLine="640" w:firstLineChars="200"/>
        <w:rPr>
          <w:rFonts w:ascii="方正黑体_GBK" w:hAnsi="方正黑体_GBK" w:eastAsia="方正黑体_GBK" w:cs="方正黑体_GBK"/>
          <w:color w:val="auto"/>
          <w:sz w:val="32"/>
          <w:lang w:val="en-US"/>
        </w:rPr>
      </w:pPr>
      <w:r>
        <w:rPr>
          <w:rFonts w:hint="eastAsia" w:ascii="方正黑体_GBK" w:hAnsi="方正黑体_GBK" w:eastAsia="方正黑体_GBK" w:cs="方正黑体_GBK"/>
          <w:color w:val="auto"/>
          <w:sz w:val="32"/>
          <w:lang w:val="en-US"/>
        </w:rPr>
        <w:t>六、社会共治基础更加牢固</w:t>
      </w:r>
    </w:p>
    <w:bookmarkEnd w:id="8"/>
    <w:bookmarkEnd w:id="9"/>
    <w:bookmarkEnd w:id="10"/>
    <w:p w14:paraId="3AAE8C7B">
      <w:pPr>
        <w:pStyle w:val="6"/>
        <w:spacing w:line="560" w:lineRule="exact"/>
        <w:ind w:firstLine="640" w:firstLineChars="200"/>
        <w:jc w:val="both"/>
        <w:rPr>
          <w:rFonts w:ascii="宋体" w:hAnsi="宋体" w:eastAsia="方正仿宋_GBK" w:cs="方正仿宋_GBK"/>
          <w:bCs/>
          <w:color w:val="auto"/>
          <w:sz w:val="32"/>
          <w:szCs w:val="32"/>
        </w:rPr>
      </w:pPr>
      <w:bookmarkStart w:id="14" w:name="_Toc66134804"/>
      <w:r>
        <w:rPr>
          <w:rFonts w:hint="eastAsia" w:ascii="Times New Roman" w:hAnsi="Times New Roman" w:eastAsia="方正仿宋_GBK"/>
          <w:color w:val="auto"/>
          <w:sz w:val="32"/>
          <w:szCs w:val="32"/>
          <w:lang w:val="en-US"/>
        </w:rPr>
        <w:t>持续开展食品安全示范城市创建和农产品质量安全县创建的“双安双创”活动，芒市创建云南省食品安全示范城市工作成效明显，瑞丽市创建国家级农产品质量安全县，2019年通过验收，同年得到农业农村部授牌。盈江县创建省级农产品质量安全县，2019年通过验收。持续开展农村义务教育学生营养改善计划，全州5个县市455所中小学校开展营养改善计划试点，惠及全州188894人农村义务教育阶段学生。积极推广食品安全责任保险，2020年末，德宏州承保食品安全责任险的机构有4家，办理食品安全责任保险197笔，保费收入23.95万元，承保金额38513万元。组织实施国民营养计划，在少数民族地区开展营养与健康状况调查，在部分地区开展含油、盐、糖食物消费量调查，提升人民群众的健康安全意识。顺利完成 12315、12365、12331、12358、12330等热线整合，提升投诉举报平台功能，及时答复和处置食品类投诉举报案件和信息，按时办结率100%。遴选专家建立州食品安全专家委员会，协助开展应急管理、风险监测等工作。邀请人大代表、政协委员、行业专家和媒体记者参加“实验室开放日”活动。持续开展城乡居民满意度调查，全面了解城乡居民对食品安全的满意程度，客观把握全州食品安全总体状况。开展食品安全“你点我检”活动，积极引导公众参与食品安全工作。加强食品安全宣传引导，组织开展“食品安全宣传周”“电影下乡”和食品安全“七进”等系列宣传活动，进一步营造了全社会共同关注关心食品安全的良好氛围。</w:t>
      </w:r>
    </w:p>
    <w:p w14:paraId="531C9E7F">
      <w:pPr>
        <w:spacing w:line="560" w:lineRule="exact"/>
        <w:ind w:firstLine="640" w:firstLineChars="200"/>
        <w:jc w:val="both"/>
        <w:rPr>
          <w:rFonts w:hint="eastAsia" w:ascii="宋体" w:hAnsi="宋体" w:eastAsia="方正仿宋_GBK" w:cs="方正仿宋_GBK"/>
          <w:color w:val="auto"/>
          <w:sz w:val="32"/>
          <w:szCs w:val="32"/>
        </w:rPr>
      </w:pPr>
      <w:r>
        <w:rPr>
          <w:rFonts w:hint="eastAsia" w:ascii="宋体" w:hAnsi="宋体" w:eastAsia="方正仿宋_GBK" w:cs="方正仿宋_GBK"/>
          <w:bCs/>
          <w:color w:val="auto"/>
          <w:sz w:val="32"/>
          <w:szCs w:val="32"/>
        </w:rPr>
        <w:t>在充分肯定成绩的同时，我们也清醒地看到，食品安全监管工作中还存在一些薄弱环节，风险隐患依然存在，</w:t>
      </w:r>
      <w:r>
        <w:rPr>
          <w:rFonts w:hint="eastAsia" w:ascii="宋体" w:hAnsi="宋体" w:eastAsia="方正仿宋_GBK" w:cs="方正仿宋_GBK"/>
          <w:color w:val="auto"/>
          <w:sz w:val="32"/>
          <w:szCs w:val="32"/>
        </w:rPr>
        <w:t>食品安全治理能力和治理水平离上级部门的要求和群众的期待仍有差距和不足。</w:t>
      </w:r>
      <w:r>
        <w:rPr>
          <w:rFonts w:hint="eastAsia" w:eastAsia="方正仿宋_GBK"/>
          <w:b/>
          <w:bCs/>
          <w:color w:val="auto"/>
          <w:sz w:val="32"/>
          <w:szCs w:val="32"/>
        </w:rPr>
        <w:t>一是食品安全工作依然面临较大压力。</w:t>
      </w:r>
      <w:r>
        <w:rPr>
          <w:rFonts w:hint="eastAsia" w:eastAsia="方正仿宋_GBK"/>
          <w:color w:val="auto"/>
          <w:sz w:val="32"/>
          <w:szCs w:val="32"/>
        </w:rPr>
        <w:t>食品安全监管工作点多、面广、线长，监管力量不足等问题仍然十分突出，特别在当前疫情防控常态化条件下，通过冷链和非冷链食品传播的风险依然存在，“净餐馆”“管集市”专项行动有待巩固深化，监管手段、人员和技术力量薄弱，食品安全监管的难度和工作压力进一步加大。</w:t>
      </w:r>
      <w:r>
        <w:rPr>
          <w:rFonts w:hint="eastAsia" w:ascii="宋体" w:hAnsi="宋体" w:eastAsia="方正仿宋_GBK" w:cs="方正仿宋_GBK"/>
          <w:b/>
          <w:bCs/>
          <w:color w:val="auto"/>
          <w:sz w:val="32"/>
          <w:szCs w:val="32"/>
        </w:rPr>
        <w:t>二是食品源头污染治理是一个长期的过程。</w:t>
      </w:r>
      <w:r>
        <w:rPr>
          <w:rFonts w:hint="eastAsia" w:ascii="宋体" w:hAnsi="宋体" w:eastAsia="方正仿宋_GBK" w:cs="方正仿宋_GBK"/>
          <w:color w:val="auto"/>
          <w:sz w:val="32"/>
          <w:szCs w:val="32"/>
        </w:rPr>
        <w:t>我州大气、水体、土壤污染总体形势不容乐观，农业投入品使用管控难，食品源头污染和产地环境污染治理难度较大。微生物和重金属污染、农药兽药残留超标、非法添加非食用物质、超限量和超范围使用添加剂、制假售假等问题时有发生，环境污染对食品安全的影响短期内难以消除。</w:t>
      </w:r>
      <w:r>
        <w:rPr>
          <w:rFonts w:hint="eastAsia" w:ascii="宋体" w:hAnsi="宋体" w:eastAsia="方正仿宋_GBK" w:cs="方正仿宋_GBK"/>
          <w:b/>
          <w:bCs/>
          <w:color w:val="auto"/>
          <w:sz w:val="32"/>
          <w:szCs w:val="32"/>
        </w:rPr>
        <w:t>三是食品产业发展基础薄弱管理粗放。</w:t>
      </w:r>
      <w:r>
        <w:rPr>
          <w:rFonts w:hint="eastAsia" w:ascii="宋体" w:hAnsi="宋体" w:eastAsia="方正仿宋_GBK" w:cs="方正仿宋_GBK"/>
          <w:color w:val="auto"/>
          <w:sz w:val="32"/>
          <w:szCs w:val="32"/>
        </w:rPr>
        <w:t>食品生产尚未形成产业集聚发展的格局，食品产业基础薄弱，生产企业普遍存在规模小、工艺落后、集约化程度低，从业人员水平不高，落实主体责任意识薄弱，企业管理制度不健全或执行不到位，食品安全风险隐患大。</w:t>
      </w:r>
      <w:r>
        <w:rPr>
          <w:rFonts w:hint="eastAsia" w:ascii="宋体" w:hAnsi="宋体" w:eastAsia="方正仿宋_GBK" w:cs="方正仿宋_GBK"/>
          <w:b/>
          <w:bCs/>
          <w:color w:val="auto"/>
          <w:sz w:val="32"/>
          <w:szCs w:val="32"/>
        </w:rPr>
        <w:t>四是食品新业态、新资源复杂多样，潜在风险增多。</w:t>
      </w:r>
      <w:r>
        <w:rPr>
          <w:rFonts w:hint="eastAsia" w:ascii="宋体" w:hAnsi="宋体" w:eastAsia="方正仿宋_GBK" w:cs="方正仿宋_GBK"/>
          <w:color w:val="auto"/>
          <w:sz w:val="32"/>
          <w:szCs w:val="32"/>
        </w:rPr>
        <w:t>直播带货、互联网经营以及集生产、餐饮、零售、文化体验等为一体的食品新业态、新商业模式层出不穷，新技术、新产品、新食品原料的应用更加广泛，发现和控制风险的难度不断加大。同时，公开曝光、处罚到人等要求没有完全落实，严惩重处的态势尚未真正形成。</w:t>
      </w:r>
      <w:r>
        <w:rPr>
          <w:rFonts w:hint="eastAsia" w:ascii="宋体" w:hAnsi="宋体" w:eastAsia="方正仿宋_GBK" w:cs="方正仿宋_GBK"/>
          <w:b/>
          <w:bCs/>
          <w:color w:val="auto"/>
          <w:sz w:val="32"/>
          <w:szCs w:val="32"/>
        </w:rPr>
        <w:t>五是农村地区食品安全隐患仍然突出。</w:t>
      </w:r>
      <w:r>
        <w:rPr>
          <w:rFonts w:ascii="宋体" w:hAnsi="宋体" w:eastAsia="方正仿宋_GBK" w:cs="方正仿宋_GBK"/>
          <w:color w:val="auto"/>
          <w:sz w:val="32"/>
          <w:szCs w:val="32"/>
        </w:rPr>
        <w:t>群众经济基础差、消费水平低、食品安全意识淡薄</w:t>
      </w:r>
      <w:r>
        <w:rPr>
          <w:rFonts w:hint="eastAsia" w:ascii="宋体" w:hAnsi="宋体" w:eastAsia="方正仿宋_GBK" w:cs="方正仿宋_GBK"/>
          <w:color w:val="auto"/>
          <w:sz w:val="32"/>
          <w:szCs w:val="32"/>
        </w:rPr>
        <w:t>、</w:t>
      </w:r>
      <w:r>
        <w:rPr>
          <w:rFonts w:hint="eastAsia" w:eastAsia="方正仿宋_GBK"/>
          <w:color w:val="auto"/>
          <w:sz w:val="32"/>
          <w:szCs w:val="32"/>
        </w:rPr>
        <w:t>不良饮食习惯依然存在</w:t>
      </w:r>
      <w:r>
        <w:rPr>
          <w:rFonts w:ascii="宋体" w:hAnsi="宋体" w:eastAsia="方正仿宋_GBK" w:cs="方正仿宋_GBK"/>
          <w:color w:val="auto"/>
          <w:sz w:val="32"/>
          <w:szCs w:val="32"/>
        </w:rPr>
        <w:t>等成为食品安全监管的难点和薄弱环节</w:t>
      </w:r>
      <w:r>
        <w:rPr>
          <w:rFonts w:hint="eastAsia" w:ascii="宋体" w:hAnsi="宋体" w:eastAsia="方正仿宋_GBK" w:cs="方正仿宋_GBK"/>
          <w:color w:val="auto"/>
          <w:sz w:val="32"/>
          <w:szCs w:val="32"/>
        </w:rPr>
        <w:t>；假冒伪劣食品由城镇向农村迁移，造成较大风险隐患</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自采误食有毒野生菌、</w:t>
      </w:r>
      <w:r>
        <w:rPr>
          <w:rFonts w:hint="eastAsia" w:eastAsia="方正仿宋_GBK"/>
          <w:color w:val="auto"/>
          <w:sz w:val="32"/>
          <w:szCs w:val="32"/>
        </w:rPr>
        <w:t>毒性中药材、</w:t>
      </w:r>
      <w:r>
        <w:rPr>
          <w:rFonts w:hint="eastAsia" w:ascii="宋体" w:hAnsi="宋体" w:eastAsia="方正仿宋_GBK" w:cs="方正仿宋_GBK"/>
          <w:color w:val="auto"/>
          <w:sz w:val="32"/>
          <w:szCs w:val="32"/>
        </w:rPr>
        <w:t>误饮假酒和醇基燃料、农村自办宴席集体聚餐中毒等事件时有发生</w:t>
      </w:r>
      <w:r>
        <w:rPr>
          <w:rFonts w:hint="eastAsia" w:eastAsia="方正仿宋_GBK"/>
          <w:color w:val="auto"/>
          <w:sz w:val="32"/>
          <w:szCs w:val="32"/>
        </w:rPr>
        <w:t>，宣传工作任重道远。</w:t>
      </w:r>
      <w:r>
        <w:rPr>
          <w:rFonts w:hint="eastAsia" w:ascii="宋体" w:hAnsi="宋体" w:eastAsia="方正仿宋_GBK" w:cs="方正仿宋_GBK"/>
          <w:b/>
          <w:bCs/>
          <w:color w:val="auto"/>
          <w:sz w:val="32"/>
          <w:szCs w:val="32"/>
        </w:rPr>
        <w:t>六是食品安全监管体系</w:t>
      </w:r>
      <w:r>
        <w:rPr>
          <w:rFonts w:hint="eastAsia" w:ascii="宋体" w:hAnsi="宋体" w:eastAsia="方正仿宋_GBK" w:cs="方正仿宋_GBK"/>
          <w:b/>
          <w:bCs/>
          <w:color w:val="auto"/>
          <w:sz w:val="32"/>
          <w:szCs w:val="32"/>
          <w:lang w:eastAsia="zh-CN"/>
        </w:rPr>
        <w:t>有待</w:t>
      </w:r>
      <w:r>
        <w:rPr>
          <w:rFonts w:hint="eastAsia" w:ascii="宋体" w:hAnsi="宋体" w:eastAsia="方正仿宋_GBK" w:cs="方正仿宋_GBK"/>
          <w:b/>
          <w:bCs/>
          <w:color w:val="auto"/>
          <w:sz w:val="32"/>
          <w:szCs w:val="32"/>
        </w:rPr>
        <w:t>完善。</w:t>
      </w:r>
      <w:r>
        <w:rPr>
          <w:rFonts w:hint="eastAsia" w:ascii="宋体" w:hAnsi="宋体" w:eastAsia="方正仿宋_GBK" w:cs="方正仿宋_GBK"/>
          <w:color w:val="auto"/>
          <w:sz w:val="32"/>
          <w:szCs w:val="32"/>
        </w:rPr>
        <w:t>跨区协作、部门配合、上下联动的食品安全监管格局尚未完全形成</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基层基础设施、执法装备、监管手段、检测能力相对落后，与日益繁重的工作任务不适应、不匹配的矛盾依然突出。</w:t>
      </w:r>
      <w:r>
        <w:rPr>
          <w:rFonts w:hint="eastAsia" w:eastAsia="方正仿宋_GBK"/>
          <w:color w:val="auto"/>
          <w:sz w:val="32"/>
          <w:szCs w:val="32"/>
        </w:rPr>
        <w:t>食品安全管理部门信息共享机制落实不到位，导致“孤岛”效应存在。检验检测机构能力建设缺乏经费支撑，检测能力、项目提升空间小。</w:t>
      </w:r>
      <w:r>
        <w:rPr>
          <w:rFonts w:hint="eastAsia" w:ascii="宋体" w:hAnsi="宋体" w:eastAsia="方正仿宋_GBK" w:cs="方正仿宋_GBK"/>
          <w:b/>
          <w:bCs/>
          <w:color w:val="auto"/>
          <w:sz w:val="32"/>
          <w:szCs w:val="32"/>
        </w:rPr>
        <w:t>七是“互联网+食品安全”智慧监管实际运用难。</w:t>
      </w:r>
      <w:r>
        <w:rPr>
          <w:rFonts w:hint="eastAsia" w:ascii="宋体" w:hAnsi="宋体" w:eastAsia="方正仿宋_GBK" w:cs="方正仿宋_GBK"/>
          <w:color w:val="auto"/>
          <w:sz w:val="32"/>
          <w:szCs w:val="32"/>
        </w:rPr>
        <w:t>食品安全监管信息化标准规范不健全，食用农产品与食品供应链安全信息不对称，食品追溯体系的信息化程度不高，监管信息互联互通难，“互联网+食品安全”智慧监管有待深化。</w:t>
      </w:r>
      <w:r>
        <w:rPr>
          <w:rFonts w:hint="eastAsia" w:ascii="宋体" w:hAnsi="宋体" w:eastAsia="方正仿宋_GBK" w:cs="方正仿宋_GBK"/>
          <w:b/>
          <w:bCs/>
          <w:color w:val="auto"/>
          <w:sz w:val="32"/>
          <w:szCs w:val="32"/>
        </w:rPr>
        <w:t>八是疫情导致食品安全</w:t>
      </w:r>
      <w:r>
        <w:rPr>
          <w:rFonts w:hint="eastAsia" w:ascii="宋体" w:hAnsi="宋体" w:eastAsia="方正仿宋_GBK" w:cs="方正仿宋_GBK"/>
          <w:b/>
          <w:bCs/>
          <w:color w:val="auto"/>
          <w:sz w:val="32"/>
          <w:szCs w:val="32"/>
          <w:lang w:eastAsia="zh-CN"/>
        </w:rPr>
        <w:t>和</w:t>
      </w:r>
      <w:r>
        <w:rPr>
          <w:rFonts w:hint="eastAsia" w:ascii="宋体" w:hAnsi="宋体" w:eastAsia="方正仿宋_GBK" w:cs="方正仿宋_GBK"/>
          <w:b/>
          <w:bCs/>
          <w:color w:val="auto"/>
          <w:sz w:val="32"/>
          <w:szCs w:val="32"/>
        </w:rPr>
        <w:t>稳定供给的不确定性持续增加。</w:t>
      </w:r>
      <w:r>
        <w:rPr>
          <w:rFonts w:hint="eastAsia" w:ascii="宋体" w:hAnsi="宋体" w:eastAsia="方正仿宋_GBK" w:cs="方正仿宋_GBK"/>
          <w:color w:val="auto"/>
          <w:sz w:val="32"/>
          <w:szCs w:val="32"/>
        </w:rPr>
        <w:t>疫情</w:t>
      </w:r>
      <w:r>
        <w:rPr>
          <w:rFonts w:hint="eastAsia" w:ascii="仿宋_GB2312" w:hAnsi="仿宋_GB2312" w:eastAsia="仿宋_GB2312" w:cs="仿宋_GB2312"/>
          <w:b w:val="0"/>
          <w:bCs w:val="0"/>
          <w:color w:val="auto"/>
          <w:sz w:val="32"/>
          <w:szCs w:val="32"/>
          <w:highlight w:val="none"/>
          <w:lang w:eastAsia="zh-CN"/>
        </w:rPr>
        <w:t>造成</w:t>
      </w:r>
      <w:r>
        <w:rPr>
          <w:rFonts w:hint="eastAsia" w:ascii="仿宋_GB2312" w:hAnsi="仿宋_GB2312" w:eastAsia="仿宋_GB2312" w:cs="仿宋_GB2312"/>
          <w:color w:val="auto"/>
          <w:sz w:val="32"/>
          <w:szCs w:val="32"/>
          <w:highlight w:val="none"/>
          <w:lang w:eastAsia="zh-CN"/>
        </w:rPr>
        <w:t>物流运输不畅、劳动力短缺，</w:t>
      </w:r>
      <w:r>
        <w:rPr>
          <w:rFonts w:hint="eastAsia" w:ascii="宋体" w:hAnsi="宋体" w:eastAsia="方正仿宋_GBK" w:cs="方正仿宋_GBK"/>
          <w:color w:val="auto"/>
          <w:sz w:val="32"/>
          <w:szCs w:val="32"/>
          <w:lang w:eastAsia="zh-CN"/>
        </w:rPr>
        <w:t>食品</w:t>
      </w:r>
      <w:r>
        <w:rPr>
          <w:rFonts w:hint="eastAsia" w:ascii="宋体" w:hAnsi="宋体" w:eastAsia="方正仿宋_GBK" w:cs="方正仿宋_GBK"/>
          <w:color w:val="auto"/>
          <w:sz w:val="32"/>
          <w:szCs w:val="32"/>
        </w:rPr>
        <w:t>生产和市场流通</w:t>
      </w:r>
      <w:r>
        <w:rPr>
          <w:rFonts w:hint="eastAsia" w:ascii="宋体" w:hAnsi="宋体" w:eastAsia="方正仿宋_GBK" w:cs="方正仿宋_GBK"/>
          <w:color w:val="auto"/>
          <w:sz w:val="32"/>
          <w:szCs w:val="32"/>
          <w:lang w:eastAsia="zh-CN"/>
        </w:rPr>
        <w:t>受到</w:t>
      </w:r>
      <w:r>
        <w:rPr>
          <w:rFonts w:hint="eastAsia" w:ascii="宋体" w:hAnsi="宋体" w:eastAsia="方正仿宋_GBK" w:cs="方正仿宋_GBK"/>
          <w:color w:val="auto"/>
          <w:sz w:val="32"/>
          <w:szCs w:val="32"/>
        </w:rPr>
        <w:t>影响；冷冻产品</w:t>
      </w:r>
      <w:r>
        <w:rPr>
          <w:rFonts w:hint="eastAsia" w:ascii="宋体" w:hAnsi="宋体" w:eastAsia="方正仿宋_GBK" w:cs="方正仿宋_GBK"/>
          <w:color w:val="auto"/>
          <w:sz w:val="32"/>
          <w:szCs w:val="32"/>
          <w:lang w:eastAsia="zh-CN"/>
        </w:rPr>
        <w:t>储存运输环节暴露出监管漏洞，</w:t>
      </w:r>
      <w:r>
        <w:rPr>
          <w:rFonts w:hint="eastAsia" w:ascii="宋体" w:hAnsi="宋体" w:eastAsia="方正仿宋_GBK" w:cs="方正仿宋_GBK"/>
          <w:color w:val="auto"/>
          <w:sz w:val="32"/>
          <w:szCs w:val="32"/>
        </w:rPr>
        <w:t>安全隐患</w:t>
      </w:r>
      <w:r>
        <w:rPr>
          <w:rFonts w:hint="eastAsia" w:ascii="宋体" w:hAnsi="宋体" w:eastAsia="方正仿宋_GBK" w:cs="方正仿宋_GBK"/>
          <w:color w:val="auto"/>
          <w:sz w:val="32"/>
          <w:szCs w:val="32"/>
          <w:lang w:eastAsia="zh-CN"/>
        </w:rPr>
        <w:t>增加。</w:t>
      </w:r>
      <w:r>
        <w:rPr>
          <w:rFonts w:hint="eastAsia" w:ascii="宋体" w:hAnsi="宋体" w:eastAsia="方正仿宋_GBK" w:cs="方正仿宋_GBK"/>
          <w:color w:val="auto"/>
          <w:sz w:val="32"/>
          <w:szCs w:val="32"/>
        </w:rPr>
        <w:t>农贸市场、肉类加工厂等长期处于低温、潮湿、密闭环境的场所管理仍有疏忽，增加了病毒传播风险。疫情在持续时间、波及范围、影响深度上都具有不可预测性，进而带来食品生产和供应的不确定性。</w:t>
      </w:r>
      <w:bookmarkEnd w:id="14"/>
      <w:bookmarkStart w:id="15" w:name="_Toc66917108"/>
      <w:bookmarkStart w:id="16" w:name="_Toc26462"/>
      <w:r>
        <w:rPr>
          <w:rFonts w:hint="eastAsia" w:ascii="宋体" w:hAnsi="宋体" w:eastAsia="方正仿宋_GBK" w:cs="方正仿宋_GBK"/>
          <w:b/>
          <w:bCs/>
          <w:color w:val="auto"/>
          <w:sz w:val="32"/>
          <w:szCs w:val="32"/>
        </w:rPr>
        <w:t>九</w:t>
      </w:r>
      <w:r>
        <w:rPr>
          <w:rFonts w:hint="eastAsia" w:eastAsia="方正仿宋_GBK"/>
          <w:b/>
          <w:bCs/>
          <w:color w:val="auto"/>
          <w:sz w:val="32"/>
          <w:szCs w:val="32"/>
        </w:rPr>
        <w:t>是食品安全群众参与度不高，社会共治力量没有充分激活。</w:t>
      </w:r>
      <w:r>
        <w:rPr>
          <w:rFonts w:hint="eastAsia" w:ascii="宋体" w:hAnsi="宋体" w:eastAsia="方正仿宋_GBK" w:cs="方正仿宋_GBK"/>
          <w:color w:val="auto"/>
          <w:sz w:val="32"/>
          <w:szCs w:val="32"/>
        </w:rPr>
        <w:t>群众对食品安全的知晓率和参与度不高，宣传</w:t>
      </w:r>
      <w:r>
        <w:rPr>
          <w:rFonts w:hint="eastAsia" w:ascii="宋体" w:hAnsi="宋体" w:eastAsia="方正仿宋_GBK" w:cs="方正仿宋_GBK"/>
          <w:color w:val="auto"/>
          <w:sz w:val="32"/>
          <w:szCs w:val="32"/>
          <w:lang w:eastAsia="zh-CN"/>
        </w:rPr>
        <w:t>工作</w:t>
      </w:r>
      <w:r>
        <w:rPr>
          <w:rFonts w:hint="eastAsia" w:ascii="宋体" w:hAnsi="宋体" w:eastAsia="方正仿宋_GBK" w:cs="方正仿宋_GBK"/>
          <w:color w:val="auto"/>
          <w:sz w:val="32"/>
          <w:szCs w:val="32"/>
        </w:rPr>
        <w:t>深度和广度有待进一步提升</w:t>
      </w:r>
      <w:r>
        <w:rPr>
          <w:rFonts w:hint="eastAsia" w:ascii="宋体" w:hAnsi="宋体" w:eastAsia="方正仿宋_GBK" w:cs="方正仿宋_GBK"/>
          <w:color w:val="auto"/>
          <w:sz w:val="32"/>
          <w:szCs w:val="32"/>
          <w:lang w:eastAsia="zh-CN"/>
        </w:rPr>
        <w:t>。</w:t>
      </w:r>
      <w:r>
        <w:rPr>
          <w:rFonts w:hint="eastAsia" w:eastAsia="方正仿宋_GBK"/>
          <w:color w:val="auto"/>
          <w:sz w:val="32"/>
          <w:szCs w:val="32"/>
        </w:rPr>
        <w:t>食品从业人员的安全意识和常识普遍</w:t>
      </w:r>
      <w:r>
        <w:rPr>
          <w:rFonts w:hint="eastAsia" w:eastAsia="方正仿宋_GBK"/>
          <w:color w:val="auto"/>
          <w:sz w:val="32"/>
          <w:szCs w:val="32"/>
          <w:lang w:eastAsia="zh-CN"/>
        </w:rPr>
        <w:t>认识不足、</w:t>
      </w:r>
      <w:r>
        <w:rPr>
          <w:rFonts w:hint="eastAsia" w:eastAsia="方正仿宋_GBK"/>
          <w:color w:val="auto"/>
          <w:sz w:val="32"/>
          <w:szCs w:val="32"/>
        </w:rPr>
        <w:t>有待提升，</w:t>
      </w:r>
      <w:r>
        <w:rPr>
          <w:rFonts w:hint="eastAsia" w:ascii="宋体" w:hAnsi="宋体" w:eastAsia="方正仿宋_GBK" w:cs="方正仿宋_GBK"/>
          <w:color w:val="auto"/>
          <w:sz w:val="32"/>
          <w:szCs w:val="32"/>
        </w:rPr>
        <w:t>食品安全社会共治氛围需要长期营造。科普宣传和风险交流的针对性和有效性仍需提升，</w:t>
      </w:r>
      <w:r>
        <w:rPr>
          <w:rFonts w:hint="eastAsia" w:ascii="宋体" w:hAnsi="宋体" w:eastAsia="方正仿宋_GBK" w:cs="方正仿宋_GBK"/>
          <w:color w:val="auto"/>
          <w:sz w:val="32"/>
          <w:szCs w:val="32"/>
          <w:lang w:eastAsia="zh-CN"/>
        </w:rPr>
        <w:t>食品</w:t>
      </w:r>
      <w:r>
        <w:rPr>
          <w:rFonts w:hint="eastAsia" w:ascii="宋体" w:hAnsi="宋体" w:eastAsia="方正仿宋_GBK" w:cs="方正仿宋_GBK"/>
          <w:color w:val="auto"/>
          <w:sz w:val="32"/>
          <w:szCs w:val="32"/>
        </w:rPr>
        <w:t>生产经营者和消费者</w:t>
      </w:r>
      <w:r>
        <w:rPr>
          <w:rFonts w:hint="eastAsia" w:ascii="宋体" w:hAnsi="宋体" w:eastAsia="方正仿宋_GBK" w:cs="方正仿宋_GBK"/>
          <w:color w:val="auto"/>
          <w:sz w:val="32"/>
          <w:szCs w:val="32"/>
          <w:lang w:eastAsia="zh-CN"/>
        </w:rPr>
        <w:t>对</w:t>
      </w:r>
      <w:r>
        <w:rPr>
          <w:rFonts w:hint="eastAsia" w:ascii="宋体" w:hAnsi="宋体" w:eastAsia="方正仿宋_GBK" w:cs="方正仿宋_GBK"/>
          <w:color w:val="auto"/>
          <w:sz w:val="32"/>
          <w:szCs w:val="32"/>
        </w:rPr>
        <w:t>食品安全法律法规</w:t>
      </w:r>
      <w:r>
        <w:rPr>
          <w:rFonts w:hint="eastAsia" w:ascii="宋体" w:hAnsi="宋体" w:eastAsia="方正仿宋_GBK" w:cs="方正仿宋_GBK"/>
          <w:color w:val="auto"/>
          <w:sz w:val="32"/>
          <w:szCs w:val="32"/>
          <w:lang w:eastAsia="zh-CN"/>
        </w:rPr>
        <w:t>了解不高</w:t>
      </w:r>
      <w:r>
        <w:rPr>
          <w:rFonts w:hint="eastAsia" w:ascii="宋体" w:hAnsi="宋体" w:eastAsia="方正仿宋_GBK" w:cs="方正仿宋_GBK"/>
          <w:color w:val="auto"/>
          <w:sz w:val="32"/>
          <w:szCs w:val="32"/>
        </w:rPr>
        <w:t>，公众仍然容易信谣、传谣。</w:t>
      </w:r>
    </w:p>
    <w:p w14:paraId="51407ECC">
      <w:pPr>
        <w:pStyle w:val="6"/>
        <w:rPr>
          <w:rFonts w:hint="eastAsia" w:ascii="宋体" w:hAnsi="宋体" w:eastAsia="方正仿宋_GBK" w:cs="方正仿宋_GBK"/>
          <w:color w:val="auto"/>
          <w:sz w:val="32"/>
          <w:szCs w:val="32"/>
        </w:rPr>
      </w:pPr>
    </w:p>
    <w:p w14:paraId="635DF028">
      <w:pPr>
        <w:pStyle w:val="9"/>
        <w:rPr>
          <w:rFonts w:hint="eastAsia" w:ascii="宋体" w:hAnsi="宋体" w:eastAsia="方正仿宋_GBK" w:cs="方正仿宋_GBK"/>
          <w:color w:val="auto"/>
          <w:sz w:val="32"/>
          <w:szCs w:val="32"/>
        </w:rPr>
      </w:pPr>
    </w:p>
    <w:p w14:paraId="5D9798A5">
      <w:pPr>
        <w:rPr>
          <w:rFonts w:hint="eastAsia"/>
          <w:color w:val="auto"/>
        </w:rPr>
      </w:pPr>
    </w:p>
    <w:bookmarkEnd w:id="7"/>
    <w:bookmarkEnd w:id="11"/>
    <w:bookmarkEnd w:id="12"/>
    <w:bookmarkEnd w:id="13"/>
    <w:bookmarkEnd w:id="15"/>
    <w:bookmarkEnd w:id="16"/>
    <w:p w14:paraId="34947974">
      <w:pPr>
        <w:spacing w:line="560" w:lineRule="exact"/>
        <w:jc w:val="center"/>
        <w:rPr>
          <w:rFonts w:ascii="Times New Roman" w:hAnsi="Times New Roman" w:eastAsia="黑体"/>
          <w:color w:val="auto"/>
          <w:sz w:val="32"/>
          <w:szCs w:val="32"/>
        </w:rPr>
      </w:pPr>
    </w:p>
    <w:p w14:paraId="20BA9E30">
      <w:pPr>
        <w:spacing w:line="560" w:lineRule="exact"/>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 xml:space="preserve">第二节 </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十四五</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面临的形势</w:t>
      </w:r>
    </w:p>
    <w:p w14:paraId="182659EB">
      <w:pPr>
        <w:pStyle w:val="6"/>
        <w:spacing w:line="560" w:lineRule="exact"/>
        <w:ind w:firstLine="640" w:firstLineChars="200"/>
        <w:jc w:val="both"/>
        <w:rPr>
          <w:rFonts w:ascii="宋体" w:hAnsi="宋体" w:eastAsia="方正仿宋_GBK" w:cs="方正仿宋_GBK"/>
          <w:color w:val="auto"/>
          <w:sz w:val="32"/>
          <w:szCs w:val="32"/>
        </w:rPr>
      </w:pPr>
    </w:p>
    <w:p w14:paraId="3DAF914C">
      <w:pPr>
        <w:pStyle w:val="6"/>
        <w:spacing w:line="560" w:lineRule="exact"/>
        <w:ind w:firstLine="640" w:firstLineChars="200"/>
        <w:jc w:val="both"/>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“十四五”时期是我国全面开启现代化强国建设新征程的起步期，是</w:t>
      </w:r>
      <w:r>
        <w:rPr>
          <w:rFonts w:hint="eastAsia" w:ascii="宋体" w:hAnsi="宋体" w:eastAsia="方正仿宋_GBK" w:cs="方正仿宋_GBK"/>
          <w:color w:val="auto"/>
          <w:sz w:val="32"/>
          <w:szCs w:val="32"/>
          <w:lang w:eastAsia="zh-CN"/>
        </w:rPr>
        <w:t>德宏</w:t>
      </w:r>
      <w:r>
        <w:rPr>
          <w:rFonts w:hint="eastAsia" w:ascii="宋体" w:hAnsi="宋体" w:eastAsia="方正仿宋_GBK" w:cs="方正仿宋_GBK"/>
          <w:color w:val="auto"/>
          <w:sz w:val="32"/>
          <w:szCs w:val="32"/>
        </w:rPr>
        <w:t>州高质量跨越式发展的关键时期，食品安全作为其中重要的民生环节，既面临更高的要求和更大的挑战，也迎来了新的发展机遇。</w:t>
      </w:r>
    </w:p>
    <w:p w14:paraId="4A415774">
      <w:pPr>
        <w:pStyle w:val="6"/>
        <w:spacing w:line="560" w:lineRule="exact"/>
        <w:ind w:firstLine="640" w:firstLineChars="200"/>
        <w:jc w:val="both"/>
        <w:rPr>
          <w:rFonts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sz w:val="32"/>
          <w:szCs w:val="32"/>
          <w:lang w:val="en-US"/>
        </w:rPr>
        <w:t>一、顶层设计为食品安全工作指明了方向</w:t>
      </w:r>
    </w:p>
    <w:p w14:paraId="514A0C89">
      <w:pPr>
        <w:pStyle w:val="6"/>
        <w:spacing w:line="560" w:lineRule="exact"/>
        <w:ind w:firstLine="640" w:firstLineChars="200"/>
        <w:jc w:val="both"/>
        <w:rPr>
          <w:rFonts w:ascii="宋体" w:hAnsi="宋体" w:eastAsia="方正仿宋_GBK" w:cs="方正仿宋_GBK"/>
          <w:bCs/>
          <w:color w:val="auto"/>
          <w:sz w:val="32"/>
          <w:szCs w:val="32"/>
        </w:rPr>
      </w:pPr>
      <w:r>
        <w:rPr>
          <w:rFonts w:hint="eastAsia" w:ascii="宋体" w:hAnsi="宋体" w:eastAsia="方正仿宋_GBK" w:cs="方正仿宋_GBK"/>
          <w:color w:val="auto"/>
          <w:sz w:val="32"/>
          <w:szCs w:val="32"/>
          <w:lang w:val="en-US"/>
        </w:rPr>
        <w:t>党的十九大报告明确提出实施食品安全战略，让人民吃得放心。党中央把食品安全上升为国家战略，作为关系民生的政治任务来部署，提出了“四个最严”和“党政同责”的要求，为做好食品安全工作提供了根本遵循。中共中央、国务院发布《关于深化改革加强食品安全工作的意见》，明确了食品安全工作的指导思想、基本原则和总体目标，提出了一系列政策举措和深化改革要求。</w:t>
      </w:r>
      <w:r>
        <w:rPr>
          <w:rFonts w:hint="eastAsia" w:ascii="宋体" w:hAnsi="宋体" w:eastAsia="方正仿宋_GBK" w:cs="方正仿宋_GBK"/>
          <w:color w:val="auto"/>
          <w:sz w:val="32"/>
          <w:szCs w:val="32"/>
          <w:lang w:val="en-US" w:eastAsia="zh-CN"/>
        </w:rPr>
        <w:t>中共中央办公厅、国务院办公厅</w:t>
      </w:r>
      <w:r>
        <w:rPr>
          <w:rFonts w:hint="eastAsia" w:ascii="宋体" w:hAnsi="宋体" w:eastAsia="方正仿宋_GBK" w:cs="方正仿宋_GBK"/>
          <w:color w:val="auto"/>
          <w:sz w:val="32"/>
          <w:szCs w:val="32"/>
          <w:lang w:val="en-US"/>
        </w:rPr>
        <w:t>印发了</w:t>
      </w:r>
      <w:r>
        <w:rPr>
          <w:rFonts w:ascii="宋体" w:hAnsi="宋体" w:eastAsia="方正仿宋_GBK" w:cs="方正仿宋_GBK"/>
          <w:color w:val="auto"/>
          <w:sz w:val="32"/>
          <w:szCs w:val="32"/>
          <w:lang w:val="en-US"/>
        </w:rPr>
        <w:t>《地方党政领导干部食品安全责任制规定》</w:t>
      </w:r>
      <w:r>
        <w:rPr>
          <w:rFonts w:hint="eastAsia" w:ascii="宋体" w:hAnsi="宋体" w:eastAsia="方正仿宋_GBK" w:cs="方正仿宋_GBK"/>
          <w:color w:val="auto"/>
          <w:sz w:val="32"/>
          <w:szCs w:val="32"/>
          <w:lang w:val="en-US"/>
        </w:rPr>
        <w:t>，</w:t>
      </w:r>
      <w:bookmarkStart w:id="17" w:name="_Toc10744"/>
      <w:bookmarkStart w:id="18" w:name="_Toc66917110"/>
      <w:bookmarkStart w:id="19" w:name="_Toc66134816"/>
      <w:bookmarkStart w:id="20" w:name="_Toc63165691"/>
      <w:r>
        <w:rPr>
          <w:rFonts w:hint="eastAsia" w:ascii="宋体" w:hAnsi="宋体" w:eastAsia="方正仿宋_GBK" w:cs="方正仿宋_GBK"/>
          <w:color w:val="auto"/>
          <w:sz w:val="32"/>
          <w:szCs w:val="32"/>
          <w:lang w:val="en-US" w:bidi="ar-SA"/>
        </w:rPr>
        <w:t>对党政领导干部食品安全责任制作出的全面系统的制度设计，是新时代食品安全工作的行动纲领。</w:t>
      </w:r>
      <w:r>
        <w:rPr>
          <w:rFonts w:hint="eastAsia" w:ascii="宋体" w:hAnsi="宋体" w:eastAsia="方正仿宋_GBK" w:cs="方正仿宋_GBK"/>
          <w:bCs/>
          <w:color w:val="auto"/>
          <w:sz w:val="32"/>
          <w:szCs w:val="32"/>
          <w:lang w:val="en-US"/>
        </w:rPr>
        <w:t>随着国家关于食品安全监管的顶层设计日益清晰、工作思路和要求日益明确、相关配套制度日益完善，这为食品安全工作指出了更加明确的方向，提供了更加坚实的法制保障。</w:t>
      </w:r>
      <w:r>
        <w:rPr>
          <w:rFonts w:hint="eastAsia" w:ascii="宋体" w:hAnsi="宋体" w:eastAsia="方正仿宋_GBK" w:cs="方正仿宋_GBK"/>
          <w:bCs/>
          <w:color w:val="auto"/>
          <w:sz w:val="32"/>
          <w:szCs w:val="32"/>
        </w:rPr>
        <w:t xml:space="preserve">德宏州委州政府在“十四五”规划中将大力发展绿色食品加工业，加强食品质量安全保障，食品监管建设等纳入“十四五”规划工程项目，为食品安全工作提供了难得的机遇。 </w:t>
      </w:r>
    </w:p>
    <w:bookmarkEnd w:id="17"/>
    <w:bookmarkEnd w:id="18"/>
    <w:p w14:paraId="34541729">
      <w:pPr>
        <w:spacing w:line="560" w:lineRule="exact"/>
        <w:ind w:firstLine="640" w:firstLineChars="200"/>
        <w:jc w:val="both"/>
        <w:rPr>
          <w:rFonts w:ascii="方正黑体_GBK" w:hAnsi="方正黑体_GBK" w:eastAsia="方正黑体_GBK" w:cs="方正黑体_GBK"/>
          <w:bCs/>
          <w:color w:val="auto"/>
          <w:sz w:val="32"/>
          <w:szCs w:val="32"/>
        </w:rPr>
      </w:pPr>
      <w:bookmarkStart w:id="21" w:name="_Toc66917111"/>
      <w:bookmarkStart w:id="22" w:name="_Toc14494"/>
      <w:r>
        <w:rPr>
          <w:rFonts w:hint="eastAsia" w:ascii="方正黑体_GBK" w:hAnsi="方正黑体_GBK" w:eastAsia="方正黑体_GBK" w:cs="方正黑体_GBK"/>
          <w:bCs/>
          <w:color w:val="auto"/>
          <w:sz w:val="32"/>
          <w:szCs w:val="32"/>
        </w:rPr>
        <w:t>二、国家发展战略为食品安全治理提供了</w:t>
      </w:r>
      <w:bookmarkEnd w:id="21"/>
      <w:bookmarkEnd w:id="22"/>
      <w:r>
        <w:rPr>
          <w:rFonts w:hint="eastAsia" w:ascii="方正黑体_GBK" w:hAnsi="方正黑体_GBK" w:eastAsia="方正黑体_GBK" w:cs="方正黑体_GBK"/>
          <w:bCs/>
          <w:color w:val="auto"/>
          <w:sz w:val="32"/>
          <w:szCs w:val="32"/>
        </w:rPr>
        <w:t>历史机遇</w:t>
      </w:r>
    </w:p>
    <w:p w14:paraId="608EE415">
      <w:pPr>
        <w:spacing w:line="560" w:lineRule="exact"/>
        <w:ind w:firstLine="640" w:firstLineChars="200"/>
        <w:jc w:val="both"/>
        <w:rPr>
          <w:rFonts w:ascii="宋体" w:hAnsi="宋体" w:eastAsia="方正仿宋_GBK" w:cs="方正仿宋_GBK"/>
          <w:bCs/>
          <w:color w:val="auto"/>
          <w:sz w:val="32"/>
          <w:szCs w:val="32"/>
          <w:lang w:val="en-US"/>
        </w:rPr>
      </w:pPr>
      <w:r>
        <w:rPr>
          <w:rFonts w:hint="eastAsia" w:ascii="宋体" w:hAnsi="宋体" w:eastAsia="方正仿宋_GBK" w:cs="方正仿宋_GBK"/>
          <w:bCs/>
          <w:color w:val="auto"/>
          <w:sz w:val="32"/>
          <w:szCs w:val="32"/>
        </w:rPr>
        <w:t>党的十九大报告将“实施健康中国战略”作为国家发展基本方略中的重要内容，回应了人民的健康需要和对疾病医疗、食品安全、环境污染等方面后顾之忧的关切。党的十九大制定的乡村振兴战略，是实现中华民族复兴的一项战略工程和基础任务。</w:t>
      </w:r>
      <w:r>
        <w:rPr>
          <w:rFonts w:hint="eastAsia" w:ascii="宋体" w:hAnsi="宋体" w:eastAsia="方正仿宋_GBK" w:cs="方正仿宋_GBK"/>
          <w:bCs/>
          <w:color w:val="auto"/>
          <w:sz w:val="32"/>
          <w:szCs w:val="32"/>
          <w:lang w:eastAsia="zh-CN"/>
        </w:rPr>
        <w:t>乡村振兴战略</w:t>
      </w:r>
      <w:r>
        <w:rPr>
          <w:rFonts w:hint="eastAsia" w:ascii="宋体" w:hAnsi="宋体" w:eastAsia="方正仿宋_GBK" w:cs="方正仿宋_GBK"/>
          <w:bCs/>
          <w:color w:val="auto"/>
          <w:sz w:val="32"/>
          <w:szCs w:val="32"/>
        </w:rPr>
        <w:t>是促进食品安全保障的动力，食品安全保障是实现乡村振兴战略的基础</w:t>
      </w:r>
      <w:r>
        <w:rPr>
          <w:rFonts w:hint="eastAsia" w:ascii="宋体" w:hAnsi="宋体" w:eastAsia="方正仿宋_GBK" w:cs="方正仿宋_GBK"/>
          <w:bCs/>
          <w:color w:val="auto"/>
          <w:sz w:val="32"/>
          <w:szCs w:val="32"/>
          <w:lang w:eastAsia="zh-CN"/>
        </w:rPr>
        <w:t>。乡村振兴战略</w:t>
      </w:r>
      <w:r>
        <w:rPr>
          <w:rFonts w:hint="eastAsia" w:ascii="宋体" w:hAnsi="宋体" w:eastAsia="方正仿宋_GBK" w:cs="方正仿宋_GBK"/>
          <w:bCs/>
          <w:color w:val="auto"/>
          <w:sz w:val="32"/>
          <w:szCs w:val="32"/>
        </w:rPr>
        <w:t>是农村发展和解决社会主义新时代主要矛盾的重要抓手，食品安全是确保这一重要战略顺利实施的可靠保障，也是乡村振兴的重点工程。</w:t>
      </w:r>
      <w:bookmarkEnd w:id="19"/>
      <w:r>
        <w:rPr>
          <w:rFonts w:hint="eastAsia" w:ascii="宋体" w:hAnsi="宋体" w:eastAsia="方正仿宋_GBK" w:cs="方正仿宋_GBK"/>
          <w:bCs/>
          <w:color w:val="auto"/>
          <w:sz w:val="32"/>
          <w:szCs w:val="32"/>
        </w:rPr>
        <w:t>打造“绿色食品牌”是云南省委、省政府的重大战略部署，从深入推进“一县一业”示范创建，在推动农产品精深加工等方面着力，促进优势特色产业向全产业链发展。推进食品安全领域治理能力和现代</w:t>
      </w:r>
      <w:r>
        <w:rPr>
          <w:rFonts w:hint="eastAsia" w:ascii="宋体" w:hAnsi="宋体" w:eastAsia="方正仿宋_GBK" w:cs="方正仿宋_GBK"/>
          <w:bCs/>
          <w:color w:val="auto"/>
          <w:sz w:val="32"/>
          <w:szCs w:val="32"/>
          <w:lang w:val="en-US"/>
        </w:rPr>
        <w:t>化</w:t>
      </w:r>
      <w:r>
        <w:rPr>
          <w:rFonts w:hint="eastAsia" w:ascii="宋体" w:hAnsi="宋体" w:eastAsia="方正仿宋_GBK" w:cs="方正仿宋_GBK"/>
          <w:bCs/>
          <w:color w:val="auto"/>
          <w:sz w:val="32"/>
          <w:szCs w:val="32"/>
        </w:rPr>
        <w:t>治理</w:t>
      </w:r>
      <w:r>
        <w:rPr>
          <w:rFonts w:hint="eastAsia" w:ascii="宋体" w:hAnsi="宋体" w:eastAsia="方正仿宋_GBK" w:cs="方正仿宋_GBK"/>
          <w:bCs/>
          <w:color w:val="auto"/>
          <w:sz w:val="32"/>
          <w:szCs w:val="32"/>
          <w:lang w:val="en-US"/>
        </w:rPr>
        <w:t>，</w:t>
      </w:r>
      <w:r>
        <w:rPr>
          <w:rFonts w:hint="eastAsia" w:ascii="宋体" w:hAnsi="宋体" w:eastAsia="方正仿宋_GBK" w:cs="方正仿宋_GBK"/>
          <w:bCs/>
          <w:color w:val="auto"/>
          <w:sz w:val="32"/>
          <w:szCs w:val="32"/>
        </w:rPr>
        <w:t>为打造世界一流“绿色食品牌”提供支撑，将是“十四五”期间食品质量安全监管工作的重要内容。</w:t>
      </w:r>
    </w:p>
    <w:p w14:paraId="3DF8F6C3">
      <w:pPr>
        <w:spacing w:line="560" w:lineRule="exact"/>
        <w:ind w:firstLine="640" w:firstLineChars="200"/>
        <w:jc w:val="both"/>
        <w:rPr>
          <w:rFonts w:ascii="方正黑体_GBK" w:hAnsi="方正黑体_GBK" w:eastAsia="方正黑体_GBK" w:cs="方正黑体_GBK"/>
          <w:bCs/>
          <w:color w:val="auto"/>
          <w:sz w:val="32"/>
          <w:szCs w:val="32"/>
        </w:rPr>
      </w:pPr>
      <w:bookmarkStart w:id="23" w:name="_Toc23977"/>
      <w:bookmarkStart w:id="24" w:name="_Toc66917113"/>
      <w:r>
        <w:rPr>
          <w:rFonts w:hint="eastAsia" w:ascii="方正黑体_GBK" w:hAnsi="方正黑体_GBK" w:eastAsia="方正黑体_GBK" w:cs="方正黑体_GBK"/>
          <w:bCs/>
          <w:color w:val="auto"/>
          <w:sz w:val="32"/>
          <w:szCs w:val="32"/>
          <w:lang w:val="en-US"/>
        </w:rPr>
        <w:t>三、信息科技发展进步</w:t>
      </w:r>
      <w:r>
        <w:rPr>
          <w:rFonts w:hint="eastAsia" w:ascii="方正黑体_GBK" w:hAnsi="方正黑体_GBK" w:eastAsia="方正黑体_GBK" w:cs="方正黑体_GBK"/>
          <w:bCs/>
          <w:color w:val="auto"/>
          <w:sz w:val="32"/>
          <w:szCs w:val="32"/>
        </w:rPr>
        <w:t>为食品安全监管提供了有力支撑</w:t>
      </w:r>
      <w:bookmarkEnd w:id="23"/>
      <w:bookmarkEnd w:id="24"/>
    </w:p>
    <w:p w14:paraId="4A01ADB9">
      <w:pPr>
        <w:spacing w:line="560" w:lineRule="exact"/>
        <w:ind w:firstLine="640" w:firstLineChars="200"/>
        <w:jc w:val="both"/>
        <w:rPr>
          <w:rFonts w:ascii="宋体" w:hAnsi="宋体" w:eastAsia="方正仿宋_GBK" w:cs="方正仿宋_GBK"/>
          <w:bCs/>
          <w:color w:val="auto"/>
          <w:sz w:val="32"/>
          <w:szCs w:val="32"/>
          <w:lang w:val="en-US"/>
        </w:rPr>
      </w:pPr>
      <w:r>
        <w:rPr>
          <w:rFonts w:hint="eastAsia" w:ascii="宋体" w:hAnsi="宋体" w:eastAsia="方正仿宋_GBK" w:cs="方正仿宋_GBK"/>
          <w:bCs/>
          <w:color w:val="auto"/>
          <w:sz w:val="32"/>
          <w:szCs w:val="32"/>
          <w:lang w:val="en-US"/>
        </w:rPr>
        <w:t>随着</w:t>
      </w:r>
      <w:r>
        <w:rPr>
          <w:rFonts w:hint="eastAsia" w:ascii="仿宋_GB2312" w:hAnsi="仿宋_GB2312" w:eastAsia="仿宋_GB2312" w:cs="仿宋_GB2312"/>
          <w:bCs/>
          <w:color w:val="auto"/>
          <w:sz w:val="32"/>
          <w:szCs w:val="32"/>
          <w:lang w:val="en-US"/>
        </w:rPr>
        <w:t>信息化进入新一轮革命期，人工智能等技术广泛而深入地渗透到人民群众生产生活中</w:t>
      </w:r>
      <w:r>
        <w:rPr>
          <w:rFonts w:hint="eastAsia" w:ascii="宋体" w:hAnsi="宋体" w:eastAsia="方正仿宋_GBK" w:cs="方正仿宋_GBK"/>
          <w:bCs/>
          <w:color w:val="auto"/>
          <w:sz w:val="32"/>
          <w:szCs w:val="32"/>
          <w:lang w:val="en-US"/>
        </w:rPr>
        <w:t>，食品生产经营多样化、智能化、网络化趋势不断加强，使食品安全监管面临许多新领域、新问题、新矛盾、新挑战，对食品安全监管工作的方式方法、技术手段、人员素质等提出新的需求，“十三五”期间德宏推广应用“互联网+明厨亮灶”等系统取得初步成效，“互联网+食品”和食品及食用农产品追溯体系等信息化监管方式的不断探索，为食品安全监管服务提质增效</w:t>
      </w:r>
      <w:bookmarkStart w:id="25" w:name="_Toc66917114"/>
      <w:bookmarkStart w:id="26" w:name="_Toc31319"/>
      <w:r>
        <w:rPr>
          <w:rFonts w:hint="eastAsia" w:ascii="宋体" w:hAnsi="宋体" w:eastAsia="方正仿宋_GBK" w:cs="方正仿宋_GBK"/>
          <w:bCs/>
          <w:color w:val="auto"/>
          <w:sz w:val="32"/>
          <w:szCs w:val="32"/>
          <w:lang w:val="en-US"/>
        </w:rPr>
        <w:t>创造了有利条件。</w:t>
      </w:r>
    </w:p>
    <w:p w14:paraId="3E976721">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640" w:firstLineChars="200"/>
        <w:jc w:val="both"/>
        <w:textAlignment w:val="auto"/>
        <w:outlineLvl w:val="9"/>
        <w:rPr>
          <w:rFonts w:ascii="方正黑体_GBK" w:hAnsi="方正黑体_GBK" w:eastAsia="方正黑体_GBK" w:cs="方正黑体_GBK"/>
          <w:bCs/>
          <w:color w:val="auto"/>
          <w:sz w:val="32"/>
          <w:szCs w:val="32"/>
          <w:lang w:val="en-US"/>
        </w:rPr>
      </w:pPr>
      <w:r>
        <w:rPr>
          <w:rFonts w:hint="eastAsia" w:ascii="方正黑体_GBK" w:hAnsi="方正黑体_GBK" w:eastAsia="方正黑体_GBK" w:cs="方正黑体_GBK"/>
          <w:bCs/>
          <w:color w:val="auto"/>
          <w:sz w:val="32"/>
          <w:szCs w:val="32"/>
          <w:lang w:val="en-US"/>
        </w:rPr>
        <w:t>四、公众安全意识提升为</w:t>
      </w:r>
      <w:r>
        <w:rPr>
          <w:rFonts w:ascii="Times New Roman" w:hAnsi="Times New Roman" w:eastAsia="黑体"/>
          <w:bCs/>
          <w:color w:val="auto"/>
          <w:sz w:val="32"/>
          <w:szCs w:val="32"/>
        </w:rPr>
        <w:t>食品安全</w:t>
      </w:r>
      <w:r>
        <w:rPr>
          <w:rFonts w:hint="eastAsia" w:ascii="方正黑体_GBK" w:hAnsi="方正黑体_GBK" w:eastAsia="方正黑体_GBK" w:cs="方正黑体_GBK"/>
          <w:bCs/>
          <w:color w:val="auto"/>
          <w:sz w:val="32"/>
          <w:szCs w:val="32"/>
          <w:lang w:val="en-US"/>
        </w:rPr>
        <w:t>共治共享营造了氛围</w:t>
      </w:r>
      <w:bookmarkEnd w:id="20"/>
      <w:bookmarkEnd w:id="25"/>
      <w:bookmarkEnd w:id="26"/>
    </w:p>
    <w:p w14:paraId="5EB9025B">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640" w:firstLineChars="200"/>
        <w:jc w:val="both"/>
        <w:textAlignment w:val="auto"/>
        <w:outlineLvl w:val="9"/>
        <w:rPr>
          <w:rFonts w:ascii="宋体" w:hAnsi="宋体" w:eastAsia="方正仿宋_GBK" w:cs="方正仿宋_GBK"/>
          <w:bCs/>
          <w:color w:val="auto"/>
          <w:sz w:val="32"/>
          <w:szCs w:val="32"/>
        </w:rPr>
      </w:pPr>
      <w:r>
        <w:rPr>
          <w:rFonts w:hint="eastAsia" w:ascii="宋体" w:hAnsi="宋体" w:eastAsia="方正仿宋_GBK" w:cs="方正仿宋_GBK"/>
          <w:bCs/>
          <w:color w:val="auto"/>
          <w:sz w:val="32"/>
          <w:szCs w:val="32"/>
        </w:rPr>
        <w:t>随着人民生活水平的不断提高，人民群众的饮食需求正经历从量到质的深刻变化，由“吃得饱”提升为“吃得安全、吃得营养”，人民群众对美好生活有了更高的期待，对食品安全和品质的关注度上升至前所未有的高度，社会第三方及新闻媒体等社会力量对食品安全的监督作用日趋明显，为食品安全工作奠定了广泛的社会基础。同时，通过多年持续开展科普宣传教育、发动社会力量共同参与治理，全社会的食品安全意识得到很大提高，社会各界齐抓共管、共治共享食品安全的共识基本形成</w:t>
      </w:r>
      <w:r>
        <w:rPr>
          <w:rFonts w:hint="eastAsia" w:ascii="宋体" w:hAnsi="宋体" w:eastAsia="方正仿宋_GBK" w:cs="方正仿宋_GBK"/>
          <w:bCs/>
          <w:color w:val="auto"/>
          <w:sz w:val="32"/>
          <w:szCs w:val="32"/>
          <w:lang w:val="en-US"/>
        </w:rPr>
        <w:t>。</w:t>
      </w:r>
    </w:p>
    <w:p w14:paraId="5CB161BB">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640" w:firstLineChars="200"/>
        <w:jc w:val="both"/>
        <w:textAlignment w:val="auto"/>
        <w:outlineLvl w:val="9"/>
        <w:rPr>
          <w:rFonts w:ascii="Times New Roman" w:hAnsi="Times New Roman" w:eastAsia="黑体"/>
          <w:color w:val="auto"/>
          <w:sz w:val="32"/>
          <w:szCs w:val="32"/>
        </w:rPr>
      </w:pPr>
      <w:r>
        <w:rPr>
          <w:rFonts w:hint="eastAsia" w:ascii="Times New Roman" w:hAnsi="Times New Roman" w:eastAsia="黑体"/>
          <w:bCs/>
          <w:color w:val="auto"/>
          <w:sz w:val="32"/>
          <w:szCs w:val="32"/>
        </w:rPr>
        <w:t>五</w:t>
      </w:r>
      <w:r>
        <w:rPr>
          <w:rFonts w:ascii="Times New Roman" w:hAnsi="Times New Roman" w:eastAsia="黑体"/>
          <w:bCs/>
          <w:color w:val="auto"/>
          <w:sz w:val="32"/>
          <w:szCs w:val="32"/>
        </w:rPr>
        <w:t>、</w:t>
      </w:r>
      <w:r>
        <w:rPr>
          <w:rFonts w:hint="eastAsia" w:ascii="Times New Roman" w:hAnsi="Times New Roman" w:eastAsia="黑体"/>
          <w:bCs/>
          <w:color w:val="auto"/>
          <w:sz w:val="32"/>
          <w:szCs w:val="32"/>
        </w:rPr>
        <w:t>德宏产业发展战略</w:t>
      </w:r>
      <w:r>
        <w:rPr>
          <w:rFonts w:ascii="Times New Roman" w:hAnsi="Times New Roman" w:eastAsia="黑体"/>
          <w:bCs/>
          <w:color w:val="auto"/>
          <w:sz w:val="32"/>
          <w:szCs w:val="32"/>
        </w:rPr>
        <w:t>为食品安全工作提供了新动力</w:t>
      </w:r>
    </w:p>
    <w:p w14:paraId="1D7C0EDC">
      <w:pPr>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640" w:firstLineChars="200"/>
        <w:jc w:val="both"/>
        <w:textAlignment w:val="auto"/>
        <w:outlineLvl w:val="9"/>
        <w:rPr>
          <w:rFonts w:hint="eastAsia" w:ascii="宋体" w:hAnsi="宋体" w:eastAsia="方正仿宋_GBK" w:cs="方正仿宋_GBK"/>
          <w:bCs/>
          <w:color w:val="auto"/>
          <w:sz w:val="32"/>
          <w:szCs w:val="32"/>
        </w:rPr>
      </w:pPr>
      <w:r>
        <w:rPr>
          <w:rFonts w:hint="eastAsia" w:ascii="宋体" w:hAnsi="宋体" w:eastAsia="方正仿宋_GBK" w:cs="方正仿宋_GBK"/>
          <w:bCs/>
          <w:color w:val="auto"/>
          <w:sz w:val="32"/>
          <w:szCs w:val="32"/>
        </w:rPr>
        <w:t>德宏州</w:t>
      </w:r>
      <w:r>
        <w:rPr>
          <w:rFonts w:hint="eastAsia" w:ascii="宋体" w:hAnsi="宋体" w:eastAsia="方正仿宋_GBK" w:cs="方正仿宋_GBK"/>
          <w:bCs/>
          <w:color w:val="auto"/>
          <w:sz w:val="32"/>
          <w:szCs w:val="32"/>
          <w:lang w:eastAsia="zh-CN"/>
        </w:rPr>
        <w:t>“十四五”规划</w:t>
      </w:r>
      <w:r>
        <w:rPr>
          <w:rFonts w:hint="eastAsia" w:ascii="宋体" w:hAnsi="宋体" w:eastAsia="方正仿宋_GBK" w:cs="方正仿宋_GBK"/>
          <w:bCs/>
          <w:color w:val="auto"/>
          <w:sz w:val="32"/>
          <w:szCs w:val="32"/>
        </w:rPr>
        <w:t>明确，将努力建成“一带一路”共商共建共享示范区、“美丽云南”生态文明建设示范区、沿边民族团结进步示范区、沿边高质量跨越发展示范区、边疆治理体系和治理能力现代化创新示范区</w:t>
      </w:r>
      <w:r>
        <w:rPr>
          <w:rFonts w:hint="eastAsia" w:ascii="宋体" w:hAnsi="宋体" w:eastAsia="方正仿宋_GBK" w:cs="方正仿宋_GBK"/>
          <w:bCs/>
          <w:color w:val="auto"/>
          <w:sz w:val="32"/>
          <w:szCs w:val="32"/>
          <w:lang w:eastAsia="zh-CN"/>
        </w:rPr>
        <w:t>，</w:t>
      </w:r>
      <w:r>
        <w:rPr>
          <w:rFonts w:hint="eastAsia" w:ascii="宋体" w:hAnsi="宋体" w:eastAsia="方正仿宋_GBK" w:cs="方正仿宋_GBK"/>
          <w:bCs/>
          <w:color w:val="auto"/>
          <w:sz w:val="32"/>
          <w:szCs w:val="32"/>
        </w:rPr>
        <w:t>给中缅边境食品监管与发展合作带来了新平台、新机遇，为探索国际食品安全提供了新动力和新挑战。同时，德宏州</w:t>
      </w:r>
      <w:r>
        <w:rPr>
          <w:rFonts w:hint="eastAsia" w:ascii="宋体" w:hAnsi="宋体" w:eastAsia="方正仿宋_GBK" w:cs="方正仿宋_GBK"/>
          <w:bCs/>
          <w:color w:val="auto"/>
          <w:sz w:val="32"/>
          <w:szCs w:val="32"/>
          <w:lang w:eastAsia="zh-CN"/>
        </w:rPr>
        <w:t>“十四五”规划</w:t>
      </w:r>
      <w:r>
        <w:rPr>
          <w:rFonts w:hint="eastAsia" w:ascii="宋体" w:hAnsi="宋体" w:eastAsia="方正仿宋_GBK" w:cs="方正仿宋_GBK"/>
          <w:bCs/>
          <w:color w:val="auto"/>
          <w:sz w:val="32"/>
          <w:szCs w:val="32"/>
        </w:rPr>
        <w:t>已将大健康产业确立为重点发展的战略性新兴产业之一，加上德宏州地理位置、自然资源环境等方面的优势，以绿色食品、有机食品、健康食品为重点的食品产业将迎来重大发展契机。确保大健康产业的顺利实施，需要食品监管部门进一步加大政策扶持力度，提高产业服务水平，对德宏食品安全监管工作思路方法提出更多的要求。</w:t>
      </w:r>
    </w:p>
    <w:p w14:paraId="0F9F53BD">
      <w:pPr>
        <w:pStyle w:val="6"/>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jc w:val="both"/>
        <w:textAlignment w:val="auto"/>
        <w:outlineLvl w:val="9"/>
        <w:rPr>
          <w:color w:val="auto"/>
        </w:rPr>
      </w:pPr>
    </w:p>
    <w:p w14:paraId="4223A504">
      <w:pPr>
        <w:pStyle w:val="9"/>
        <w:rPr>
          <w:color w:val="auto"/>
        </w:rPr>
      </w:pPr>
    </w:p>
    <w:p w14:paraId="4745B337">
      <w:pPr>
        <w:rPr>
          <w:color w:val="auto"/>
        </w:rPr>
      </w:pPr>
    </w:p>
    <w:p w14:paraId="23F8E6AB">
      <w:pPr>
        <w:pStyle w:val="6"/>
        <w:rPr>
          <w:color w:val="auto"/>
        </w:rPr>
      </w:pPr>
    </w:p>
    <w:p w14:paraId="2FEF6AF2">
      <w:pPr>
        <w:pStyle w:val="9"/>
        <w:rPr>
          <w:color w:val="auto"/>
        </w:rPr>
      </w:pPr>
    </w:p>
    <w:p w14:paraId="6EDE4E27">
      <w:pPr>
        <w:rPr>
          <w:color w:val="auto"/>
        </w:rPr>
      </w:pPr>
    </w:p>
    <w:p w14:paraId="29DF6487">
      <w:pPr>
        <w:spacing w:line="560" w:lineRule="exact"/>
        <w:jc w:val="center"/>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第二章  总体要求</w:t>
      </w:r>
    </w:p>
    <w:p w14:paraId="02D551A8">
      <w:pPr>
        <w:tabs>
          <w:tab w:val="left" w:pos="3464"/>
          <w:tab w:val="center" w:pos="4861"/>
        </w:tabs>
        <w:spacing w:line="560" w:lineRule="exact"/>
        <w:jc w:val="center"/>
        <w:rPr>
          <w:rFonts w:ascii="Times New Roman" w:hAnsi="Times New Roman" w:eastAsia="楷体_GB2312"/>
          <w:color w:val="auto"/>
          <w:sz w:val="32"/>
        </w:rPr>
      </w:pPr>
    </w:p>
    <w:p w14:paraId="5BDB67E1">
      <w:pPr>
        <w:tabs>
          <w:tab w:val="left" w:pos="3464"/>
          <w:tab w:val="center" w:pos="4861"/>
        </w:tabs>
        <w:spacing w:line="560" w:lineRule="exact"/>
        <w:jc w:val="center"/>
        <w:rPr>
          <w:rFonts w:hint="eastAsia"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第一节  指导思想</w:t>
      </w:r>
    </w:p>
    <w:p w14:paraId="64FF95F9">
      <w:pPr>
        <w:pStyle w:val="14"/>
        <w:autoSpaceDE/>
        <w:autoSpaceDN/>
        <w:spacing w:before="0" w:beforeAutospacing="0" w:after="0" w:afterAutospacing="0" w:line="560" w:lineRule="exact"/>
        <w:ind w:firstLine="640" w:firstLineChars="200"/>
        <w:jc w:val="both"/>
        <w:rPr>
          <w:rFonts w:eastAsia="方正仿宋_GBK" w:cs="方正仿宋_GBK"/>
          <w:color w:val="auto"/>
          <w:sz w:val="32"/>
          <w:szCs w:val="32"/>
          <w:lang w:val="en-US"/>
        </w:rPr>
      </w:pPr>
    </w:p>
    <w:p w14:paraId="70C90813">
      <w:pPr>
        <w:pStyle w:val="1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rPr>
        <w:t>以习近平新时代中国特色社会主义思想为指导，全面贯彻落实党的十九大和十九届二中、三中、四中、五中全会精神，深入贯彻落实习近平总书记考察云南重要讲话精神，坚持以人民为中心的发展思想，坚定不移贯彻新发展理念，紧紧围绕统筹推进“五位一体”总体布局和协调推进“四个全面”战略布局，认真贯彻党中央、国务院关于加强食品安全工作的决策部署，实施食品安全战略，严格落实“四个最严”要求，以推动高质量跨越式发展为主题，以深化供给侧结构性改革为主线，以改革创新为根本动力，以满足人民日益增长的美好生活需要为根本目的，坚持统筹发展与安全，建立完善食品安全现代化治理体系，提高从农田到餐桌全过程监管能力，提升食品全链条、全生命周期质量安全保障水平，不断增强人民群众的获得感、幸福感和安全感，为</w:t>
      </w:r>
      <w:r>
        <w:rPr>
          <w:rFonts w:hint="eastAsia" w:ascii="方正仿宋_GBK" w:hAnsi="方正仿宋_GBK" w:eastAsia="方正仿宋_GBK" w:cs="方正仿宋_GBK"/>
          <w:color w:val="auto"/>
          <w:sz w:val="32"/>
          <w:szCs w:val="32"/>
          <w:lang w:val="en-US" w:eastAsia="zh-CN"/>
        </w:rPr>
        <w:t>打造</w:t>
      </w:r>
      <w:r>
        <w:rPr>
          <w:rFonts w:hint="eastAsia" w:ascii="方正仿宋_GBK" w:hAnsi="方正仿宋_GBK" w:eastAsia="方正仿宋_GBK" w:cs="方正仿宋_GBK"/>
          <w:color w:val="auto"/>
          <w:sz w:val="32"/>
          <w:szCs w:val="32"/>
          <w:lang w:eastAsia="zh-CN"/>
        </w:rPr>
        <w:t>乡村振兴示范区、沿边开放示范区、民族团结进步示范区</w:t>
      </w:r>
      <w:r>
        <w:rPr>
          <w:rFonts w:hint="eastAsia" w:ascii="方正仿宋_GBK" w:hAnsi="方正仿宋_GBK" w:eastAsia="方正仿宋_GBK" w:cs="方正仿宋_GBK"/>
          <w:color w:val="auto"/>
          <w:sz w:val="32"/>
          <w:szCs w:val="32"/>
          <w:lang w:val="en-US"/>
        </w:rPr>
        <w:t>，全面开创德宏高质量跨越式发展新局面</w:t>
      </w:r>
      <w:r>
        <w:rPr>
          <w:rFonts w:hint="eastAsia" w:ascii="方正仿宋_GBK" w:hAnsi="方正仿宋_GBK" w:eastAsia="方正仿宋_GBK" w:cs="方正仿宋_GBK"/>
          <w:color w:val="auto"/>
          <w:sz w:val="32"/>
          <w:szCs w:val="32"/>
        </w:rPr>
        <w:t>作出贡献。</w:t>
      </w:r>
    </w:p>
    <w:p w14:paraId="310A2F05">
      <w:pPr>
        <w:pStyle w:val="1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p>
    <w:p w14:paraId="76E6C404">
      <w:pPr>
        <w:pStyle w:val="1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14:paraId="39F4D2D0">
      <w:pPr>
        <w:pStyle w:val="1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14:paraId="55AFB47B">
      <w:pPr>
        <w:pStyle w:val="1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14:paraId="4267BD07">
      <w:pPr>
        <w:pStyle w:val="1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rPr>
      </w:pPr>
    </w:p>
    <w:p w14:paraId="795EBD8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outlineLvl w:val="9"/>
        <w:rPr>
          <w:rFonts w:hint="eastAsia"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第二节  基本原则</w:t>
      </w:r>
    </w:p>
    <w:p w14:paraId="531F00C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方正楷体_GBK" w:hAnsi="方正楷体_GBK" w:eastAsia="方正楷体_GBK" w:cs="方正楷体_GBK"/>
          <w:color w:val="auto"/>
          <w:sz w:val="32"/>
          <w:lang w:val="en-US"/>
        </w:rPr>
      </w:pPr>
    </w:p>
    <w:p w14:paraId="65C973A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s="Times New Roman"/>
          <w:color w:val="auto"/>
          <w:spacing w:val="19"/>
          <w:sz w:val="32"/>
          <w:szCs w:val="32"/>
        </w:rPr>
      </w:pPr>
      <w:r>
        <w:rPr>
          <w:rFonts w:hint="eastAsia" w:ascii="方正楷体_GBK" w:hAnsi="方正楷体_GBK" w:eastAsia="方正楷体_GBK" w:cs="方正楷体_GBK"/>
          <w:color w:val="auto"/>
          <w:sz w:val="32"/>
          <w:lang w:val="en-US"/>
        </w:rPr>
        <w:t>——坚持以人为本、安全第一。</w:t>
      </w:r>
      <w:r>
        <w:rPr>
          <w:rFonts w:ascii="Times New Roman" w:hAnsi="Times New Roman" w:eastAsia="方正仿宋_GBK" w:cs="Times New Roman"/>
          <w:bCs/>
          <w:color w:val="auto"/>
          <w:spacing w:val="19"/>
          <w:sz w:val="32"/>
          <w:szCs w:val="32"/>
        </w:rPr>
        <w:t>把保障人民群众食品安全放在首位，认真落实食品安全党政同责要求，坚守安全底线，正确处理安</w:t>
      </w:r>
      <w:r>
        <w:rPr>
          <w:rFonts w:ascii="Times New Roman" w:hAnsi="Times New Roman" w:eastAsia="方正仿宋_GBK" w:cs="Times New Roman"/>
          <w:color w:val="auto"/>
          <w:spacing w:val="19"/>
          <w:sz w:val="32"/>
          <w:szCs w:val="32"/>
        </w:rPr>
        <w:t>全与发展的关系，促一方发展，保一方安全。</w:t>
      </w:r>
    </w:p>
    <w:p w14:paraId="403E050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s="Times New Roman"/>
          <w:color w:val="auto"/>
          <w:spacing w:val="19"/>
          <w:sz w:val="32"/>
          <w:szCs w:val="32"/>
        </w:rPr>
      </w:pPr>
      <w:r>
        <w:rPr>
          <w:rFonts w:hint="eastAsia" w:ascii="方正楷体_GBK" w:hAnsi="方正楷体_GBK" w:eastAsia="方正楷体_GBK" w:cs="方正楷体_GBK"/>
          <w:color w:val="auto"/>
          <w:sz w:val="32"/>
          <w:lang w:val="en-US"/>
        </w:rPr>
        <w:t>——</w:t>
      </w:r>
      <w:r>
        <w:rPr>
          <w:rFonts w:ascii="方正楷体_GBK" w:hAnsi="方正楷体_GBK" w:eastAsia="方正楷体_GBK" w:cs="方正楷体_GBK"/>
          <w:color w:val="auto"/>
          <w:sz w:val="32"/>
          <w:lang w:val="en-US"/>
        </w:rPr>
        <w:t>坚持问题导向、重点施策。</w:t>
      </w:r>
      <w:r>
        <w:rPr>
          <w:rFonts w:ascii="Times New Roman" w:hAnsi="Times New Roman" w:eastAsia="方正仿宋_GBK" w:cs="Times New Roman"/>
          <w:color w:val="auto"/>
          <w:spacing w:val="19"/>
          <w:sz w:val="32"/>
          <w:szCs w:val="32"/>
        </w:rPr>
        <w:t>以维护和促进公众健康为目标，从解决人民群众普遍关心的突出问题入手，标本兼治、</w:t>
      </w:r>
      <w:r>
        <w:rPr>
          <w:rFonts w:hint="eastAsia" w:ascii="Times New Roman" w:hAnsi="Times New Roman" w:eastAsia="方正仿宋_GBK" w:cs="Times New Roman"/>
          <w:color w:val="auto"/>
          <w:spacing w:val="19"/>
          <w:sz w:val="32"/>
          <w:szCs w:val="32"/>
          <w:lang w:eastAsia="zh-CN"/>
        </w:rPr>
        <w:t>突出重点、</w:t>
      </w:r>
      <w:r>
        <w:rPr>
          <w:rFonts w:ascii="Times New Roman" w:hAnsi="Times New Roman" w:eastAsia="方正仿宋_GBK" w:cs="Times New Roman"/>
          <w:color w:val="auto"/>
          <w:spacing w:val="19"/>
          <w:sz w:val="32"/>
          <w:szCs w:val="32"/>
        </w:rPr>
        <w:t>综合施策，不断增强人民群众的安全感和满意度。</w:t>
      </w:r>
    </w:p>
    <w:p w14:paraId="06E7EEF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s="Times New Roman"/>
          <w:color w:val="auto"/>
          <w:spacing w:val="19"/>
          <w:sz w:val="32"/>
          <w:szCs w:val="32"/>
        </w:rPr>
      </w:pPr>
      <w:r>
        <w:rPr>
          <w:rFonts w:hint="eastAsia" w:ascii="方正楷体_GBK" w:hAnsi="方正楷体_GBK" w:eastAsia="方正楷体_GBK" w:cs="方正楷体_GBK"/>
          <w:color w:val="auto"/>
          <w:sz w:val="32"/>
          <w:lang w:val="en-US"/>
        </w:rPr>
        <w:t>——</w:t>
      </w:r>
      <w:r>
        <w:rPr>
          <w:rFonts w:ascii="方正楷体_GBK" w:hAnsi="方正楷体_GBK" w:eastAsia="方正楷体_GBK" w:cs="方正楷体_GBK"/>
          <w:color w:val="auto"/>
          <w:sz w:val="32"/>
          <w:lang w:val="en-US"/>
        </w:rPr>
        <w:t>坚持预防为主、风险防控。</w:t>
      </w:r>
      <w:r>
        <w:rPr>
          <w:rFonts w:ascii="Times New Roman" w:hAnsi="Times New Roman" w:eastAsia="方正仿宋_GBK" w:cs="Times New Roman"/>
          <w:color w:val="auto"/>
          <w:spacing w:val="19"/>
          <w:sz w:val="32"/>
          <w:szCs w:val="32"/>
        </w:rPr>
        <w:t>牢固树立风险防范意识，强化风险监测、风险评估和供应链管理，提高风险</w:t>
      </w:r>
      <w:r>
        <w:rPr>
          <w:rFonts w:hint="eastAsia" w:ascii="Times New Roman" w:hAnsi="Times New Roman" w:eastAsia="方正仿宋_GBK" w:cs="Times New Roman"/>
          <w:color w:val="auto"/>
          <w:spacing w:val="19"/>
          <w:sz w:val="32"/>
          <w:szCs w:val="32"/>
          <w:lang w:eastAsia="zh-CN"/>
        </w:rPr>
        <w:t>隐患</w:t>
      </w:r>
      <w:r>
        <w:rPr>
          <w:rFonts w:ascii="Times New Roman" w:hAnsi="Times New Roman" w:eastAsia="方正仿宋_GBK" w:cs="Times New Roman"/>
          <w:color w:val="auto"/>
          <w:spacing w:val="19"/>
          <w:sz w:val="32"/>
          <w:szCs w:val="32"/>
        </w:rPr>
        <w:t>发现与处置能力。坚持</w:t>
      </w:r>
      <w:r>
        <w:rPr>
          <w:rFonts w:hint="eastAsia" w:ascii="Times New Roman" w:hAnsi="Times New Roman" w:eastAsia="方正仿宋_GBK" w:cs="Times New Roman"/>
          <w:color w:val="auto"/>
          <w:spacing w:val="19"/>
          <w:sz w:val="32"/>
          <w:szCs w:val="32"/>
          <w:lang w:eastAsia="zh-CN"/>
        </w:rPr>
        <w:t>“</w:t>
      </w:r>
      <w:r>
        <w:rPr>
          <w:rFonts w:ascii="Times New Roman" w:hAnsi="Times New Roman" w:eastAsia="方正仿宋_GBK" w:cs="Times New Roman"/>
          <w:color w:val="auto"/>
          <w:spacing w:val="19"/>
          <w:sz w:val="32"/>
          <w:szCs w:val="32"/>
        </w:rPr>
        <w:t>产</w:t>
      </w:r>
      <w:r>
        <w:rPr>
          <w:rFonts w:hint="eastAsia" w:ascii="Times New Roman" w:hAnsi="Times New Roman" w:eastAsia="方正仿宋_GBK" w:cs="Times New Roman"/>
          <w:color w:val="auto"/>
          <w:spacing w:val="19"/>
          <w:sz w:val="32"/>
          <w:szCs w:val="32"/>
          <w:lang w:eastAsia="zh-CN"/>
        </w:rPr>
        <w:t>”</w:t>
      </w:r>
      <w:r>
        <w:rPr>
          <w:rFonts w:ascii="Times New Roman" w:hAnsi="Times New Roman" w:eastAsia="方正仿宋_GBK" w:cs="Times New Roman"/>
          <w:color w:val="auto"/>
          <w:spacing w:val="19"/>
          <w:sz w:val="32"/>
          <w:szCs w:val="32"/>
        </w:rPr>
        <w:t>出来和</w:t>
      </w:r>
      <w:r>
        <w:rPr>
          <w:rFonts w:hint="eastAsia" w:ascii="Times New Roman" w:hAnsi="Times New Roman" w:eastAsia="方正仿宋_GBK" w:cs="Times New Roman"/>
          <w:color w:val="auto"/>
          <w:spacing w:val="19"/>
          <w:sz w:val="32"/>
          <w:szCs w:val="32"/>
          <w:lang w:eastAsia="zh-CN"/>
        </w:rPr>
        <w:t>“</w:t>
      </w:r>
      <w:r>
        <w:rPr>
          <w:rFonts w:ascii="Times New Roman" w:hAnsi="Times New Roman" w:eastAsia="方正仿宋_GBK" w:cs="Times New Roman"/>
          <w:color w:val="auto"/>
          <w:spacing w:val="19"/>
          <w:sz w:val="32"/>
          <w:szCs w:val="32"/>
        </w:rPr>
        <w:t>管</w:t>
      </w:r>
      <w:r>
        <w:rPr>
          <w:rFonts w:hint="eastAsia" w:ascii="Times New Roman" w:hAnsi="Times New Roman" w:eastAsia="方正仿宋_GBK" w:cs="Times New Roman"/>
          <w:color w:val="auto"/>
          <w:spacing w:val="19"/>
          <w:sz w:val="32"/>
          <w:szCs w:val="32"/>
          <w:lang w:eastAsia="zh-CN"/>
        </w:rPr>
        <w:t>”</w:t>
      </w:r>
      <w:r>
        <w:rPr>
          <w:rFonts w:ascii="Times New Roman" w:hAnsi="Times New Roman" w:eastAsia="方正仿宋_GBK" w:cs="Times New Roman"/>
          <w:color w:val="auto"/>
          <w:spacing w:val="19"/>
          <w:sz w:val="32"/>
          <w:szCs w:val="32"/>
        </w:rPr>
        <w:t>出来两手抓，落实生产经营者主体责任，最大限度消除不安全风险。</w:t>
      </w:r>
    </w:p>
    <w:p w14:paraId="5E45786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s="Times New Roman"/>
          <w:color w:val="auto"/>
          <w:spacing w:val="19"/>
          <w:sz w:val="32"/>
          <w:szCs w:val="32"/>
        </w:rPr>
      </w:pPr>
      <w:r>
        <w:rPr>
          <w:rFonts w:hint="eastAsia" w:ascii="方正楷体_GBK" w:hAnsi="方正楷体_GBK" w:eastAsia="方正楷体_GBK" w:cs="方正楷体_GBK"/>
          <w:color w:val="auto"/>
          <w:sz w:val="32"/>
          <w:lang w:val="en-US"/>
        </w:rPr>
        <w:t>——</w:t>
      </w:r>
      <w:r>
        <w:rPr>
          <w:rFonts w:ascii="方正楷体_GBK" w:hAnsi="方正楷体_GBK" w:eastAsia="方正楷体_GBK" w:cs="方正楷体_GBK"/>
          <w:color w:val="auto"/>
          <w:sz w:val="32"/>
          <w:lang w:val="en-US"/>
        </w:rPr>
        <w:t>坚持依法监管、强化责任。</w:t>
      </w:r>
      <w:r>
        <w:rPr>
          <w:rFonts w:ascii="Times New Roman" w:hAnsi="Times New Roman" w:eastAsia="方正仿宋_GBK" w:cs="Times New Roman"/>
          <w:color w:val="auto"/>
          <w:spacing w:val="19"/>
          <w:sz w:val="32"/>
          <w:szCs w:val="32"/>
        </w:rPr>
        <w:t>强化法治理念，健全法规制度、标准体系，重典治乱，加大检查执法力度，依法从严惩处违法犯罪行为，严把从农田到餐桌的每一道防线。</w:t>
      </w:r>
    </w:p>
    <w:p w14:paraId="5BC85C6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Times New Roman" w:hAnsi="Times New Roman" w:eastAsia="方正仿宋_GBK" w:cs="Times New Roman"/>
          <w:color w:val="auto"/>
          <w:spacing w:val="19"/>
          <w:sz w:val="32"/>
          <w:szCs w:val="32"/>
        </w:rPr>
      </w:pPr>
      <w:r>
        <w:rPr>
          <w:rFonts w:hint="eastAsia" w:ascii="方正楷体_GBK" w:hAnsi="方正楷体_GBK" w:eastAsia="方正楷体_GBK" w:cs="方正楷体_GBK"/>
          <w:color w:val="auto"/>
          <w:sz w:val="32"/>
          <w:lang w:val="en-US"/>
        </w:rPr>
        <w:t>——</w:t>
      </w:r>
      <w:r>
        <w:rPr>
          <w:rFonts w:ascii="方正楷体_GBK" w:hAnsi="方正楷体_GBK" w:eastAsia="方正楷体_GBK" w:cs="方正楷体_GBK"/>
          <w:color w:val="auto"/>
          <w:sz w:val="32"/>
          <w:lang w:val="en-US"/>
        </w:rPr>
        <w:t>坚持改革创新、科学引领。</w:t>
      </w:r>
      <w:r>
        <w:rPr>
          <w:rFonts w:ascii="Times New Roman" w:hAnsi="Times New Roman" w:eastAsia="方正仿宋_GBK" w:cs="Times New Roman"/>
          <w:color w:val="auto"/>
          <w:spacing w:val="19"/>
          <w:sz w:val="32"/>
          <w:szCs w:val="32"/>
        </w:rPr>
        <w:t>深化监管体制机制改革，创新监管理念、监管方式，堵塞漏洞</w:t>
      </w:r>
      <w:r>
        <w:rPr>
          <w:rFonts w:hint="eastAsia" w:ascii="Times New Roman" w:hAnsi="Times New Roman" w:eastAsia="方正仿宋_GBK" w:cs="Times New Roman"/>
          <w:color w:val="auto"/>
          <w:spacing w:val="19"/>
          <w:sz w:val="32"/>
          <w:szCs w:val="32"/>
          <w:lang w:eastAsia="zh-CN"/>
        </w:rPr>
        <w:t>，对标对表</w:t>
      </w:r>
      <w:r>
        <w:rPr>
          <w:rFonts w:ascii="Times New Roman" w:hAnsi="Times New Roman" w:eastAsia="方正仿宋_GBK" w:cs="Times New Roman"/>
          <w:color w:val="auto"/>
          <w:spacing w:val="19"/>
          <w:sz w:val="32"/>
          <w:szCs w:val="32"/>
        </w:rPr>
        <w:t>补齐短板，推进食品安全领域治理体系和治理能力现代化。</w:t>
      </w:r>
    </w:p>
    <w:p w14:paraId="7135E56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ascii="Times New Roman" w:hAnsi="Times New Roman" w:eastAsia="仿宋_GB2312"/>
          <w:color w:val="auto"/>
          <w:sz w:val="32"/>
          <w:lang w:val="en-US"/>
        </w:rPr>
      </w:pPr>
      <w:r>
        <w:rPr>
          <w:rFonts w:hint="eastAsia" w:ascii="方正楷体_GBK" w:hAnsi="方正楷体_GBK" w:eastAsia="方正楷体_GBK" w:cs="方正楷体_GBK"/>
          <w:color w:val="auto"/>
          <w:sz w:val="32"/>
          <w:lang w:val="en-US"/>
        </w:rPr>
        <w:t>——</w:t>
      </w:r>
      <w:r>
        <w:rPr>
          <w:rFonts w:ascii="方正楷体_GBK" w:hAnsi="方正楷体_GBK" w:eastAsia="方正楷体_GBK" w:cs="方正楷体_GBK"/>
          <w:color w:val="auto"/>
          <w:sz w:val="32"/>
          <w:lang w:val="en-US"/>
        </w:rPr>
        <w:t>坚持齐抓共管、共治共享。</w:t>
      </w:r>
      <w:r>
        <w:rPr>
          <w:rFonts w:hint="eastAsia" w:ascii="Times New Roman" w:hAnsi="Times New Roman" w:eastAsia="方正仿宋_GBK" w:cs="Times New Roman"/>
          <w:color w:val="auto"/>
          <w:spacing w:val="19"/>
          <w:sz w:val="32"/>
          <w:szCs w:val="32"/>
          <w:lang w:val="en-US"/>
        </w:rPr>
        <w:t>各级党委和政府对本地区食品安全工作负总责，</w:t>
      </w:r>
      <w:r>
        <w:rPr>
          <w:rFonts w:hint="eastAsia" w:ascii="Times New Roman" w:hAnsi="Times New Roman" w:eastAsia="方正仿宋_GBK" w:cs="Times New Roman"/>
          <w:color w:val="auto"/>
          <w:spacing w:val="19"/>
          <w:sz w:val="32"/>
          <w:szCs w:val="32"/>
          <w:lang w:val="en-US" w:eastAsia="zh-CN"/>
        </w:rPr>
        <w:t>各</w:t>
      </w:r>
      <w:r>
        <w:rPr>
          <w:rFonts w:ascii="Times New Roman" w:hAnsi="Times New Roman" w:eastAsia="方正仿宋_GBK" w:cs="Times New Roman"/>
          <w:color w:val="auto"/>
          <w:spacing w:val="19"/>
          <w:sz w:val="32"/>
          <w:szCs w:val="32"/>
        </w:rPr>
        <w:t>部门依法加强监管，生产经营者自觉履行主体责任，公众积极参与社会监督，形成各方各尽其责、齐抓共管、合力共治的工作格局。</w:t>
      </w:r>
    </w:p>
    <w:p w14:paraId="176871F4">
      <w:pPr>
        <w:spacing w:line="560" w:lineRule="exact"/>
        <w:jc w:val="center"/>
        <w:rPr>
          <w:rFonts w:hint="eastAsia" w:ascii="方正黑体_GBK" w:hAnsi="方正黑体_GBK" w:eastAsia="方正黑体_GBK" w:cs="方正黑体_GBK"/>
          <w:color w:val="auto"/>
          <w:sz w:val="32"/>
        </w:rPr>
      </w:pPr>
      <w:r>
        <w:rPr>
          <w:rFonts w:hint="eastAsia" w:ascii="方正黑体_GBK" w:hAnsi="方正黑体_GBK" w:eastAsia="方正黑体_GBK" w:cs="方正黑体_GBK"/>
          <w:color w:val="auto"/>
          <w:sz w:val="32"/>
        </w:rPr>
        <w:t xml:space="preserve">第三节  </w:t>
      </w:r>
      <w:r>
        <w:rPr>
          <w:rFonts w:hint="eastAsia" w:ascii="方正黑体_GBK" w:hAnsi="方正黑体_GBK" w:eastAsia="方正黑体_GBK" w:cs="方正黑体_GBK"/>
          <w:color w:val="auto"/>
          <w:sz w:val="32"/>
          <w:lang w:eastAsia="zh-CN"/>
        </w:rPr>
        <w:t>发展</w:t>
      </w:r>
      <w:r>
        <w:rPr>
          <w:rFonts w:hint="eastAsia" w:ascii="方正黑体_GBK" w:hAnsi="方正黑体_GBK" w:eastAsia="方正黑体_GBK" w:cs="方正黑体_GBK"/>
          <w:color w:val="auto"/>
          <w:sz w:val="32"/>
        </w:rPr>
        <w:t>目标</w:t>
      </w:r>
    </w:p>
    <w:p w14:paraId="388C777F">
      <w:pPr>
        <w:autoSpaceDE/>
        <w:autoSpaceDN/>
        <w:spacing w:line="560" w:lineRule="exact"/>
        <w:ind w:firstLine="640" w:firstLineChars="200"/>
        <w:rPr>
          <w:rFonts w:ascii="仿宋_GB2312" w:hAnsi="仿宋_GB2312" w:eastAsia="仿宋_GB2312" w:cs="仿宋_GB2312"/>
          <w:color w:val="auto"/>
          <w:sz w:val="32"/>
          <w:szCs w:val="32"/>
        </w:rPr>
      </w:pPr>
    </w:p>
    <w:p w14:paraId="5FF65DE0">
      <w:pPr>
        <w:autoSpaceDE/>
        <w:autoSpaceDN/>
        <w:spacing w:line="560" w:lineRule="exact"/>
        <w:ind w:firstLine="640" w:firstLineChars="200"/>
        <w:jc w:val="both"/>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到2025年，</w:t>
      </w:r>
      <w:r>
        <w:rPr>
          <w:rFonts w:hint="eastAsia" w:ascii="Times New Roman" w:hAnsi="Times New Roman" w:eastAsia="方正仿宋_GBK" w:cs="Times New Roman"/>
          <w:bCs/>
          <w:color w:val="auto"/>
          <w:sz w:val="32"/>
          <w:szCs w:val="32"/>
          <w:lang w:eastAsia="zh-CN"/>
        </w:rPr>
        <w:t>全州</w:t>
      </w:r>
      <w:r>
        <w:rPr>
          <w:rFonts w:ascii="Times New Roman" w:hAnsi="Times New Roman" w:eastAsia="方正仿宋_GBK" w:cs="Times New Roman"/>
          <w:bCs/>
          <w:color w:val="auto"/>
          <w:sz w:val="32"/>
          <w:szCs w:val="32"/>
        </w:rPr>
        <w:t>建立完善机制协调、权威高效的食品安全治理体系，党政同责、</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四有两责</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全面落实到位。食品生产</w:t>
      </w:r>
      <w:r>
        <w:rPr>
          <w:rFonts w:hint="eastAsia" w:ascii="Times New Roman" w:hAnsi="Times New Roman" w:eastAsia="方正仿宋_GBK" w:cs="Times New Roman"/>
          <w:bCs/>
          <w:color w:val="auto"/>
          <w:sz w:val="32"/>
          <w:szCs w:val="32"/>
        </w:rPr>
        <w:t>经营</w:t>
      </w:r>
      <w:r>
        <w:rPr>
          <w:rFonts w:ascii="Times New Roman" w:hAnsi="Times New Roman" w:eastAsia="方正仿宋_GBK" w:cs="Times New Roman"/>
          <w:bCs/>
          <w:color w:val="auto"/>
          <w:sz w:val="32"/>
          <w:szCs w:val="32"/>
        </w:rPr>
        <w:t>实现信息化追溯，科学监管条件进一步改善，监管队伍素质和依法行政能力全面提升，食品检验检测技术支撑能力显著增强，食品生产经营秩序明显好转，生产、销售假冒伪劣食品违法犯罪活动得到有效遏制，食品安全事故大幅减少，公众饮食安全保障水平不断提高。形成食品安全社会共治格局，实现食品安全水平、食品安全现代治理能力、食品产业竞争力、食品安全群众满意度</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四个明显提升</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，积极服务全</w:t>
      </w:r>
      <w:r>
        <w:rPr>
          <w:rFonts w:hint="eastAsia" w:ascii="Times New Roman" w:hAnsi="Times New Roman" w:eastAsia="方正仿宋_GBK" w:cs="Times New Roman"/>
          <w:bCs/>
          <w:color w:val="auto"/>
          <w:sz w:val="32"/>
          <w:szCs w:val="32"/>
          <w:lang w:eastAsia="zh-CN"/>
        </w:rPr>
        <w:t>州</w:t>
      </w:r>
      <w:r>
        <w:rPr>
          <w:rFonts w:ascii="Times New Roman" w:hAnsi="Times New Roman" w:eastAsia="方正仿宋_GBK" w:cs="Times New Roman"/>
          <w:bCs/>
          <w:color w:val="auto"/>
          <w:sz w:val="32"/>
          <w:szCs w:val="32"/>
        </w:rPr>
        <w:t>世界一流</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绿色食品牌</w:t>
      </w:r>
      <w:r>
        <w:rPr>
          <w:rFonts w:hint="eastAsia" w:ascii="Times New Roman" w:hAnsi="Times New Roman" w:eastAsia="方正仿宋_GBK" w:cs="Times New Roman"/>
          <w:bCs/>
          <w:color w:val="auto"/>
          <w:sz w:val="32"/>
          <w:szCs w:val="32"/>
          <w:lang w:eastAsia="zh-CN"/>
        </w:rPr>
        <w:t>”</w:t>
      </w:r>
      <w:r>
        <w:rPr>
          <w:rFonts w:ascii="Times New Roman" w:hAnsi="Times New Roman" w:eastAsia="方正仿宋_GBK" w:cs="Times New Roman"/>
          <w:bCs/>
          <w:color w:val="auto"/>
          <w:sz w:val="32"/>
          <w:szCs w:val="32"/>
        </w:rPr>
        <w:t>建设，努力把德宏打造成为边境民族地区食品安全放心区域。具体发展目标是：</w:t>
      </w:r>
    </w:p>
    <w:p w14:paraId="525D10F9">
      <w:pPr>
        <w:pStyle w:val="6"/>
        <w:spacing w:line="580" w:lineRule="exact"/>
        <w:ind w:right="258" w:firstLine="358" w:firstLineChars="100"/>
        <w:jc w:val="center"/>
        <w:rPr>
          <w:rFonts w:hint="default" w:ascii="Times New Roman" w:hAnsi="Times New Roman" w:eastAsia="方正仿宋_GBK" w:cs="Times New Roman"/>
          <w:bCs/>
          <w:color w:val="auto"/>
          <w:spacing w:val="19"/>
          <w:sz w:val="32"/>
          <w:szCs w:val="32"/>
        </w:rPr>
      </w:pPr>
      <w:r>
        <w:rPr>
          <w:rFonts w:hint="default" w:ascii="Times New Roman" w:hAnsi="Times New Roman" w:eastAsia="方正仿宋_GBK" w:cs="Times New Roman"/>
          <w:bCs/>
          <w:color w:val="auto"/>
          <w:spacing w:val="19"/>
          <w:sz w:val="32"/>
          <w:szCs w:val="32"/>
        </w:rPr>
        <w:t>德宏州2025年食品安全监管发展目标</w:t>
      </w:r>
    </w:p>
    <w:tbl>
      <w:tblPr>
        <w:tblStyle w:val="15"/>
        <w:tblpPr w:leftFromText="181" w:rightFromText="181" w:vertAnchor="text" w:horzAnchor="page" w:tblpXSpec="center" w:tblpY="284"/>
        <w:tblOverlap w:val="never"/>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5908"/>
        <w:gridCol w:w="1121"/>
        <w:gridCol w:w="957"/>
      </w:tblGrid>
      <w:tr w14:paraId="23F3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73D6384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方正黑体_GBK" w:hAnsi="方正黑体_GBK" w:eastAsia="方正黑体_GBK" w:cs="方正黑体_GBK"/>
                <w:b w:val="0"/>
                <w:bCs/>
                <w:color w:val="auto"/>
                <w:kern w:val="2"/>
                <w:sz w:val="24"/>
                <w:szCs w:val="24"/>
                <w:lang w:val="en-US" w:bidi="ar-SA"/>
              </w:rPr>
            </w:pPr>
            <w:r>
              <w:rPr>
                <w:rFonts w:hint="eastAsia" w:ascii="方正黑体_GBK" w:hAnsi="方正黑体_GBK" w:eastAsia="方正黑体_GBK" w:cs="方正黑体_GBK"/>
                <w:b w:val="0"/>
                <w:bCs/>
                <w:color w:val="auto"/>
                <w:kern w:val="2"/>
                <w:sz w:val="24"/>
                <w:szCs w:val="24"/>
                <w:lang w:val="en-US" w:bidi="ar-SA"/>
              </w:rPr>
              <w:t>序号</w:t>
            </w:r>
          </w:p>
        </w:tc>
        <w:tc>
          <w:tcPr>
            <w:tcW w:w="5908" w:type="dxa"/>
            <w:vAlign w:val="center"/>
          </w:tcPr>
          <w:p w14:paraId="5A6DC77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00"/>
              <w:jc w:val="center"/>
              <w:textAlignment w:val="auto"/>
              <w:outlineLvl w:val="9"/>
              <w:rPr>
                <w:rFonts w:hint="eastAsia" w:ascii="方正黑体_GBK" w:hAnsi="方正黑体_GBK" w:eastAsia="方正黑体_GBK" w:cs="方正黑体_GBK"/>
                <w:b w:val="0"/>
                <w:bCs/>
                <w:color w:val="auto"/>
                <w:kern w:val="2"/>
                <w:sz w:val="24"/>
                <w:szCs w:val="24"/>
                <w:lang w:val="en-US" w:bidi="ar-SA"/>
              </w:rPr>
            </w:pPr>
            <w:r>
              <w:rPr>
                <w:rFonts w:hint="eastAsia" w:ascii="方正黑体_GBK" w:hAnsi="方正黑体_GBK" w:eastAsia="方正黑体_GBK" w:cs="方正黑体_GBK"/>
                <w:b w:val="0"/>
                <w:bCs/>
                <w:color w:val="auto"/>
                <w:kern w:val="2"/>
                <w:sz w:val="24"/>
                <w:szCs w:val="24"/>
                <w:lang w:val="en-US" w:bidi="ar-SA"/>
              </w:rPr>
              <w:t>指标名称</w:t>
            </w:r>
          </w:p>
        </w:tc>
        <w:tc>
          <w:tcPr>
            <w:tcW w:w="1121" w:type="dxa"/>
            <w:vAlign w:val="center"/>
          </w:tcPr>
          <w:p w14:paraId="52D6FBF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方正黑体_GBK" w:hAnsi="方正黑体_GBK" w:eastAsia="方正黑体_GBK" w:cs="方正黑体_GBK"/>
                <w:b w:val="0"/>
                <w:bCs/>
                <w:color w:val="auto"/>
                <w:kern w:val="2"/>
                <w:sz w:val="24"/>
                <w:szCs w:val="24"/>
                <w:lang w:val="en-US" w:bidi="ar-SA"/>
              </w:rPr>
            </w:pPr>
            <w:r>
              <w:rPr>
                <w:rFonts w:hint="eastAsia" w:ascii="方正黑体_GBK" w:hAnsi="方正黑体_GBK" w:eastAsia="方正黑体_GBK" w:cs="方正黑体_GBK"/>
                <w:b w:val="0"/>
                <w:bCs/>
                <w:color w:val="auto"/>
                <w:kern w:val="2"/>
                <w:sz w:val="24"/>
                <w:szCs w:val="24"/>
                <w:lang w:val="en-US" w:bidi="ar-SA"/>
              </w:rPr>
              <w:t>2025年目标值</w:t>
            </w:r>
          </w:p>
        </w:tc>
        <w:tc>
          <w:tcPr>
            <w:tcW w:w="957" w:type="dxa"/>
            <w:vAlign w:val="center"/>
          </w:tcPr>
          <w:p w14:paraId="2AD1907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方正黑体_GBK" w:hAnsi="方正黑体_GBK" w:eastAsia="方正黑体_GBK" w:cs="方正黑体_GBK"/>
                <w:b w:val="0"/>
                <w:bCs/>
                <w:color w:val="auto"/>
                <w:kern w:val="2"/>
                <w:sz w:val="24"/>
                <w:szCs w:val="24"/>
                <w:lang w:val="en-US" w:bidi="ar-SA"/>
              </w:rPr>
            </w:pPr>
            <w:r>
              <w:rPr>
                <w:rFonts w:hint="eastAsia" w:ascii="方正黑体_GBK" w:hAnsi="方正黑体_GBK" w:eastAsia="方正黑体_GBK" w:cs="方正黑体_GBK"/>
                <w:b w:val="0"/>
                <w:bCs/>
                <w:color w:val="auto"/>
                <w:kern w:val="2"/>
                <w:sz w:val="24"/>
                <w:szCs w:val="24"/>
                <w:lang w:val="en-US" w:bidi="ar-SA"/>
              </w:rPr>
              <w:t>指标</w:t>
            </w:r>
          </w:p>
          <w:p w14:paraId="0DFA273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方正黑体_GBK" w:hAnsi="方正黑体_GBK" w:eastAsia="方正黑体_GBK" w:cs="方正黑体_GBK"/>
                <w:b w:val="0"/>
                <w:bCs/>
                <w:color w:val="auto"/>
                <w:kern w:val="2"/>
                <w:sz w:val="24"/>
                <w:szCs w:val="24"/>
                <w:lang w:val="en-US" w:bidi="ar-SA"/>
              </w:rPr>
            </w:pPr>
            <w:r>
              <w:rPr>
                <w:rFonts w:hint="eastAsia" w:ascii="方正黑体_GBK" w:hAnsi="方正黑体_GBK" w:eastAsia="方正黑体_GBK" w:cs="方正黑体_GBK"/>
                <w:b w:val="0"/>
                <w:bCs/>
                <w:color w:val="auto"/>
                <w:kern w:val="2"/>
                <w:sz w:val="24"/>
                <w:szCs w:val="24"/>
                <w:lang w:val="en-US" w:bidi="ar-SA"/>
              </w:rPr>
              <w:t>属性</w:t>
            </w:r>
          </w:p>
        </w:tc>
      </w:tr>
      <w:tr w14:paraId="5033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6927810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w:t>
            </w:r>
          </w:p>
        </w:tc>
        <w:tc>
          <w:tcPr>
            <w:tcW w:w="5908" w:type="dxa"/>
            <w:vAlign w:val="center"/>
          </w:tcPr>
          <w:p w14:paraId="3C40CD4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保健食品生产企业、大中型餐饮企业、食品销售企业、特殊餐饮服务提供者自查报告率（%）</w:t>
            </w:r>
          </w:p>
        </w:tc>
        <w:tc>
          <w:tcPr>
            <w:tcW w:w="1121" w:type="dxa"/>
            <w:vAlign w:val="center"/>
          </w:tcPr>
          <w:p w14:paraId="4401A36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30DE13C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预期性</w:t>
            </w:r>
          </w:p>
        </w:tc>
      </w:tr>
      <w:tr w14:paraId="64E6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6AAF09B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2</w:t>
            </w:r>
          </w:p>
        </w:tc>
        <w:tc>
          <w:tcPr>
            <w:tcW w:w="5908" w:type="dxa"/>
            <w:vAlign w:val="center"/>
          </w:tcPr>
          <w:p w14:paraId="31480DC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食品生产经营企业配备食品安全管理人员比例（%）</w:t>
            </w:r>
          </w:p>
        </w:tc>
        <w:tc>
          <w:tcPr>
            <w:tcW w:w="1121" w:type="dxa"/>
            <w:vAlign w:val="center"/>
          </w:tcPr>
          <w:p w14:paraId="56846D2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407ADFE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5A26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535B20F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3</w:t>
            </w:r>
          </w:p>
        </w:tc>
        <w:tc>
          <w:tcPr>
            <w:tcW w:w="5908" w:type="dxa"/>
            <w:vAlign w:val="center"/>
          </w:tcPr>
          <w:p w14:paraId="6B95F5B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食品企业质量安全管理岗位人员法规知识抽查考核合格率（%）</w:t>
            </w:r>
          </w:p>
        </w:tc>
        <w:tc>
          <w:tcPr>
            <w:tcW w:w="1121" w:type="dxa"/>
            <w:vAlign w:val="center"/>
          </w:tcPr>
          <w:p w14:paraId="2F476CD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 w:cs="仿宋_GB2312"/>
                <w:color w:val="auto"/>
                <w:sz w:val="24"/>
                <w:szCs w:val="24"/>
                <w:lang w:val="en-US"/>
              </w:rPr>
              <w:t>≥</w:t>
            </w:r>
            <w:r>
              <w:rPr>
                <w:rFonts w:hint="eastAsia" w:ascii="宋体" w:hAnsi="宋体" w:eastAsia="仿宋_GB2312" w:cs="仿宋_GB2312"/>
                <w:color w:val="auto"/>
                <w:sz w:val="24"/>
                <w:szCs w:val="24"/>
                <w:lang w:val="en-US"/>
              </w:rPr>
              <w:t>95</w:t>
            </w:r>
          </w:p>
        </w:tc>
        <w:tc>
          <w:tcPr>
            <w:tcW w:w="957" w:type="dxa"/>
            <w:vAlign w:val="center"/>
          </w:tcPr>
          <w:p w14:paraId="179D254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4C8B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77CDED9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4</w:t>
            </w:r>
          </w:p>
        </w:tc>
        <w:tc>
          <w:tcPr>
            <w:tcW w:w="5908" w:type="dxa"/>
            <w:vAlign w:val="center"/>
          </w:tcPr>
          <w:p w14:paraId="1BB7681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eastAsia="zh-CN"/>
              </w:rPr>
              <w:t>规模以上</w:t>
            </w:r>
            <w:r>
              <w:rPr>
                <w:rFonts w:hint="eastAsia" w:ascii="宋体" w:hAnsi="宋体" w:eastAsia="方正仿宋_GBK" w:cs="仿宋_GB2312"/>
                <w:color w:val="auto"/>
                <w:sz w:val="24"/>
                <w:szCs w:val="24"/>
                <w:lang w:val="en-US"/>
              </w:rPr>
              <w:t>乳制品、酒类、食品添加剂、保健食品企业产品的信息追溯覆盖率</w:t>
            </w:r>
            <w:r>
              <w:rPr>
                <w:rFonts w:hint="eastAsia" w:ascii="宋体" w:hAnsi="宋体" w:eastAsia="方正仿宋_GBK" w:cs="仿宋_GB2312"/>
                <w:color w:val="auto"/>
                <w:sz w:val="24"/>
                <w:szCs w:val="24"/>
              </w:rPr>
              <w:t>（%）</w:t>
            </w:r>
          </w:p>
        </w:tc>
        <w:tc>
          <w:tcPr>
            <w:tcW w:w="1121" w:type="dxa"/>
            <w:vAlign w:val="center"/>
          </w:tcPr>
          <w:p w14:paraId="353148E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rPr>
              <w:t>100</w:t>
            </w:r>
          </w:p>
        </w:tc>
        <w:tc>
          <w:tcPr>
            <w:tcW w:w="957" w:type="dxa"/>
            <w:vAlign w:val="center"/>
          </w:tcPr>
          <w:p w14:paraId="67BB08A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018E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00A01BF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5</w:t>
            </w:r>
          </w:p>
        </w:tc>
        <w:tc>
          <w:tcPr>
            <w:tcW w:w="5908" w:type="dxa"/>
            <w:vAlign w:val="center"/>
          </w:tcPr>
          <w:p w14:paraId="40A7AAB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高风险的大型食品企业实施危害分析和关键控制点体系率（%）</w:t>
            </w:r>
          </w:p>
        </w:tc>
        <w:tc>
          <w:tcPr>
            <w:tcW w:w="1121" w:type="dxa"/>
            <w:vAlign w:val="center"/>
          </w:tcPr>
          <w:p w14:paraId="7EC9535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67CBB39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预期性</w:t>
            </w:r>
          </w:p>
        </w:tc>
      </w:tr>
      <w:tr w14:paraId="4A4C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5" w:type="dxa"/>
            <w:vAlign w:val="center"/>
          </w:tcPr>
          <w:p w14:paraId="610BD2C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6</w:t>
            </w:r>
          </w:p>
        </w:tc>
        <w:tc>
          <w:tcPr>
            <w:tcW w:w="5908" w:type="dxa"/>
            <w:vAlign w:val="center"/>
          </w:tcPr>
          <w:p w14:paraId="05510B2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pacing w:val="-6"/>
                <w:sz w:val="24"/>
                <w:szCs w:val="24"/>
                <w:lang w:val="en-US"/>
              </w:rPr>
              <w:t>高风险食品生产经营企业</w:t>
            </w:r>
            <w:r>
              <w:rPr>
                <w:rFonts w:hint="eastAsia" w:ascii="宋体" w:hAnsi="宋体" w:eastAsia="方正仿宋_GBK" w:cs="仿宋_GB2312"/>
                <w:color w:val="auto"/>
                <w:spacing w:val="-6"/>
                <w:sz w:val="24"/>
                <w:szCs w:val="24"/>
                <w:lang w:val="en-US" w:eastAsia="zh-Hans"/>
              </w:rPr>
              <w:t>食品安全</w:t>
            </w:r>
            <w:r>
              <w:rPr>
                <w:rFonts w:hint="eastAsia" w:ascii="宋体" w:hAnsi="宋体" w:eastAsia="方正仿宋_GBK" w:cs="仿宋_GB2312"/>
                <w:color w:val="auto"/>
                <w:spacing w:val="-6"/>
                <w:sz w:val="24"/>
                <w:szCs w:val="24"/>
                <w:lang w:val="en-US"/>
              </w:rPr>
              <w:t>责任</w:t>
            </w:r>
            <w:r>
              <w:rPr>
                <w:rFonts w:hint="eastAsia" w:ascii="宋体" w:hAnsi="宋体" w:eastAsia="方正仿宋_GBK" w:cs="仿宋_GB2312"/>
                <w:color w:val="auto"/>
                <w:spacing w:val="-6"/>
                <w:sz w:val="24"/>
                <w:szCs w:val="24"/>
                <w:lang w:val="en-US" w:eastAsia="zh-Hans"/>
              </w:rPr>
              <w:t>保险</w:t>
            </w:r>
            <w:r>
              <w:rPr>
                <w:rFonts w:hint="eastAsia" w:ascii="宋体" w:hAnsi="宋体" w:eastAsia="方正仿宋_GBK" w:cs="仿宋_GB2312"/>
                <w:color w:val="auto"/>
                <w:spacing w:val="-6"/>
                <w:sz w:val="24"/>
                <w:szCs w:val="24"/>
                <w:lang w:val="en-US"/>
              </w:rPr>
              <w:t>覆盖率（%）</w:t>
            </w:r>
          </w:p>
        </w:tc>
        <w:tc>
          <w:tcPr>
            <w:tcW w:w="1121" w:type="dxa"/>
            <w:vAlign w:val="center"/>
          </w:tcPr>
          <w:p w14:paraId="727A8DC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 w:cs="仿宋_GB2312"/>
                <w:color w:val="auto"/>
                <w:sz w:val="24"/>
                <w:szCs w:val="24"/>
                <w:lang w:val="en-US"/>
              </w:rPr>
              <w:t>≥</w:t>
            </w:r>
            <w:r>
              <w:rPr>
                <w:rFonts w:hint="eastAsia" w:ascii="宋体" w:hAnsi="宋体" w:eastAsia="仿宋_GB2312" w:cs="仿宋_GB2312"/>
                <w:color w:val="auto"/>
                <w:sz w:val="24"/>
                <w:szCs w:val="24"/>
                <w:lang w:val="en-US"/>
              </w:rPr>
              <w:t>80</w:t>
            </w:r>
          </w:p>
        </w:tc>
        <w:tc>
          <w:tcPr>
            <w:tcW w:w="957" w:type="dxa"/>
            <w:vAlign w:val="center"/>
          </w:tcPr>
          <w:p w14:paraId="3CAE3F7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预期性</w:t>
            </w:r>
          </w:p>
        </w:tc>
      </w:tr>
      <w:tr w14:paraId="637B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7E3AFBC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7</w:t>
            </w:r>
          </w:p>
        </w:tc>
        <w:tc>
          <w:tcPr>
            <w:tcW w:w="5908" w:type="dxa"/>
            <w:vAlign w:val="center"/>
          </w:tcPr>
          <w:p w14:paraId="78B5D21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食品生产经营企业风险分级管理率（%）</w:t>
            </w:r>
          </w:p>
        </w:tc>
        <w:tc>
          <w:tcPr>
            <w:tcW w:w="1121" w:type="dxa"/>
            <w:vAlign w:val="center"/>
          </w:tcPr>
          <w:p w14:paraId="496682E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7C90E21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约束性</w:t>
            </w:r>
          </w:p>
        </w:tc>
      </w:tr>
      <w:tr w14:paraId="21C5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6E51008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8</w:t>
            </w:r>
          </w:p>
        </w:tc>
        <w:tc>
          <w:tcPr>
            <w:tcW w:w="5908" w:type="dxa"/>
            <w:vAlign w:val="center"/>
          </w:tcPr>
          <w:p w14:paraId="5D9062B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eastAsia="zh-CN"/>
              </w:rPr>
              <w:t>芒市辖区</w:t>
            </w:r>
            <w:r>
              <w:rPr>
                <w:rFonts w:hint="eastAsia" w:ascii="宋体" w:hAnsi="宋体" w:eastAsia="方正仿宋_GBK" w:cs="仿宋_GB2312"/>
                <w:color w:val="auto"/>
                <w:sz w:val="24"/>
                <w:szCs w:val="24"/>
              </w:rPr>
              <w:t>学校食堂及中型以上餐馆“互联网+明厨亮灶”完成率（</w:t>
            </w:r>
            <w:r>
              <w:rPr>
                <w:rFonts w:hint="eastAsia" w:ascii="宋体" w:hAnsi="宋体" w:eastAsia="方正仿宋_GBK" w:cs="仿宋_GB2312"/>
                <w:color w:val="auto"/>
                <w:sz w:val="24"/>
                <w:szCs w:val="24"/>
                <w:lang w:val="en-US"/>
              </w:rPr>
              <w:t>%</w:t>
            </w:r>
            <w:r>
              <w:rPr>
                <w:rFonts w:hint="eastAsia" w:ascii="宋体" w:hAnsi="宋体" w:eastAsia="方正仿宋_GBK" w:cs="仿宋_GB2312"/>
                <w:color w:val="auto"/>
                <w:sz w:val="24"/>
                <w:szCs w:val="24"/>
              </w:rPr>
              <w:t>）</w:t>
            </w:r>
          </w:p>
        </w:tc>
        <w:tc>
          <w:tcPr>
            <w:tcW w:w="1121" w:type="dxa"/>
            <w:vAlign w:val="center"/>
          </w:tcPr>
          <w:p w14:paraId="182D281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 w:cs="仿宋_GB2312"/>
                <w:color w:val="auto"/>
                <w:sz w:val="24"/>
                <w:szCs w:val="24"/>
                <w:lang w:val="en-US"/>
              </w:rPr>
              <w:t>≥</w:t>
            </w:r>
            <w:r>
              <w:rPr>
                <w:rFonts w:hint="eastAsia" w:ascii="宋体" w:hAnsi="宋体" w:eastAsia="仿宋_GB2312" w:cs="仿宋_GB2312"/>
                <w:color w:val="auto"/>
                <w:sz w:val="24"/>
                <w:szCs w:val="24"/>
                <w:lang w:val="en-US"/>
              </w:rPr>
              <w:t>80</w:t>
            </w:r>
          </w:p>
        </w:tc>
        <w:tc>
          <w:tcPr>
            <w:tcW w:w="957" w:type="dxa"/>
            <w:vAlign w:val="center"/>
          </w:tcPr>
          <w:p w14:paraId="360B5E0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w:t>
            </w:r>
            <w:r>
              <w:rPr>
                <w:rFonts w:hint="eastAsia" w:ascii="宋体" w:hAnsi="宋体" w:eastAsia="方正仿宋_GBK" w:cs="仿宋_GB2312"/>
                <w:color w:val="auto"/>
                <w:sz w:val="24"/>
                <w:szCs w:val="24"/>
              </w:rPr>
              <w:t>性</w:t>
            </w:r>
          </w:p>
        </w:tc>
      </w:tr>
      <w:tr w14:paraId="6813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43A990C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9</w:t>
            </w:r>
          </w:p>
        </w:tc>
        <w:tc>
          <w:tcPr>
            <w:tcW w:w="5908" w:type="dxa"/>
            <w:vAlign w:val="center"/>
          </w:tcPr>
          <w:p w14:paraId="77E631C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餐饮外卖配送“食</w:t>
            </w:r>
            <w:r>
              <w:rPr>
                <w:rFonts w:hint="eastAsia" w:ascii="宋体" w:hAnsi="宋体" w:eastAsia="方正仿宋_GBK" w:cs="仿宋_GB2312"/>
                <w:color w:val="auto"/>
                <w:sz w:val="24"/>
                <w:szCs w:val="24"/>
                <w:lang w:val="en-US"/>
              </w:rPr>
              <w:t>安</w:t>
            </w:r>
            <w:r>
              <w:rPr>
                <w:rFonts w:hint="eastAsia" w:ascii="宋体" w:hAnsi="宋体" w:eastAsia="方正仿宋_GBK" w:cs="仿宋_GB2312"/>
                <w:color w:val="auto"/>
                <w:sz w:val="24"/>
                <w:szCs w:val="24"/>
              </w:rPr>
              <w:t>封签”（%）</w:t>
            </w:r>
          </w:p>
        </w:tc>
        <w:tc>
          <w:tcPr>
            <w:tcW w:w="1121" w:type="dxa"/>
            <w:vAlign w:val="center"/>
          </w:tcPr>
          <w:p w14:paraId="4F8EC04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7DA7D30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rPr>
              <w:t>预期性</w:t>
            </w:r>
          </w:p>
        </w:tc>
      </w:tr>
      <w:tr w14:paraId="4D7B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7979DEA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w:t>
            </w:r>
          </w:p>
        </w:tc>
        <w:tc>
          <w:tcPr>
            <w:tcW w:w="5908" w:type="dxa"/>
            <w:vAlign w:val="center"/>
          </w:tcPr>
          <w:p w14:paraId="61D2F8E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全</w:t>
            </w:r>
            <w:r>
              <w:rPr>
                <w:rFonts w:hint="eastAsia" w:ascii="宋体" w:hAnsi="宋体" w:eastAsia="方正仿宋_GBK" w:cs="仿宋_GB2312"/>
                <w:color w:val="auto"/>
                <w:sz w:val="24"/>
                <w:szCs w:val="24"/>
                <w:lang w:val="en-US" w:eastAsia="zh-CN"/>
              </w:rPr>
              <w:t>州</w:t>
            </w:r>
            <w:r>
              <w:rPr>
                <w:rFonts w:hint="eastAsia" w:ascii="宋体" w:hAnsi="宋体" w:eastAsia="方正仿宋_GBK" w:cs="仿宋_GB2312"/>
                <w:color w:val="auto"/>
                <w:sz w:val="24"/>
                <w:szCs w:val="24"/>
                <w:lang w:val="en-US"/>
              </w:rPr>
              <w:t>餐厨垃圾处理能力（吨/日）</w:t>
            </w:r>
          </w:p>
        </w:tc>
        <w:tc>
          <w:tcPr>
            <w:tcW w:w="1121" w:type="dxa"/>
            <w:vAlign w:val="center"/>
          </w:tcPr>
          <w:p w14:paraId="6F45E5A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&gt;</w:t>
            </w:r>
            <w:r>
              <w:rPr>
                <w:rFonts w:hint="eastAsia" w:ascii="宋体" w:hAnsi="宋体" w:eastAsia="仿宋_GB2312" w:cs="仿宋_GB2312"/>
                <w:color w:val="auto"/>
                <w:sz w:val="24"/>
                <w:szCs w:val="24"/>
                <w:lang w:val="en-US" w:eastAsia="zh-CN"/>
              </w:rPr>
              <w:t>80</w:t>
            </w:r>
          </w:p>
        </w:tc>
        <w:tc>
          <w:tcPr>
            <w:tcW w:w="957" w:type="dxa"/>
            <w:vAlign w:val="center"/>
          </w:tcPr>
          <w:p w14:paraId="374D019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预期性</w:t>
            </w:r>
          </w:p>
        </w:tc>
      </w:tr>
      <w:tr w14:paraId="1276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14B2A84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11</w:t>
            </w:r>
          </w:p>
        </w:tc>
        <w:tc>
          <w:tcPr>
            <w:tcW w:w="5908" w:type="dxa"/>
            <w:vAlign w:val="center"/>
          </w:tcPr>
          <w:p w14:paraId="309ED85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食品评价性抽检合格率（%）</w:t>
            </w:r>
          </w:p>
        </w:tc>
        <w:tc>
          <w:tcPr>
            <w:tcW w:w="1121" w:type="dxa"/>
            <w:vAlign w:val="center"/>
          </w:tcPr>
          <w:p w14:paraId="4D4BB92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eastAsia="zh-CN"/>
              </w:rPr>
            </w:pPr>
            <w:r>
              <w:rPr>
                <w:rFonts w:hint="eastAsia" w:ascii="宋体" w:hAnsi="宋体" w:eastAsia="仿宋" w:cs="仿宋_GB2312"/>
                <w:color w:val="auto"/>
                <w:sz w:val="24"/>
                <w:szCs w:val="24"/>
                <w:lang w:val="en-US"/>
              </w:rPr>
              <w:t>≥</w:t>
            </w:r>
            <w:r>
              <w:rPr>
                <w:rFonts w:hint="eastAsia" w:ascii="宋体" w:hAnsi="宋体" w:eastAsia="仿宋_GB2312" w:cs="仿宋_GB2312"/>
                <w:color w:val="auto"/>
                <w:sz w:val="24"/>
                <w:szCs w:val="24"/>
              </w:rPr>
              <w:t>98</w:t>
            </w:r>
            <w:r>
              <w:rPr>
                <w:rFonts w:hint="eastAsia" w:ascii="宋体" w:hAnsi="宋体" w:cs="仿宋_GB2312"/>
                <w:color w:val="auto"/>
                <w:sz w:val="24"/>
                <w:szCs w:val="24"/>
                <w:lang w:val="en-US" w:eastAsia="zh-CN"/>
              </w:rPr>
              <w:t>.5</w:t>
            </w:r>
          </w:p>
        </w:tc>
        <w:tc>
          <w:tcPr>
            <w:tcW w:w="957" w:type="dxa"/>
            <w:vAlign w:val="center"/>
          </w:tcPr>
          <w:p w14:paraId="294C11F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eastAsia="zh-CN"/>
              </w:rPr>
            </w:pPr>
            <w:r>
              <w:rPr>
                <w:rFonts w:hint="eastAsia" w:ascii="宋体" w:hAnsi="宋体" w:eastAsia="方正仿宋_GBK" w:cs="仿宋_GB2312"/>
                <w:color w:val="auto"/>
                <w:sz w:val="24"/>
                <w:szCs w:val="24"/>
                <w:lang w:val="en-US" w:eastAsia="zh-CN"/>
              </w:rPr>
              <w:t>预期性</w:t>
            </w:r>
          </w:p>
        </w:tc>
      </w:tr>
      <w:tr w14:paraId="48DA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4652AA0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12</w:t>
            </w:r>
          </w:p>
        </w:tc>
        <w:tc>
          <w:tcPr>
            <w:tcW w:w="5908" w:type="dxa"/>
            <w:vAlign w:val="center"/>
          </w:tcPr>
          <w:p w14:paraId="4739CB8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全</w:t>
            </w:r>
            <w:r>
              <w:rPr>
                <w:rFonts w:hint="eastAsia" w:ascii="宋体" w:hAnsi="宋体" w:eastAsia="方正仿宋_GBK" w:cs="仿宋_GB2312"/>
                <w:color w:val="auto"/>
                <w:sz w:val="24"/>
                <w:szCs w:val="24"/>
                <w:lang w:val="en-US" w:eastAsia="zh-CN"/>
              </w:rPr>
              <w:t>州</w:t>
            </w:r>
            <w:r>
              <w:rPr>
                <w:rFonts w:hint="eastAsia" w:ascii="宋体" w:hAnsi="宋体" w:eastAsia="方正仿宋_GBK" w:cs="仿宋_GB2312"/>
                <w:color w:val="auto"/>
                <w:sz w:val="24"/>
                <w:szCs w:val="24"/>
                <w:lang w:val="en-US"/>
              </w:rPr>
              <w:t>农产品和食品抽检量</w:t>
            </w:r>
          </w:p>
        </w:tc>
        <w:tc>
          <w:tcPr>
            <w:tcW w:w="1121" w:type="dxa"/>
            <w:vAlign w:val="center"/>
          </w:tcPr>
          <w:p w14:paraId="2DECCAE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仿宋_GB2312" w:cs="仿宋_GB2312"/>
                <w:color w:val="auto"/>
                <w:sz w:val="24"/>
                <w:szCs w:val="24"/>
              </w:rPr>
              <w:t>5</w:t>
            </w:r>
            <w:r>
              <w:rPr>
                <w:rFonts w:hint="eastAsia" w:ascii="宋体" w:hAnsi="宋体" w:eastAsia="方正仿宋_GBK" w:cs="仿宋_GB2312"/>
                <w:color w:val="auto"/>
                <w:sz w:val="24"/>
                <w:szCs w:val="24"/>
                <w:lang w:val="en-US"/>
              </w:rPr>
              <w:t>批次/千人</w:t>
            </w:r>
          </w:p>
        </w:tc>
        <w:tc>
          <w:tcPr>
            <w:tcW w:w="957" w:type="dxa"/>
            <w:vAlign w:val="center"/>
          </w:tcPr>
          <w:p w14:paraId="0739C58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71D7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1497583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highlight w:val="yellow"/>
                <w:lang w:val="en-US"/>
              </w:rPr>
            </w:pPr>
            <w:r>
              <w:rPr>
                <w:rFonts w:hint="eastAsia" w:ascii="宋体" w:hAnsi="宋体" w:eastAsia="仿宋_GB2312" w:cs="仿宋_GB2312"/>
                <w:color w:val="auto"/>
                <w:sz w:val="24"/>
                <w:szCs w:val="24"/>
                <w:lang w:val="en-US"/>
              </w:rPr>
              <w:t>13</w:t>
            </w:r>
          </w:p>
        </w:tc>
        <w:tc>
          <w:tcPr>
            <w:tcW w:w="5908" w:type="dxa"/>
            <w:vAlign w:val="center"/>
          </w:tcPr>
          <w:p w14:paraId="651C225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highlight w:val="yellow"/>
                <w:lang w:val="en-US"/>
              </w:rPr>
            </w:pPr>
            <w:r>
              <w:rPr>
                <w:rFonts w:hint="eastAsia" w:ascii="宋体" w:hAnsi="宋体" w:eastAsia="方正仿宋_GBK" w:cs="仿宋_GB2312"/>
                <w:color w:val="auto"/>
                <w:sz w:val="24"/>
                <w:szCs w:val="24"/>
                <w:lang w:val="en-US"/>
              </w:rPr>
              <w:t>主要农产品质量安全例行监测合格率（%）</w:t>
            </w:r>
          </w:p>
        </w:tc>
        <w:tc>
          <w:tcPr>
            <w:tcW w:w="1121" w:type="dxa"/>
            <w:vAlign w:val="center"/>
          </w:tcPr>
          <w:p w14:paraId="162F1E1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highlight w:val="yellow"/>
                <w:lang w:val="en-US"/>
              </w:rPr>
            </w:pPr>
            <w:r>
              <w:rPr>
                <w:rFonts w:hint="eastAsia" w:ascii="宋体" w:hAnsi="宋体" w:eastAsia="仿宋" w:cs="仿宋_GB2312"/>
                <w:color w:val="auto"/>
                <w:sz w:val="24"/>
                <w:szCs w:val="24"/>
                <w:lang w:val="en-US"/>
              </w:rPr>
              <w:t>≥</w:t>
            </w:r>
            <w:r>
              <w:rPr>
                <w:rFonts w:hint="eastAsia" w:ascii="宋体" w:hAnsi="宋体" w:eastAsia="仿宋_GB2312" w:cs="仿宋_GB2312"/>
                <w:color w:val="auto"/>
                <w:sz w:val="24"/>
                <w:szCs w:val="24"/>
                <w:lang w:val="en-US"/>
              </w:rPr>
              <w:t>97</w:t>
            </w:r>
          </w:p>
        </w:tc>
        <w:tc>
          <w:tcPr>
            <w:tcW w:w="957" w:type="dxa"/>
            <w:vAlign w:val="center"/>
          </w:tcPr>
          <w:p w14:paraId="3E58AA5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highlight w:val="yellow"/>
                <w:lang w:val="en-US" w:eastAsia="zh-CN"/>
              </w:rPr>
            </w:pPr>
            <w:r>
              <w:rPr>
                <w:rFonts w:hint="eastAsia" w:ascii="宋体" w:hAnsi="宋体" w:eastAsia="方正仿宋_GBK" w:cs="仿宋_GB2312"/>
                <w:color w:val="auto"/>
                <w:sz w:val="24"/>
                <w:szCs w:val="24"/>
                <w:lang w:val="en-US" w:eastAsia="zh-CN"/>
              </w:rPr>
              <w:t>预期性</w:t>
            </w:r>
          </w:p>
        </w:tc>
      </w:tr>
      <w:tr w14:paraId="4A1A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3533DCA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14</w:t>
            </w:r>
          </w:p>
        </w:tc>
        <w:tc>
          <w:tcPr>
            <w:tcW w:w="5908" w:type="dxa"/>
            <w:vAlign w:val="center"/>
          </w:tcPr>
          <w:p w14:paraId="134A1BF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进出口食品监督抽检品种覆盖率（%）</w:t>
            </w:r>
          </w:p>
        </w:tc>
        <w:tc>
          <w:tcPr>
            <w:tcW w:w="1121" w:type="dxa"/>
            <w:vAlign w:val="center"/>
          </w:tcPr>
          <w:p w14:paraId="5FF0418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6FC9683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4D12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75A9932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15</w:t>
            </w:r>
          </w:p>
        </w:tc>
        <w:tc>
          <w:tcPr>
            <w:tcW w:w="5908" w:type="dxa"/>
            <w:vAlign w:val="center"/>
          </w:tcPr>
          <w:p w14:paraId="4145826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食源性疾病监测医院乡镇</w:t>
            </w:r>
            <w:r>
              <w:rPr>
                <w:rFonts w:hint="eastAsia" w:ascii="宋体" w:hAnsi="宋体" w:eastAsia="方正仿宋_GBK" w:cs="仿宋_GB2312"/>
                <w:color w:val="auto"/>
                <w:sz w:val="24"/>
                <w:szCs w:val="24"/>
                <w:lang w:val="en-US" w:eastAsia="zh-CN"/>
              </w:rPr>
              <w:t>（街道）</w:t>
            </w:r>
            <w:r>
              <w:rPr>
                <w:rFonts w:hint="eastAsia" w:ascii="宋体" w:hAnsi="宋体" w:eastAsia="方正仿宋_GBK" w:cs="仿宋_GB2312"/>
                <w:color w:val="auto"/>
                <w:sz w:val="24"/>
                <w:szCs w:val="24"/>
                <w:lang w:val="en-US"/>
              </w:rPr>
              <w:t>覆盖率(%)</w:t>
            </w:r>
          </w:p>
        </w:tc>
        <w:tc>
          <w:tcPr>
            <w:tcW w:w="1121" w:type="dxa"/>
            <w:vAlign w:val="center"/>
          </w:tcPr>
          <w:p w14:paraId="4F8D121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5D48D71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1115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vAlign w:val="center"/>
          </w:tcPr>
          <w:p w14:paraId="47580E4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16</w:t>
            </w:r>
          </w:p>
        </w:tc>
        <w:tc>
          <w:tcPr>
            <w:tcW w:w="5908" w:type="dxa"/>
            <w:vAlign w:val="center"/>
          </w:tcPr>
          <w:p w14:paraId="3B172BB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有机、绿色、地理标志农产品逐步实现信息可追溯率（%）</w:t>
            </w:r>
          </w:p>
        </w:tc>
        <w:tc>
          <w:tcPr>
            <w:tcW w:w="1121" w:type="dxa"/>
            <w:vAlign w:val="center"/>
          </w:tcPr>
          <w:p w14:paraId="2154725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6FF2361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预期性</w:t>
            </w:r>
          </w:p>
        </w:tc>
      </w:tr>
      <w:tr w14:paraId="7D6F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6D476F4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17</w:t>
            </w:r>
          </w:p>
        </w:tc>
        <w:tc>
          <w:tcPr>
            <w:tcW w:w="5908" w:type="dxa"/>
            <w:vAlign w:val="center"/>
          </w:tcPr>
          <w:p w14:paraId="6B6775D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基层市场监管所规范化建设率（%）</w:t>
            </w:r>
          </w:p>
        </w:tc>
        <w:tc>
          <w:tcPr>
            <w:tcW w:w="1121" w:type="dxa"/>
            <w:vAlign w:val="center"/>
          </w:tcPr>
          <w:p w14:paraId="01A4FD9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6CDA38A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eastAsia="zh-CN"/>
              </w:rPr>
            </w:pPr>
            <w:r>
              <w:rPr>
                <w:rFonts w:hint="eastAsia" w:ascii="宋体" w:hAnsi="宋体" w:eastAsia="方正仿宋_GBK" w:cs="仿宋_GB2312"/>
                <w:color w:val="auto"/>
                <w:sz w:val="24"/>
                <w:szCs w:val="24"/>
                <w:lang w:val="en-US" w:eastAsia="zh-CN"/>
              </w:rPr>
              <w:t>预期性</w:t>
            </w:r>
          </w:p>
        </w:tc>
      </w:tr>
      <w:tr w14:paraId="62CC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5" w:type="dxa"/>
            <w:vAlign w:val="center"/>
          </w:tcPr>
          <w:p w14:paraId="028BA46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18</w:t>
            </w:r>
          </w:p>
        </w:tc>
        <w:tc>
          <w:tcPr>
            <w:tcW w:w="5908" w:type="dxa"/>
            <w:vAlign w:val="center"/>
          </w:tcPr>
          <w:p w14:paraId="2353C64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社区、村（居）委会食品科普宣教活动覆盖率（%）</w:t>
            </w:r>
          </w:p>
        </w:tc>
        <w:tc>
          <w:tcPr>
            <w:tcW w:w="1121" w:type="dxa"/>
            <w:vAlign w:val="center"/>
          </w:tcPr>
          <w:p w14:paraId="1E6EE2D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100</w:t>
            </w:r>
          </w:p>
        </w:tc>
        <w:tc>
          <w:tcPr>
            <w:tcW w:w="957" w:type="dxa"/>
            <w:vAlign w:val="center"/>
          </w:tcPr>
          <w:p w14:paraId="1D7F2D1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约束性</w:t>
            </w:r>
          </w:p>
        </w:tc>
      </w:tr>
      <w:tr w14:paraId="1342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85" w:type="dxa"/>
            <w:vAlign w:val="center"/>
          </w:tcPr>
          <w:p w14:paraId="462B5B9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_GB2312" w:cs="仿宋_GB2312"/>
                <w:color w:val="auto"/>
                <w:sz w:val="24"/>
                <w:szCs w:val="24"/>
                <w:lang w:val="en-US"/>
              </w:rPr>
              <w:t>19</w:t>
            </w:r>
          </w:p>
        </w:tc>
        <w:tc>
          <w:tcPr>
            <w:tcW w:w="5908" w:type="dxa"/>
            <w:vAlign w:val="center"/>
          </w:tcPr>
          <w:p w14:paraId="0D92251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全</w:t>
            </w:r>
            <w:r>
              <w:rPr>
                <w:rFonts w:hint="eastAsia" w:ascii="宋体" w:hAnsi="宋体" w:eastAsia="方正仿宋_GBK" w:cs="仿宋_GB2312"/>
                <w:color w:val="auto"/>
                <w:sz w:val="24"/>
                <w:szCs w:val="24"/>
                <w:lang w:val="en-US" w:eastAsia="zh-CN"/>
              </w:rPr>
              <w:t>州</w:t>
            </w:r>
            <w:r>
              <w:rPr>
                <w:rFonts w:hint="eastAsia" w:ascii="宋体" w:hAnsi="宋体" w:eastAsia="方正仿宋_GBK" w:cs="仿宋_GB2312"/>
                <w:color w:val="auto"/>
                <w:sz w:val="24"/>
                <w:szCs w:val="24"/>
                <w:lang w:val="en-US"/>
              </w:rPr>
              <w:t>城乡居民食品安全综合满意度（%）</w:t>
            </w:r>
          </w:p>
        </w:tc>
        <w:tc>
          <w:tcPr>
            <w:tcW w:w="1121" w:type="dxa"/>
            <w:vAlign w:val="center"/>
          </w:tcPr>
          <w:p w14:paraId="4FCC611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ascii="宋体" w:hAnsi="宋体" w:eastAsia="仿宋_GB2312" w:cs="仿宋_GB2312"/>
                <w:color w:val="auto"/>
                <w:sz w:val="24"/>
                <w:szCs w:val="24"/>
                <w:lang w:val="en-US"/>
              </w:rPr>
            </w:pPr>
            <w:r>
              <w:rPr>
                <w:rFonts w:hint="eastAsia" w:ascii="宋体" w:hAnsi="宋体" w:eastAsia="仿宋" w:cs="仿宋_GB2312"/>
                <w:color w:val="auto"/>
                <w:sz w:val="24"/>
                <w:szCs w:val="24"/>
                <w:lang w:val="en-US"/>
              </w:rPr>
              <w:t>≥</w:t>
            </w:r>
            <w:r>
              <w:rPr>
                <w:rFonts w:hint="eastAsia" w:ascii="宋体" w:hAnsi="宋体" w:eastAsia="仿宋_GB2312" w:cs="仿宋_GB2312"/>
                <w:color w:val="auto"/>
                <w:sz w:val="24"/>
                <w:szCs w:val="24"/>
                <w:lang w:val="en-US"/>
              </w:rPr>
              <w:t>85</w:t>
            </w:r>
          </w:p>
        </w:tc>
        <w:tc>
          <w:tcPr>
            <w:tcW w:w="957" w:type="dxa"/>
            <w:vAlign w:val="center"/>
          </w:tcPr>
          <w:p w14:paraId="5BDCE74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方正仿宋_GBK" w:cs="仿宋_GB2312"/>
                <w:color w:val="auto"/>
                <w:sz w:val="24"/>
                <w:szCs w:val="24"/>
                <w:lang w:val="en-US"/>
              </w:rPr>
            </w:pPr>
            <w:r>
              <w:rPr>
                <w:rFonts w:hint="eastAsia" w:ascii="宋体" w:hAnsi="宋体" w:eastAsia="方正仿宋_GBK" w:cs="仿宋_GB2312"/>
                <w:color w:val="auto"/>
                <w:sz w:val="24"/>
                <w:szCs w:val="24"/>
                <w:lang w:val="en-US"/>
              </w:rPr>
              <w:t>预期性</w:t>
            </w:r>
          </w:p>
        </w:tc>
      </w:tr>
    </w:tbl>
    <w:p w14:paraId="511A5E68">
      <w:pPr>
        <w:pStyle w:val="6"/>
        <w:spacing w:line="580" w:lineRule="exact"/>
        <w:rPr>
          <w:color w:val="auto"/>
        </w:rPr>
      </w:pPr>
    </w:p>
    <w:p w14:paraId="2E710272">
      <w:pPr>
        <w:pStyle w:val="8"/>
        <w:rPr>
          <w:color w:val="auto"/>
        </w:rPr>
      </w:pPr>
    </w:p>
    <w:p w14:paraId="13A72782">
      <w:pPr>
        <w:pStyle w:val="6"/>
        <w:spacing w:line="580" w:lineRule="exact"/>
        <w:ind w:firstLine="640"/>
        <w:rPr>
          <w:color w:val="auto"/>
        </w:rPr>
      </w:pPr>
    </w:p>
    <w:p w14:paraId="275B0D40">
      <w:pPr>
        <w:spacing w:line="580" w:lineRule="exact"/>
        <w:jc w:val="center"/>
        <w:rPr>
          <w:rFonts w:ascii="Times New Roman" w:hAnsi="Times New Roman" w:eastAsia="黑体"/>
          <w:color w:val="auto"/>
          <w:sz w:val="44"/>
          <w:szCs w:val="44"/>
        </w:rPr>
      </w:pPr>
    </w:p>
    <w:p w14:paraId="53FD8FC3">
      <w:pPr>
        <w:spacing w:line="580" w:lineRule="exact"/>
        <w:jc w:val="center"/>
        <w:rPr>
          <w:rFonts w:ascii="Times New Roman" w:hAnsi="Times New Roman" w:eastAsia="黑体"/>
          <w:color w:val="auto"/>
          <w:sz w:val="44"/>
          <w:szCs w:val="44"/>
        </w:rPr>
      </w:pPr>
    </w:p>
    <w:p w14:paraId="016F9F3D">
      <w:pPr>
        <w:spacing w:line="580" w:lineRule="exact"/>
        <w:jc w:val="center"/>
        <w:rPr>
          <w:rFonts w:ascii="Times New Roman" w:hAnsi="Times New Roman" w:eastAsia="黑体"/>
          <w:color w:val="auto"/>
          <w:sz w:val="44"/>
          <w:szCs w:val="44"/>
        </w:rPr>
      </w:pPr>
    </w:p>
    <w:p w14:paraId="3B807E48">
      <w:pPr>
        <w:spacing w:line="580" w:lineRule="exact"/>
        <w:jc w:val="center"/>
        <w:rPr>
          <w:rFonts w:ascii="Times New Roman" w:hAnsi="Times New Roman" w:eastAsia="黑体"/>
          <w:color w:val="auto"/>
          <w:sz w:val="44"/>
          <w:szCs w:val="44"/>
        </w:rPr>
      </w:pPr>
    </w:p>
    <w:p w14:paraId="3FC6A8C3">
      <w:pPr>
        <w:spacing w:line="580" w:lineRule="exact"/>
        <w:jc w:val="center"/>
        <w:rPr>
          <w:rFonts w:ascii="Times New Roman" w:hAnsi="Times New Roman" w:eastAsia="黑体"/>
          <w:color w:val="auto"/>
          <w:sz w:val="44"/>
          <w:szCs w:val="44"/>
        </w:rPr>
      </w:pPr>
    </w:p>
    <w:p w14:paraId="28A42F17">
      <w:pPr>
        <w:spacing w:line="580" w:lineRule="exact"/>
        <w:jc w:val="center"/>
        <w:rPr>
          <w:rFonts w:ascii="Times New Roman" w:hAnsi="Times New Roman" w:eastAsia="黑体"/>
          <w:color w:val="auto"/>
          <w:sz w:val="44"/>
          <w:szCs w:val="44"/>
        </w:rPr>
      </w:pPr>
    </w:p>
    <w:p w14:paraId="7D1BF27C">
      <w:pPr>
        <w:pageBreakBefore w:val="0"/>
        <w:widowControl w:val="0"/>
        <w:kinsoku/>
        <w:wordWrap/>
        <w:overflowPunct/>
        <w:topLinePunct w:val="0"/>
        <w:autoSpaceDE/>
        <w:autoSpaceDN/>
        <w:bidi w:val="0"/>
        <w:adjustRightInd/>
        <w:snapToGrid/>
        <w:spacing w:line="580" w:lineRule="exact"/>
        <w:ind w:right="0" w:rightChars="0"/>
        <w:jc w:val="center"/>
        <w:textAlignment w:val="auto"/>
        <w:rPr>
          <w:rFonts w:ascii="Times New Roman" w:hAnsi="Times New Roman" w:eastAsia="黑体"/>
          <w:color w:val="auto"/>
          <w:sz w:val="44"/>
          <w:szCs w:val="44"/>
        </w:rPr>
      </w:pPr>
    </w:p>
    <w:p w14:paraId="46DC0F94">
      <w:pPr>
        <w:pageBreakBefore w:val="0"/>
        <w:widowControl w:val="0"/>
        <w:kinsoku/>
        <w:wordWrap/>
        <w:overflowPunct/>
        <w:topLinePunct w:val="0"/>
        <w:autoSpaceDE/>
        <w:autoSpaceDN/>
        <w:bidi w:val="0"/>
        <w:adjustRightInd/>
        <w:snapToGrid/>
        <w:spacing w:line="580" w:lineRule="exact"/>
        <w:ind w:right="0" w:rightChars="0"/>
        <w:jc w:val="center"/>
        <w:textAlignment w:val="auto"/>
        <w:rPr>
          <w:rFonts w:ascii="Times New Roman" w:hAnsi="Times New Roman" w:eastAsia="黑体"/>
          <w:color w:val="auto"/>
          <w:sz w:val="44"/>
          <w:szCs w:val="44"/>
        </w:rPr>
      </w:pPr>
    </w:p>
    <w:p w14:paraId="35DCC2DB">
      <w:pPr>
        <w:pageBreakBefore w:val="0"/>
        <w:widowControl w:val="0"/>
        <w:kinsoku/>
        <w:wordWrap/>
        <w:overflowPunct/>
        <w:topLinePunct w:val="0"/>
        <w:autoSpaceDE/>
        <w:autoSpaceDN/>
        <w:bidi w:val="0"/>
        <w:adjustRightInd/>
        <w:snapToGrid/>
        <w:spacing w:line="580" w:lineRule="exact"/>
        <w:ind w:right="0" w:rightChars="0"/>
        <w:jc w:val="center"/>
        <w:textAlignment w:val="auto"/>
        <w:rPr>
          <w:rFonts w:ascii="Times New Roman" w:hAnsi="Times New Roman" w:eastAsia="黑体"/>
          <w:color w:val="auto"/>
          <w:sz w:val="44"/>
          <w:szCs w:val="44"/>
        </w:rPr>
      </w:pPr>
    </w:p>
    <w:p w14:paraId="5943228A">
      <w:pPr>
        <w:pStyle w:val="2"/>
      </w:pPr>
    </w:p>
    <w:p w14:paraId="07BE6AF6">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方正黑体_GBK" w:cs="方正黑体_GBK"/>
          <w:color w:val="auto"/>
          <w:sz w:val="32"/>
          <w:szCs w:val="32"/>
          <w:lang w:val="en-US"/>
        </w:rPr>
      </w:pPr>
      <w:r>
        <w:rPr>
          <w:rFonts w:ascii="Times New Roman" w:hAnsi="Times New Roman" w:eastAsia="黑体"/>
          <w:color w:val="auto"/>
          <w:sz w:val="44"/>
          <w:szCs w:val="44"/>
        </w:rPr>
        <w:t>第三章  主要任务</w:t>
      </w:r>
    </w:p>
    <w:p w14:paraId="6D87ED28">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楷体_GBK" w:cs="方正楷体_GBK"/>
          <w:color w:val="auto"/>
          <w:sz w:val="32"/>
          <w:szCs w:val="32"/>
          <w:lang w:val="en-US"/>
        </w:rPr>
      </w:pPr>
      <w:bookmarkStart w:id="27" w:name="_Toc1705"/>
      <w:bookmarkStart w:id="28" w:name="_Toc66134825"/>
      <w:bookmarkStart w:id="29" w:name="_Toc8707"/>
      <w:bookmarkStart w:id="30" w:name="_Toc19327"/>
      <w:bookmarkStart w:id="31" w:name="_Toc30155"/>
      <w:bookmarkStart w:id="32" w:name="_Toc13428"/>
      <w:bookmarkStart w:id="33" w:name="_Toc22616"/>
      <w:bookmarkStart w:id="34" w:name="_Toc22806"/>
      <w:bookmarkStart w:id="35" w:name="_Toc2499"/>
      <w:bookmarkStart w:id="36" w:name="_Toc5237"/>
      <w:bookmarkStart w:id="37" w:name="_Toc10629"/>
      <w:bookmarkStart w:id="38" w:name="_Toc66917119"/>
    </w:p>
    <w:p w14:paraId="37B766EC">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方正楷体_GBK" w:cs="方正楷体_GBK"/>
          <w:color w:val="auto"/>
          <w:sz w:val="32"/>
          <w:szCs w:val="32"/>
          <w:lang w:val="en-US"/>
        </w:rPr>
      </w:pPr>
      <w:r>
        <w:rPr>
          <w:rFonts w:hint="eastAsia" w:ascii="方正黑体_GBK" w:hAnsi="方正黑体_GBK" w:eastAsia="方正黑体_GBK" w:cs="方正黑体_GBK"/>
          <w:color w:val="auto"/>
          <w:sz w:val="32"/>
        </w:rPr>
        <w:t>第一节</w:t>
      </w:r>
      <w:r>
        <w:rPr>
          <w:rFonts w:hint="eastAsia" w:ascii="方正黑体_GBK" w:hAnsi="方正黑体_GBK" w:eastAsia="方正黑体_GBK" w:cs="方正黑体_GBK"/>
          <w:color w:val="auto"/>
          <w:sz w:val="32"/>
          <w:lang w:val="en-US" w:eastAsia="zh-CN"/>
        </w:rPr>
        <w:t xml:space="preserve"> </w:t>
      </w:r>
      <w:r>
        <w:rPr>
          <w:rFonts w:hint="eastAsia" w:ascii="方正黑体_GBK" w:hAnsi="方正黑体_GBK" w:eastAsia="方正黑体_GBK" w:cs="方正黑体_GBK"/>
          <w:color w:val="auto"/>
          <w:sz w:val="32"/>
          <w:lang w:val="en-US"/>
        </w:rPr>
        <w:t>全面深化食品安全管理改革</w:t>
      </w:r>
      <w:bookmarkEnd w:id="27"/>
      <w:bookmarkEnd w:id="28"/>
      <w:bookmarkEnd w:id="29"/>
      <w:bookmarkEnd w:id="30"/>
      <w:bookmarkEnd w:id="31"/>
      <w:bookmarkEnd w:id="32"/>
      <w:bookmarkEnd w:id="33"/>
      <w:bookmarkEnd w:id="34"/>
      <w:bookmarkEnd w:id="35"/>
      <w:bookmarkEnd w:id="36"/>
      <w:bookmarkEnd w:id="37"/>
      <w:bookmarkEnd w:id="38"/>
    </w:p>
    <w:p w14:paraId="1BAACB6F">
      <w:pPr>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宋体" w:hAnsi="宋体" w:eastAsia="方正仿宋_GBK" w:cs="方正仿宋_GBK"/>
          <w:b/>
          <w:bCs/>
          <w:color w:val="auto"/>
          <w:sz w:val="32"/>
          <w:szCs w:val="32"/>
          <w:lang w:val="en-US" w:eastAsia="zh-CN"/>
        </w:rPr>
      </w:pPr>
      <w:bookmarkStart w:id="39" w:name="_Toc8549"/>
      <w:bookmarkStart w:id="40" w:name="_Toc21871"/>
      <w:bookmarkStart w:id="41" w:name="_Toc25730"/>
      <w:bookmarkStart w:id="42" w:name="_Toc27707"/>
      <w:bookmarkStart w:id="43" w:name="_Toc66134826"/>
      <w:bookmarkStart w:id="44" w:name="_Toc30664"/>
      <w:bookmarkStart w:id="45" w:name="_Toc9576"/>
      <w:bookmarkStart w:id="46" w:name="_Toc14296"/>
      <w:bookmarkStart w:id="47" w:name="_Toc12191"/>
      <w:bookmarkStart w:id="48" w:name="_Toc66917120"/>
      <w:bookmarkStart w:id="49" w:name="_Toc19279"/>
      <w:bookmarkStart w:id="50" w:name="_Toc17425"/>
    </w:p>
    <w:p w14:paraId="1BB5A9D0">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lang w:val="en-US"/>
        </w:rPr>
        <w:t>严格落实党政同责</w:t>
      </w:r>
      <w:bookmarkEnd w:id="39"/>
      <w:bookmarkEnd w:id="40"/>
      <w:bookmarkEnd w:id="41"/>
      <w:bookmarkEnd w:id="42"/>
      <w:bookmarkEnd w:id="43"/>
      <w:bookmarkEnd w:id="44"/>
      <w:bookmarkEnd w:id="45"/>
      <w:bookmarkEnd w:id="46"/>
      <w:bookmarkEnd w:id="47"/>
      <w:bookmarkEnd w:id="48"/>
      <w:bookmarkEnd w:id="49"/>
      <w:bookmarkEnd w:id="50"/>
    </w:p>
    <w:p w14:paraId="5656312A">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b w:val="0"/>
          <w:bCs w:val="0"/>
          <w:color w:val="auto"/>
          <w:sz w:val="32"/>
          <w:szCs w:val="32"/>
          <w:lang w:val="en-US" w:eastAsia="zh-CN" w:bidi="zh-CN"/>
        </w:rPr>
      </w:pPr>
      <w:bookmarkStart w:id="51" w:name="_Toc14931"/>
      <w:bookmarkStart w:id="52" w:name="_Toc66134827"/>
      <w:bookmarkStart w:id="53" w:name="_Toc26187"/>
      <w:bookmarkStart w:id="54" w:name="_Toc66917121"/>
      <w:bookmarkStart w:id="55" w:name="_Toc24647"/>
      <w:bookmarkStart w:id="56" w:name="_Toc27729"/>
      <w:bookmarkStart w:id="57" w:name="_Toc31866"/>
      <w:bookmarkStart w:id="58" w:name="_Toc29584"/>
      <w:bookmarkStart w:id="59" w:name="_Toc31456"/>
      <w:bookmarkStart w:id="60" w:name="_Toc6753"/>
      <w:bookmarkStart w:id="61" w:name="_Toc23985"/>
      <w:bookmarkStart w:id="62" w:name="_Toc5258"/>
      <w:r>
        <w:rPr>
          <w:rFonts w:hint="eastAsia" w:ascii="宋体" w:hAnsi="宋体" w:eastAsia="方正仿宋_GBK" w:cs="方正仿宋_GBK"/>
          <w:b w:val="0"/>
          <w:bCs w:val="0"/>
          <w:color w:val="auto"/>
          <w:sz w:val="32"/>
          <w:szCs w:val="32"/>
          <w:lang w:val="zh-CN" w:eastAsia="zh-CN" w:bidi="zh-CN"/>
        </w:rPr>
        <w:t>全面贯彻中共中央办公厅、国务院办公厅印发的《地方党政领导干部食品安全责任制规定》，认真落实《云南省党政领导干部食品安全责任清单》《德宏州党政领导干部食品安全责任清单》，坚持党政同责、一岗双责、齐抓共管、失职追责。各级党委、政府对食品安全工作负总责，各级党委和政府主要负责人为第一责任人。</w:t>
      </w:r>
      <w:r>
        <w:rPr>
          <w:rFonts w:hint="eastAsia" w:ascii="宋体" w:hAnsi="宋体" w:eastAsia="方正仿宋_GBK" w:cs="方正仿宋_GBK"/>
          <w:b w:val="0"/>
          <w:bCs w:val="0"/>
          <w:color w:val="auto"/>
          <w:sz w:val="32"/>
          <w:szCs w:val="32"/>
          <w:lang w:val="en-US" w:eastAsia="zh-CN" w:bidi="zh-CN"/>
        </w:rPr>
        <w:t>各级党委结合巡视巡察工作安排，对党政领导干部履行食品安全工作职责情况进行检查。</w:t>
      </w:r>
      <w:r>
        <w:rPr>
          <w:rFonts w:hint="eastAsia" w:ascii="宋体" w:hAnsi="宋体" w:eastAsia="方正仿宋_GBK" w:cs="方正仿宋_GBK"/>
          <w:b w:val="0"/>
          <w:bCs w:val="0"/>
          <w:color w:val="auto"/>
          <w:sz w:val="32"/>
          <w:szCs w:val="32"/>
          <w:lang w:val="zh-CN" w:eastAsia="zh-CN" w:bidi="zh-CN"/>
        </w:rPr>
        <w:t>全面加强各级政府食品安全委员会及其办公室建设。</w:t>
      </w:r>
      <w:r>
        <w:rPr>
          <w:rFonts w:hint="eastAsia" w:ascii="宋体" w:hAnsi="宋体" w:eastAsia="方正仿宋_GBK" w:cs="方正仿宋_GBK"/>
          <w:b w:val="0"/>
          <w:bCs w:val="0"/>
          <w:color w:val="auto"/>
          <w:sz w:val="32"/>
          <w:szCs w:val="32"/>
          <w:lang w:val="en-US" w:eastAsia="zh-CN" w:bidi="zh-CN"/>
        </w:rPr>
        <w:t>完善评议考核机制，建立常态化评估体系，突出结果导向和工作绩效，强化考核结果运用。</w:t>
      </w:r>
    </w:p>
    <w:p w14:paraId="177C5B08">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lang w:eastAsia="zh-CN"/>
        </w:rPr>
        <w:t>二、</w:t>
      </w:r>
      <w:r>
        <w:rPr>
          <w:rFonts w:hint="eastAsia" w:ascii="方正黑体_GBK" w:hAnsi="方正黑体_GBK" w:eastAsia="方正黑体_GBK" w:cs="方正黑体_GBK"/>
          <w:b w:val="0"/>
          <w:bCs w:val="0"/>
          <w:color w:val="auto"/>
        </w:rPr>
        <w:t>强化</w:t>
      </w:r>
      <w:r>
        <w:rPr>
          <w:rFonts w:hint="eastAsia" w:ascii="方正黑体_GBK" w:hAnsi="方正黑体_GBK" w:eastAsia="方正黑体_GBK" w:cs="方正黑体_GBK"/>
          <w:b w:val="0"/>
          <w:bCs w:val="0"/>
          <w:color w:val="auto"/>
          <w:lang w:eastAsia="zh-CN"/>
        </w:rPr>
        <w:t>部门</w:t>
      </w:r>
      <w:r>
        <w:rPr>
          <w:rFonts w:hint="eastAsia" w:ascii="方正黑体_GBK" w:hAnsi="方正黑体_GBK" w:eastAsia="方正黑体_GBK" w:cs="方正黑体_GBK"/>
          <w:b w:val="0"/>
          <w:bCs w:val="0"/>
          <w:color w:val="auto"/>
        </w:rPr>
        <w:t>协同监管</w:t>
      </w:r>
      <w:bookmarkEnd w:id="51"/>
      <w:bookmarkEnd w:id="52"/>
      <w:bookmarkEnd w:id="53"/>
      <w:bookmarkEnd w:id="54"/>
      <w:bookmarkEnd w:id="55"/>
      <w:bookmarkEnd w:id="56"/>
      <w:bookmarkEnd w:id="57"/>
      <w:bookmarkEnd w:id="58"/>
      <w:bookmarkEnd w:id="59"/>
      <w:bookmarkEnd w:id="60"/>
      <w:bookmarkEnd w:id="61"/>
      <w:bookmarkEnd w:id="62"/>
    </w:p>
    <w:p w14:paraId="6B95468C">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b w:val="0"/>
          <w:bCs w:val="0"/>
          <w:color w:val="auto"/>
          <w:sz w:val="32"/>
          <w:szCs w:val="32"/>
          <w:lang w:val="zh-CN" w:eastAsia="zh-CN" w:bidi="zh-CN"/>
        </w:rPr>
      </w:pPr>
      <w:r>
        <w:rPr>
          <w:rFonts w:hint="eastAsia" w:ascii="宋体" w:hAnsi="宋体" w:eastAsia="方正仿宋_GBK" w:cs="方正仿宋_GBK"/>
          <w:b w:val="0"/>
          <w:bCs w:val="0"/>
          <w:color w:val="auto"/>
          <w:sz w:val="32"/>
          <w:szCs w:val="32"/>
          <w:lang w:val="zh-CN" w:eastAsia="zh-CN" w:bidi="zh-CN"/>
        </w:rPr>
        <w:t>各级人民政府依法依规制定食品安全监管事权清单，并纳入政府部门权责清单，推动各级政府部门高效履职尽责。州级监管部门负责组织和协调对风险高、影响区域广的食品生产企业进行监督检查，对重大复杂案件进行查处和跨区域执法。县市级承担本区域内食品生产经营主体日常监管和行政执法事项。上级监管部门采取执法检查、案卷评查等方式，加强对下级监管部门的监督管理。完善食品安全委员会办公室议事规则，会同有关部门强化协调机制，加强沟通会商和风险交流，实现信息共享，防止监管缺位，研究解决实际问题，严格督查督办。</w:t>
      </w:r>
    </w:p>
    <w:p w14:paraId="393B86C7">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rPr>
      </w:pPr>
      <w:bookmarkStart w:id="63" w:name="_Toc311"/>
      <w:bookmarkStart w:id="64" w:name="_Toc27147"/>
      <w:bookmarkStart w:id="65" w:name="_Toc27759"/>
      <w:bookmarkStart w:id="66" w:name="_Toc8234"/>
      <w:bookmarkStart w:id="67" w:name="_Toc20927"/>
      <w:bookmarkStart w:id="68" w:name="_Toc13878"/>
      <w:bookmarkStart w:id="69" w:name="_Toc24248"/>
      <w:bookmarkStart w:id="70" w:name="_Toc32542"/>
      <w:bookmarkStart w:id="71" w:name="_Toc15892"/>
      <w:r>
        <w:rPr>
          <w:rFonts w:hint="eastAsia" w:ascii="方正黑体_GBK" w:hAnsi="方正黑体_GBK" w:eastAsia="方正黑体_GBK" w:cs="方正黑体_GBK"/>
          <w:b w:val="0"/>
          <w:bCs w:val="0"/>
          <w:color w:val="auto"/>
          <w:lang w:eastAsia="zh-CN"/>
        </w:rPr>
        <w:t>三、</w:t>
      </w:r>
      <w:r>
        <w:rPr>
          <w:rFonts w:hint="eastAsia" w:ascii="方正黑体_GBK" w:hAnsi="方正黑体_GBK" w:eastAsia="方正黑体_GBK" w:cs="方正黑体_GBK"/>
          <w:b w:val="0"/>
          <w:bCs w:val="0"/>
          <w:color w:val="auto"/>
        </w:rPr>
        <w:t>加强基层综合执法</w:t>
      </w:r>
      <w:bookmarkEnd w:id="63"/>
      <w:bookmarkEnd w:id="64"/>
      <w:bookmarkEnd w:id="65"/>
      <w:bookmarkEnd w:id="66"/>
      <w:bookmarkEnd w:id="67"/>
      <w:bookmarkEnd w:id="68"/>
      <w:bookmarkEnd w:id="69"/>
      <w:bookmarkEnd w:id="70"/>
      <w:bookmarkEnd w:id="71"/>
    </w:p>
    <w:p w14:paraId="3309633A">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rPr>
      </w:pPr>
      <w:r>
        <w:rPr>
          <w:rFonts w:hint="eastAsia" w:ascii="宋体" w:hAnsi="宋体" w:eastAsia="方正仿宋_GBK" w:cs="方正仿宋_GBK"/>
          <w:color w:val="auto"/>
          <w:sz w:val="32"/>
          <w:szCs w:val="32"/>
          <w:shd w:val="clear" w:color="auto" w:fill="FFFFFF"/>
          <w:lang w:val="en-US" w:bidi="ar-SA"/>
        </w:rPr>
        <w:t>深入推进市场综合执法改革，加强基层综合执法队伍和能力建设，确保有足够资源履行食品安全监管职责。县级市场监管部门及其派出机构，要以食品安全为首要职责，执法力量向一线岗位倾斜，完善工作流程，提高执法效率。农业综合执法</w:t>
      </w:r>
      <w:r>
        <w:rPr>
          <w:rFonts w:hint="eastAsia" w:ascii="宋体" w:hAnsi="宋体" w:eastAsia="方正仿宋_GBK" w:cs="方正仿宋_GBK"/>
          <w:color w:val="auto"/>
          <w:sz w:val="32"/>
          <w:szCs w:val="32"/>
          <w:shd w:val="clear" w:color="auto" w:fill="FFFFFF"/>
          <w:lang w:val="en-US" w:eastAsia="zh-CN" w:bidi="ar-SA"/>
        </w:rPr>
        <w:t>要</w:t>
      </w:r>
      <w:r>
        <w:rPr>
          <w:rFonts w:hint="eastAsia" w:ascii="宋体" w:hAnsi="宋体" w:eastAsia="方正仿宋_GBK" w:cs="方正仿宋_GBK"/>
          <w:color w:val="auto"/>
          <w:sz w:val="32"/>
          <w:szCs w:val="32"/>
          <w:shd w:val="clear" w:color="auto" w:fill="FFFFFF"/>
          <w:lang w:val="en-US" w:bidi="ar-SA"/>
        </w:rPr>
        <w:t>把保障农产品质量安全作为重点任务</w:t>
      </w:r>
      <w:r>
        <w:rPr>
          <w:rFonts w:hint="eastAsia" w:ascii="宋体" w:hAnsi="宋体" w:eastAsia="方正仿宋_GBK" w:cs="方正仿宋_GBK"/>
          <w:color w:val="auto"/>
          <w:sz w:val="32"/>
          <w:szCs w:val="32"/>
          <w:shd w:val="clear" w:color="auto" w:fill="FFFFFF"/>
          <w:lang w:val="en-US" w:eastAsia="zh-CN" w:bidi="ar-SA"/>
        </w:rPr>
        <w:t>，</w:t>
      </w:r>
      <w:r>
        <w:rPr>
          <w:rFonts w:hint="eastAsia" w:ascii="宋体" w:hAnsi="宋体" w:eastAsia="方正仿宋_GBK" w:cs="方正仿宋_GBK"/>
          <w:color w:val="auto"/>
          <w:sz w:val="32"/>
          <w:szCs w:val="32"/>
          <w:shd w:val="clear" w:color="auto" w:fill="FFFFFF"/>
          <w:lang w:val="en-US" w:bidi="ar-SA"/>
        </w:rPr>
        <w:t>加强执法力量和装备配备，确保执法监管工作落实到位。强化农业农村、市场监管、海关、公安等监管执法部门联勤联动工作机制，开展联合执法行动。</w:t>
      </w:r>
    </w:p>
    <w:p w14:paraId="2A421116">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楷体_GBK" w:cs="方正楷体_GBK"/>
          <w:color w:val="auto"/>
          <w:sz w:val="32"/>
          <w:szCs w:val="32"/>
        </w:rPr>
      </w:pPr>
      <w:bookmarkStart w:id="72" w:name="_Toc32030"/>
      <w:bookmarkStart w:id="73" w:name="_Toc24139"/>
      <w:bookmarkStart w:id="74" w:name="_Toc30788"/>
      <w:bookmarkStart w:id="75" w:name="_Toc21536"/>
      <w:bookmarkStart w:id="76" w:name="_Toc26425"/>
      <w:bookmarkStart w:id="77" w:name="_Toc23503"/>
      <w:bookmarkStart w:id="78" w:name="_Toc66917123"/>
      <w:bookmarkStart w:id="79" w:name="_Toc11905"/>
      <w:bookmarkStart w:id="80" w:name="_Toc895"/>
      <w:bookmarkStart w:id="81" w:name="_Toc66134829"/>
      <w:bookmarkStart w:id="82" w:name="_Toc22214"/>
      <w:bookmarkStart w:id="83" w:name="_Toc2582"/>
    </w:p>
    <w:p w14:paraId="2BF77EE4">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方正楷体_GBK" w:cs="方正楷体_GBK"/>
          <w:color w:val="auto"/>
          <w:sz w:val="32"/>
          <w:szCs w:val="32"/>
        </w:rPr>
      </w:pPr>
      <w:r>
        <w:rPr>
          <w:rFonts w:hint="eastAsia" w:ascii="方正黑体_GBK" w:hAnsi="方正黑体_GBK" w:eastAsia="方正黑体_GBK" w:cs="方正黑体_GBK"/>
          <w:color w:val="auto"/>
          <w:sz w:val="32"/>
          <w:lang w:eastAsia="zh-CN"/>
        </w:rPr>
        <w:t>第二节</w:t>
      </w:r>
      <w:r>
        <w:rPr>
          <w:rFonts w:hint="eastAsia" w:ascii="方正黑体_GBK" w:hAnsi="方正黑体_GBK" w:eastAsia="方正黑体_GBK" w:cs="方正黑体_GBK"/>
          <w:color w:val="auto"/>
          <w:sz w:val="32"/>
          <w:lang w:val="en-US" w:eastAsia="zh-CN"/>
        </w:rPr>
        <w:t xml:space="preserve">  </w:t>
      </w:r>
      <w:bookmarkEnd w:id="72"/>
      <w:bookmarkEnd w:id="73"/>
      <w:bookmarkEnd w:id="74"/>
      <w:bookmarkEnd w:id="75"/>
      <w:bookmarkEnd w:id="76"/>
      <w:bookmarkEnd w:id="77"/>
      <w:bookmarkEnd w:id="78"/>
      <w:bookmarkEnd w:id="79"/>
      <w:bookmarkEnd w:id="80"/>
      <w:bookmarkEnd w:id="81"/>
      <w:bookmarkEnd w:id="82"/>
      <w:bookmarkEnd w:id="83"/>
      <w:r>
        <w:rPr>
          <w:rFonts w:hint="eastAsia" w:ascii="方正黑体_GBK" w:hAnsi="方正黑体_GBK" w:eastAsia="方正黑体_GBK" w:cs="方正黑体_GBK"/>
          <w:color w:val="auto"/>
          <w:sz w:val="32"/>
        </w:rPr>
        <w:t>完善标准规范和实施</w:t>
      </w:r>
    </w:p>
    <w:p w14:paraId="486DACD4">
      <w:pPr>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宋体" w:hAnsi="宋体" w:eastAsia="方正仿宋_GBK" w:cs="方正仿宋_GBK"/>
          <w:b/>
          <w:bCs/>
          <w:color w:val="auto"/>
          <w:sz w:val="32"/>
          <w:szCs w:val="32"/>
        </w:rPr>
      </w:pPr>
      <w:bookmarkStart w:id="84" w:name="_Toc19537"/>
      <w:bookmarkStart w:id="85" w:name="_Toc66917124"/>
      <w:bookmarkStart w:id="86" w:name="_Toc26218"/>
      <w:bookmarkStart w:id="87" w:name="_Toc20482"/>
      <w:bookmarkStart w:id="88" w:name="_Toc26907"/>
      <w:bookmarkStart w:id="89" w:name="_Toc22452"/>
      <w:bookmarkStart w:id="90" w:name="_Toc1616"/>
      <w:bookmarkStart w:id="91" w:name="_Toc12501"/>
      <w:bookmarkStart w:id="92" w:name="_Toc32222"/>
      <w:bookmarkStart w:id="93" w:name="_Toc66134830"/>
      <w:bookmarkStart w:id="94" w:name="_Toc5008"/>
      <w:bookmarkStart w:id="95" w:name="_Toc8439"/>
    </w:p>
    <w:bookmarkEnd w:id="84"/>
    <w:bookmarkEnd w:id="85"/>
    <w:bookmarkEnd w:id="86"/>
    <w:bookmarkEnd w:id="87"/>
    <w:bookmarkEnd w:id="88"/>
    <w:bookmarkEnd w:id="89"/>
    <w:bookmarkEnd w:id="90"/>
    <w:bookmarkEnd w:id="91"/>
    <w:bookmarkEnd w:id="92"/>
    <w:bookmarkEnd w:id="93"/>
    <w:bookmarkEnd w:id="94"/>
    <w:bookmarkEnd w:id="95"/>
    <w:p w14:paraId="6C24AB30">
      <w:pPr>
        <w:pStyle w:val="4"/>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rPr>
          <w:rFonts w:ascii="方正黑体_GBK" w:hAnsi="方正黑体_GBK" w:eastAsia="方正黑体_GBK" w:cs="方正黑体_GBK"/>
          <w:b w:val="0"/>
          <w:bCs w:val="0"/>
          <w:color w:val="auto"/>
        </w:rPr>
      </w:pPr>
      <w:bookmarkStart w:id="96" w:name="_Toc14864"/>
      <w:r>
        <w:rPr>
          <w:rFonts w:hint="eastAsia" w:ascii="方正黑体_GBK" w:hAnsi="方正黑体_GBK" w:eastAsia="方正黑体_GBK" w:cs="方正黑体_GBK"/>
          <w:b w:val="0"/>
          <w:bCs w:val="0"/>
          <w:color w:val="auto"/>
        </w:rPr>
        <w:t>一、健全规章和制度规范</w:t>
      </w:r>
      <w:bookmarkEnd w:id="96"/>
    </w:p>
    <w:p w14:paraId="17CCE987">
      <w:pPr>
        <w:pStyle w:val="9"/>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rPr>
          <w:color w:val="auto"/>
        </w:rPr>
      </w:pPr>
      <w:r>
        <w:rPr>
          <w:rFonts w:hint="eastAsia" w:ascii="宋体" w:hAnsi="宋体" w:eastAsia="方正仿宋_GBK" w:cs="方正仿宋_GBK"/>
          <w:color w:val="auto"/>
          <w:sz w:val="32"/>
          <w:szCs w:val="32"/>
          <w:shd w:val="clear" w:color="auto" w:fill="FFFFFF"/>
          <w:lang w:val="en-US" w:bidi="ar-SA"/>
        </w:rPr>
        <w:t>清理与食品产业发展和监管体制改革不相适应的地方性法规、政府规章和行政规范性文件。落实国家关于食品安全民事和行政公益诉讼规定，做好与民事和行政诉讼的衔接配合。对食品新业态、新模式实施包容审慎监管，制定完善生产销售水产品、冷链物流等经营行为规范的管理制度。</w:t>
      </w:r>
    </w:p>
    <w:p w14:paraId="2C8D7D6F">
      <w:pPr>
        <w:pStyle w:val="4"/>
        <w:pageBreakBefore w:val="0"/>
        <w:widowControl w:val="0"/>
        <w:kinsoku/>
        <w:wordWrap/>
        <w:overflowPunct/>
        <w:topLinePunct w:val="0"/>
        <w:bidi w:val="0"/>
        <w:adjustRightInd/>
        <w:snapToGrid/>
        <w:spacing w:line="560" w:lineRule="exact"/>
        <w:ind w:left="0" w:leftChars="0" w:right="0" w:rightChars="0" w:firstLine="640"/>
        <w:textAlignment w:val="auto"/>
        <w:rPr>
          <w:rFonts w:ascii="方正黑体_GBK" w:hAnsi="方正黑体_GBK" w:eastAsia="方正黑体_GBK" w:cs="方正黑体_GBK"/>
          <w:b w:val="0"/>
          <w:bCs w:val="0"/>
          <w:color w:val="auto"/>
        </w:rPr>
      </w:pPr>
      <w:bookmarkStart w:id="97" w:name="_Toc66134832"/>
      <w:bookmarkStart w:id="98" w:name="_Toc22943"/>
      <w:bookmarkStart w:id="99" w:name="_Toc14993"/>
      <w:bookmarkStart w:id="100" w:name="_Toc13215"/>
      <w:bookmarkStart w:id="101" w:name="_Toc66917126"/>
      <w:r>
        <w:rPr>
          <w:rFonts w:hint="eastAsia" w:ascii="方正黑体_GBK" w:hAnsi="方正黑体_GBK" w:eastAsia="方正黑体_GBK" w:cs="方正黑体_GBK"/>
          <w:b w:val="0"/>
          <w:bCs w:val="0"/>
          <w:color w:val="auto"/>
        </w:rPr>
        <w:t>二、强化标准实施</w:t>
      </w:r>
    </w:p>
    <w:bookmarkEnd w:id="97"/>
    <w:bookmarkEnd w:id="98"/>
    <w:bookmarkEnd w:id="99"/>
    <w:bookmarkEnd w:id="100"/>
    <w:bookmarkEnd w:id="101"/>
    <w:p w14:paraId="17505D36">
      <w:pPr>
        <w:pStyle w:val="13"/>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rFonts w:hint="eastAsia" w:ascii="方正仿宋_GBK" w:eastAsia="方正仿宋_GBK"/>
          <w:color w:val="auto"/>
          <w:sz w:val="32"/>
          <w:szCs w:val="32"/>
          <w:lang w:eastAsia="zh-CN"/>
        </w:rPr>
      </w:pPr>
      <w:r>
        <w:rPr>
          <w:rFonts w:hint="eastAsia" w:ascii="宋体" w:hAnsi="宋体" w:eastAsia="方正仿宋_GBK" w:cs="方正仿宋_GBK"/>
          <w:color w:val="auto"/>
          <w:sz w:val="32"/>
          <w:szCs w:val="32"/>
        </w:rPr>
        <w:t>深入开展食品安全标准宣传培训，建立健全食品安全标准协调会商和跟踪评价工作机制，督促食品生产经营者严格执行食品安全标准，维护食品安全标准的强制性。加强食品安全标准跟踪评价，充分发挥食品安全标准保障食品安全、促进产业发展的基础作用。</w:t>
      </w:r>
      <w:r>
        <w:rPr>
          <w:rFonts w:hint="eastAsia" w:ascii="方正仿宋_GBK" w:eastAsia="方正仿宋_GBK"/>
          <w:color w:val="auto"/>
          <w:sz w:val="32"/>
          <w:szCs w:val="32"/>
        </w:rPr>
        <w:t>严格按照《食品安全国家标准》开展食品、食用农产品质量安全监督抽检和风险监测</w:t>
      </w:r>
      <w:r>
        <w:rPr>
          <w:rFonts w:hint="eastAsia" w:ascii="方正仿宋_GBK" w:eastAsia="方正仿宋_GBK"/>
          <w:color w:val="auto"/>
          <w:sz w:val="32"/>
          <w:szCs w:val="32"/>
          <w:lang w:eastAsia="zh-CN"/>
        </w:rPr>
        <w:t>。</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8A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3AED3395">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ascii="宋体" w:hAnsi="宋体" w:eastAsia="仿宋" w:cs="仿宋"/>
                <w:b/>
                <w:color w:val="auto"/>
                <w:sz w:val="30"/>
                <w:szCs w:val="30"/>
              </w:rPr>
            </w:pPr>
            <w:r>
              <w:rPr>
                <w:rFonts w:hint="eastAsia" w:ascii="宋体" w:hAnsi="宋体" w:eastAsia="方正黑体_GBK" w:cs="方正黑体_GBK"/>
                <w:bCs/>
                <w:color w:val="auto"/>
                <w:sz w:val="28"/>
                <w:szCs w:val="28"/>
              </w:rPr>
              <w:t>重点工程专栏1：实施打造世界一流“绿色食品牌”的标准体系建设工程</w:t>
            </w:r>
          </w:p>
        </w:tc>
      </w:tr>
      <w:tr w14:paraId="68A4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48611B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方正仿宋_GBK" w:cs="方正仿宋_GBK"/>
                <w:color w:val="auto"/>
                <w:sz w:val="24"/>
                <w:szCs w:val="24"/>
              </w:rPr>
            </w:pPr>
            <w:r>
              <w:rPr>
                <w:rFonts w:hint="eastAsia" w:ascii="宋体" w:hAnsi="宋体" w:eastAsia="方正楷体_GBK" w:cs="方正楷体_GBK"/>
                <w:color w:val="auto"/>
                <w:sz w:val="24"/>
                <w:szCs w:val="24"/>
              </w:rPr>
              <w:t>1.加强高原特色农产品标准制修订。</w:t>
            </w:r>
            <w:r>
              <w:rPr>
                <w:rFonts w:hint="eastAsia" w:ascii="宋体" w:hAnsi="宋体" w:eastAsia="方正仿宋_GBK" w:cs="方正仿宋_GBK"/>
                <w:color w:val="auto"/>
                <w:sz w:val="24"/>
                <w:szCs w:val="24"/>
                <w:lang w:val="en-US"/>
              </w:rPr>
              <w:t>参与</w:t>
            </w:r>
            <w:r>
              <w:rPr>
                <w:rFonts w:hint="eastAsia" w:ascii="宋体" w:hAnsi="宋体" w:eastAsia="方正仿宋_GBK" w:cs="方正仿宋_GBK"/>
                <w:color w:val="auto"/>
                <w:sz w:val="24"/>
                <w:szCs w:val="24"/>
              </w:rPr>
              <w:t>国家和行业标准制修订，</w:t>
            </w:r>
            <w:r>
              <w:rPr>
                <w:rFonts w:hint="eastAsia" w:ascii="宋体" w:hAnsi="宋体" w:eastAsia="方正仿宋_GBK" w:cs="方正仿宋_GBK"/>
                <w:color w:val="auto"/>
                <w:sz w:val="24"/>
                <w:szCs w:val="24"/>
                <w:lang w:val="en-US"/>
              </w:rPr>
              <w:t>提升完善高原特色农产品标准体系水平。</w:t>
            </w:r>
          </w:p>
          <w:p w14:paraId="44015D58">
            <w:pPr>
              <w:keepNext w:val="0"/>
              <w:keepLines w:val="0"/>
              <w:pageBreakBefore w:val="0"/>
              <w:widowControl w:val="0"/>
              <w:tabs>
                <w:tab w:val="left" w:pos="7388"/>
              </w:tabs>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方正仿宋_GBK" w:cs="方正仿宋_GBK"/>
                <w:color w:val="auto"/>
                <w:sz w:val="24"/>
                <w:szCs w:val="24"/>
              </w:rPr>
            </w:pPr>
            <w:r>
              <w:rPr>
                <w:rFonts w:hint="eastAsia" w:ascii="宋体" w:hAnsi="宋体" w:eastAsia="方正楷体_GBK" w:cs="方正楷体_GBK"/>
                <w:color w:val="auto"/>
                <w:sz w:val="24"/>
                <w:szCs w:val="24"/>
              </w:rPr>
              <w:t>2.加强</w:t>
            </w:r>
            <w:r>
              <w:rPr>
                <w:rFonts w:hint="eastAsia" w:ascii="宋体" w:hAnsi="宋体" w:eastAsia="方正楷体_GBK" w:cs="方正楷体_GBK"/>
                <w:color w:val="auto"/>
                <w:sz w:val="24"/>
                <w:szCs w:val="24"/>
                <w:lang w:val="en-US"/>
              </w:rPr>
              <w:t>食品安全地方标准制修订。</w:t>
            </w:r>
            <w:r>
              <w:rPr>
                <w:rFonts w:hint="eastAsia" w:ascii="宋体" w:hAnsi="宋体" w:eastAsia="方正仿宋_GBK" w:cs="方正仿宋_GBK"/>
                <w:color w:val="auto"/>
                <w:sz w:val="24"/>
                <w:szCs w:val="24"/>
                <w:lang w:val="en-US" w:eastAsia="zh-CN"/>
              </w:rPr>
              <w:t>配合省级开展</w:t>
            </w:r>
            <w:r>
              <w:rPr>
                <w:rFonts w:ascii="宋体" w:hAnsi="宋体" w:eastAsia="方正仿宋_GBK" w:cs="方正仿宋_GBK"/>
                <w:color w:val="auto"/>
                <w:sz w:val="24"/>
                <w:szCs w:val="24"/>
                <w:lang w:val="en-US"/>
              </w:rPr>
              <w:t>食品安全地方标准制修订</w:t>
            </w:r>
            <w:r>
              <w:rPr>
                <w:rFonts w:hint="eastAsia" w:ascii="宋体" w:hAnsi="宋体" w:eastAsia="方正仿宋_GBK" w:cs="方正仿宋_GBK"/>
                <w:color w:val="auto"/>
                <w:sz w:val="24"/>
                <w:szCs w:val="24"/>
              </w:rPr>
              <w:t>；开展不少于</w:t>
            </w:r>
            <w:r>
              <w:rPr>
                <w:rFonts w:hint="eastAsia" w:ascii="宋体" w:hAnsi="宋体" w:eastAsia="方正仿宋_GBK" w:cs="方正仿宋_GBK"/>
                <w:color w:val="auto"/>
                <w:sz w:val="24"/>
                <w:szCs w:val="24"/>
                <w:lang w:val="en-US" w:eastAsia="zh-CN"/>
              </w:rPr>
              <w:t>1项</w:t>
            </w:r>
            <w:r>
              <w:rPr>
                <w:rFonts w:ascii="宋体" w:hAnsi="宋体" w:eastAsia="方正仿宋_GBK" w:cs="方正仿宋_GBK"/>
                <w:color w:val="auto"/>
                <w:sz w:val="24"/>
                <w:szCs w:val="24"/>
              </w:rPr>
              <w:t>食品安全标准跟踪评价</w:t>
            </w:r>
            <w:r>
              <w:rPr>
                <w:rFonts w:hint="eastAsia" w:ascii="宋体" w:hAnsi="宋体" w:eastAsia="方正仿宋_GBK" w:cs="方正仿宋_GBK"/>
                <w:color w:val="auto"/>
                <w:sz w:val="24"/>
                <w:szCs w:val="24"/>
              </w:rPr>
              <w:t>。</w:t>
            </w:r>
          </w:p>
          <w:p w14:paraId="4A7A1DCD">
            <w:pPr>
              <w:keepNext w:val="0"/>
              <w:keepLines w:val="0"/>
              <w:pageBreakBefore w:val="0"/>
              <w:widowControl w:val="0"/>
              <w:tabs>
                <w:tab w:val="left" w:pos="7388"/>
              </w:tabs>
              <w:kinsoku/>
              <w:wordWrap/>
              <w:overflowPunct/>
              <w:topLinePunct w:val="0"/>
              <w:autoSpaceDE/>
              <w:autoSpaceDN/>
              <w:bidi w:val="0"/>
              <w:adjustRightInd/>
              <w:snapToGrid/>
              <w:spacing w:line="400" w:lineRule="exact"/>
              <w:ind w:firstLine="480" w:firstLineChars="200"/>
              <w:textAlignment w:val="auto"/>
              <w:outlineLvl w:val="9"/>
              <w:rPr>
                <w:rFonts w:ascii="宋体" w:hAnsi="宋体" w:eastAsia="华光仿宋二_CNKI" w:cs="华光仿宋二_CNKI"/>
                <w:color w:val="auto"/>
                <w:sz w:val="22"/>
                <w:szCs w:val="22"/>
              </w:rPr>
            </w:pPr>
            <w:r>
              <w:rPr>
                <w:rFonts w:hint="eastAsia" w:ascii="宋体" w:hAnsi="宋体" w:eastAsia="方正楷体_GBK" w:cs="方正楷体_GBK"/>
                <w:color w:val="auto"/>
                <w:sz w:val="24"/>
                <w:szCs w:val="24"/>
              </w:rPr>
              <w:t>3.加强“三品”认证。</w:t>
            </w:r>
            <w:r>
              <w:rPr>
                <w:rFonts w:hint="eastAsia" w:ascii="宋体" w:hAnsi="宋体" w:eastAsia="方正仿宋_GBK" w:cs="方正仿宋_GBK"/>
                <w:color w:val="auto"/>
                <w:sz w:val="24"/>
                <w:szCs w:val="24"/>
                <w:lang w:val="en-US"/>
              </w:rPr>
              <w:t>累计新认证登记绿色、有机、地理标志农产品</w:t>
            </w:r>
            <w:r>
              <w:rPr>
                <w:rFonts w:hint="eastAsia" w:ascii="宋体" w:hAnsi="宋体" w:eastAsia="方正仿宋_GBK" w:cs="方正仿宋_GBK"/>
                <w:color w:val="auto"/>
                <w:sz w:val="24"/>
                <w:szCs w:val="24"/>
                <w:lang w:val="en-US" w:eastAsia="zh-CN"/>
              </w:rPr>
              <w:t>150个</w:t>
            </w:r>
            <w:r>
              <w:rPr>
                <w:rFonts w:hint="eastAsia" w:ascii="宋体" w:hAnsi="宋体" w:eastAsia="方正仿宋_GBK" w:cs="方正仿宋_GBK"/>
                <w:color w:val="auto"/>
                <w:sz w:val="24"/>
                <w:szCs w:val="24"/>
                <w:lang w:val="en-US"/>
              </w:rPr>
              <w:t>以上</w:t>
            </w:r>
            <w:r>
              <w:rPr>
                <w:rFonts w:hint="eastAsia" w:ascii="宋体" w:hAnsi="宋体" w:eastAsia="方正仿宋_GBK" w:cs="方正仿宋_GBK"/>
                <w:color w:val="auto"/>
                <w:sz w:val="24"/>
                <w:szCs w:val="24"/>
              </w:rPr>
              <w:t xml:space="preserve">。 </w:t>
            </w:r>
          </w:p>
          <w:p w14:paraId="5826DF2C">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outlineLvl w:val="9"/>
              <w:rPr>
                <w:rFonts w:ascii="宋体" w:hAnsi="宋体" w:eastAsia="华光仿宋二_CNKI" w:cs="华光仿宋二_CNKI"/>
                <w:color w:val="auto"/>
                <w:sz w:val="29"/>
                <w:szCs w:val="29"/>
              </w:rPr>
            </w:pPr>
            <w:r>
              <w:rPr>
                <w:rFonts w:hint="eastAsia" w:ascii="宋体" w:hAnsi="宋体" w:eastAsia="方正仿宋_GBK" w:cs="方正仿宋_GBK"/>
                <w:color w:val="auto"/>
                <w:sz w:val="24"/>
                <w:szCs w:val="24"/>
              </w:rPr>
              <w:t xml:space="preserve">    </w:t>
            </w:r>
            <w:r>
              <w:rPr>
                <w:rFonts w:hint="eastAsia" w:ascii="宋体" w:hAnsi="宋体" w:eastAsia="方正楷体_GBK" w:cs="方正楷体_GBK"/>
                <w:color w:val="auto"/>
                <w:sz w:val="24"/>
                <w:szCs w:val="24"/>
              </w:rPr>
              <w:t>4.推进粮油标准研究验证测试。</w:t>
            </w:r>
            <w:r>
              <w:rPr>
                <w:rFonts w:hint="eastAsia" w:ascii="宋体" w:hAnsi="宋体" w:eastAsia="方正仿宋_GBK" w:cs="方正仿宋_GBK"/>
                <w:color w:val="auto"/>
                <w:sz w:val="24"/>
                <w:szCs w:val="24"/>
              </w:rPr>
              <w:t>推进标准研究及有关指标跟踪评价。</w:t>
            </w:r>
          </w:p>
          <w:p w14:paraId="191A9C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方正仿宋_GBK" w:cs="方正仿宋_GBK"/>
                <w:color w:val="auto"/>
                <w:sz w:val="24"/>
                <w:szCs w:val="24"/>
                <w:lang w:val="en-US"/>
              </w:rPr>
            </w:pPr>
            <w:r>
              <w:rPr>
                <w:rFonts w:hint="eastAsia" w:ascii="宋体" w:hAnsi="宋体" w:eastAsia="方正楷体_GBK" w:cs="方正楷体_GBK"/>
                <w:color w:val="auto"/>
                <w:sz w:val="24"/>
                <w:szCs w:val="24"/>
                <w:lang w:val="en-US"/>
              </w:rPr>
              <w:t>5.加强食品和食用农产品安全标准专业人才队伍培养、技术机构能力建设。</w:t>
            </w:r>
            <w:r>
              <w:rPr>
                <w:rFonts w:hint="eastAsia" w:ascii="宋体" w:hAnsi="宋体" w:eastAsia="方正仿宋_GBK" w:cs="方正仿宋_GBK"/>
                <w:color w:val="auto"/>
                <w:sz w:val="24"/>
                <w:szCs w:val="24"/>
                <w:lang w:val="en-US"/>
              </w:rPr>
              <w:t>支持食品和食用农产品安全技术机构、高校、科研院所等设立标准研制核心实验室，培养标准化专业技术人才和创新队伍。</w:t>
            </w:r>
          </w:p>
        </w:tc>
      </w:tr>
    </w:tbl>
    <w:p w14:paraId="387047B6">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宋体" w:hAnsi="宋体" w:eastAsia="方正楷体_GBK" w:cs="方正楷体_GBK"/>
          <w:color w:val="auto"/>
          <w:sz w:val="32"/>
          <w:szCs w:val="32"/>
        </w:rPr>
      </w:pPr>
      <w:bookmarkStart w:id="102" w:name="_Toc66917127"/>
      <w:bookmarkStart w:id="103" w:name="_Toc66134833"/>
      <w:bookmarkStart w:id="104" w:name="_Toc29133"/>
      <w:bookmarkStart w:id="105" w:name="_Toc24706"/>
      <w:bookmarkStart w:id="106" w:name="_Toc18395"/>
      <w:bookmarkStart w:id="107" w:name="_Toc7165"/>
      <w:bookmarkStart w:id="108" w:name="_Toc27426"/>
      <w:bookmarkStart w:id="109" w:name="_Toc20502"/>
      <w:bookmarkStart w:id="110" w:name="_Toc27571"/>
      <w:bookmarkStart w:id="111" w:name="_Toc15256"/>
      <w:bookmarkStart w:id="112" w:name="_Toc30817"/>
      <w:bookmarkStart w:id="113" w:name="_Toc26702"/>
    </w:p>
    <w:p w14:paraId="21B7319A">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方正楷体_GBK" w:cs="方正楷体_GBK"/>
          <w:color w:val="auto"/>
          <w:sz w:val="32"/>
          <w:szCs w:val="32"/>
        </w:rPr>
      </w:pPr>
      <w:r>
        <w:rPr>
          <w:rFonts w:hint="eastAsia" w:ascii="方正黑体_GBK" w:hAnsi="方正黑体_GBK" w:eastAsia="方正黑体_GBK" w:cs="方正黑体_GBK"/>
          <w:color w:val="auto"/>
          <w:sz w:val="32"/>
          <w:lang w:eastAsia="zh-CN"/>
        </w:rPr>
        <w:t>第三节</w:t>
      </w:r>
      <w:r>
        <w:rPr>
          <w:rFonts w:hint="eastAsia" w:ascii="方正黑体_GBK" w:hAnsi="方正黑体_GBK" w:eastAsia="方正黑体_GBK" w:cs="方正黑体_GBK"/>
          <w:color w:val="auto"/>
          <w:sz w:val="32"/>
          <w:lang w:val="en-US" w:eastAsia="zh-CN"/>
        </w:rPr>
        <w:t xml:space="preserve"> </w:t>
      </w:r>
      <w:r>
        <w:rPr>
          <w:rFonts w:hint="eastAsia" w:ascii="方正黑体_GBK" w:hAnsi="方正黑体_GBK" w:eastAsia="方正黑体_GBK" w:cs="方正黑体_GBK"/>
          <w:color w:val="auto"/>
          <w:sz w:val="32"/>
        </w:rPr>
        <w:fldChar w:fldCharType="begin"/>
      </w:r>
      <w:r>
        <w:rPr>
          <w:rFonts w:hint="eastAsia" w:ascii="方正黑体_GBK" w:hAnsi="方正黑体_GBK" w:eastAsia="方正黑体_GBK" w:cs="方正黑体_GBK"/>
          <w:color w:val="auto"/>
          <w:sz w:val="32"/>
        </w:rPr>
        <w:instrText xml:space="preserve"> HYPERLINK \l "_Toc3449" </w:instrText>
      </w:r>
      <w:r>
        <w:rPr>
          <w:rFonts w:hint="eastAsia" w:ascii="方正黑体_GBK" w:hAnsi="方正黑体_GBK" w:eastAsia="方正黑体_GBK" w:cs="方正黑体_GBK"/>
          <w:color w:val="auto"/>
          <w:sz w:val="32"/>
        </w:rPr>
        <w:fldChar w:fldCharType="separate"/>
      </w:r>
      <w:r>
        <w:rPr>
          <w:rFonts w:hint="eastAsia" w:ascii="方正黑体_GBK" w:hAnsi="方正黑体_GBK" w:eastAsia="方正黑体_GBK" w:cs="方正黑体_GBK"/>
          <w:color w:val="auto"/>
          <w:sz w:val="32"/>
        </w:rPr>
        <w:t>严格食品安全源头治理</w:t>
      </w:r>
      <w:bookmarkEnd w:id="102"/>
      <w:bookmarkEnd w:id="103"/>
      <w:r>
        <w:rPr>
          <w:rFonts w:hint="eastAsia" w:ascii="方正黑体_GBK" w:hAnsi="方正黑体_GBK" w:eastAsia="方正黑体_GBK" w:cs="方正黑体_GBK"/>
          <w:color w:val="auto"/>
          <w:sz w:val="32"/>
        </w:rPr>
        <w:fldChar w:fldCharType="end"/>
      </w:r>
      <w:bookmarkEnd w:id="104"/>
      <w:bookmarkEnd w:id="105"/>
      <w:bookmarkEnd w:id="106"/>
      <w:bookmarkEnd w:id="107"/>
      <w:bookmarkEnd w:id="108"/>
      <w:bookmarkEnd w:id="109"/>
      <w:bookmarkEnd w:id="110"/>
      <w:bookmarkEnd w:id="111"/>
      <w:bookmarkEnd w:id="112"/>
      <w:bookmarkEnd w:id="113"/>
    </w:p>
    <w:p w14:paraId="68A6154B">
      <w:pPr>
        <w:pStyle w:val="4"/>
        <w:keepNext/>
        <w:keepLines/>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2"/>
        <w:rPr>
          <w:rFonts w:hint="eastAsia" w:ascii="方正黑体_GBK" w:hAnsi="方正黑体_GBK" w:eastAsia="方正黑体_GBK" w:cs="方正黑体_GBK"/>
          <w:b w:val="0"/>
          <w:bCs w:val="0"/>
          <w:color w:val="auto"/>
          <w:lang w:eastAsia="zh-CN"/>
        </w:rPr>
      </w:pPr>
      <w:bookmarkStart w:id="114" w:name="_Toc66134834"/>
      <w:bookmarkStart w:id="115" w:name="_Toc31110"/>
      <w:bookmarkStart w:id="116" w:name="_Toc1760"/>
      <w:bookmarkStart w:id="117" w:name="_Toc21833"/>
      <w:bookmarkStart w:id="118" w:name="_Toc66917128"/>
      <w:bookmarkStart w:id="119" w:name="_Toc12817"/>
      <w:bookmarkStart w:id="120" w:name="_Toc16995"/>
      <w:bookmarkStart w:id="121" w:name="_Toc27905"/>
      <w:bookmarkStart w:id="122" w:name="_Toc1426"/>
      <w:bookmarkStart w:id="123" w:name="_Toc22573"/>
      <w:bookmarkStart w:id="124" w:name="_Toc25875"/>
      <w:bookmarkStart w:id="125" w:name="_Toc2567"/>
    </w:p>
    <w:p w14:paraId="63FDA091">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lang w:eastAsia="zh-CN"/>
        </w:rPr>
        <w:t>一、</w:t>
      </w:r>
      <w:r>
        <w:rPr>
          <w:rFonts w:hint="eastAsia" w:ascii="方正黑体_GBK" w:hAnsi="方正黑体_GBK" w:eastAsia="方正黑体_GBK" w:cs="方正黑体_GBK"/>
          <w:b w:val="0"/>
          <w:bCs w:val="0"/>
          <w:color w:val="auto"/>
        </w:rPr>
        <w:t>加强产地环境污染治理</w:t>
      </w:r>
      <w:bookmarkEnd w:id="114"/>
      <w:bookmarkEnd w:id="115"/>
      <w:bookmarkEnd w:id="116"/>
      <w:bookmarkEnd w:id="117"/>
      <w:bookmarkEnd w:id="118"/>
      <w:bookmarkEnd w:id="119"/>
      <w:bookmarkEnd w:id="120"/>
      <w:bookmarkEnd w:id="121"/>
      <w:bookmarkEnd w:id="122"/>
      <w:bookmarkEnd w:id="123"/>
      <w:bookmarkEnd w:id="124"/>
      <w:bookmarkEnd w:id="125"/>
    </w:p>
    <w:p w14:paraId="07D9E331">
      <w:pPr>
        <w:pStyle w:val="4"/>
        <w:pageBreakBefore w:val="0"/>
        <w:widowControl w:val="0"/>
        <w:kinsoku/>
        <w:wordWrap/>
        <w:overflowPunct/>
        <w:topLinePunct w:val="0"/>
        <w:bidi w:val="0"/>
        <w:adjustRightInd/>
        <w:snapToGrid/>
        <w:spacing w:line="560" w:lineRule="exact"/>
        <w:ind w:left="0" w:leftChars="0" w:right="0" w:rightChars="0" w:firstLine="640"/>
        <w:textAlignment w:val="auto"/>
        <w:rPr>
          <w:rFonts w:hint="eastAsia" w:eastAsia="方正仿宋_GBK" w:cs="Times New Roman"/>
          <w:b w:val="0"/>
          <w:bCs w:val="0"/>
          <w:color w:val="auto"/>
        </w:rPr>
      </w:pPr>
      <w:bookmarkStart w:id="126" w:name="_Toc1034"/>
      <w:bookmarkStart w:id="127" w:name="_Toc31023"/>
      <w:bookmarkStart w:id="128" w:name="_Toc15815"/>
      <w:bookmarkStart w:id="129" w:name="_Toc13948"/>
      <w:bookmarkStart w:id="130" w:name="_Toc18615"/>
      <w:bookmarkStart w:id="131" w:name="_Toc66917129"/>
      <w:bookmarkStart w:id="132" w:name="_Toc19390"/>
      <w:bookmarkStart w:id="133" w:name="_Toc66134835"/>
      <w:bookmarkStart w:id="134" w:name="_Toc11379"/>
      <w:bookmarkStart w:id="135" w:name="_Toc32312"/>
      <w:bookmarkStart w:id="136" w:name="_Toc12138"/>
      <w:bookmarkStart w:id="137" w:name="_Toc17081"/>
      <w:r>
        <w:rPr>
          <w:rFonts w:eastAsia="方正仿宋_GBK" w:cs="Times New Roman"/>
          <w:b w:val="0"/>
          <w:bCs w:val="0"/>
          <w:color w:val="auto"/>
        </w:rPr>
        <w:t>严管产地环境安全，</w:t>
      </w:r>
      <w:r>
        <w:rPr>
          <w:rFonts w:hint="eastAsia" w:eastAsia="方正仿宋_GBK" w:cs="Times New Roman"/>
          <w:b w:val="0"/>
          <w:bCs w:val="0"/>
          <w:color w:val="auto"/>
        </w:rPr>
        <w:t>强化土壤污染源头防控，加强农用地、污染地块土壤环境管理，稳步推进土壤污染治理与修复试点工作。强化土壤污染重点监管单位环境监管</w:t>
      </w:r>
      <w:r>
        <w:rPr>
          <w:rFonts w:hint="eastAsia" w:eastAsia="方正仿宋_GBK" w:cs="Times New Roman"/>
          <w:b w:val="0"/>
          <w:bCs w:val="0"/>
          <w:color w:val="auto"/>
          <w:lang w:eastAsia="zh-CN"/>
        </w:rPr>
        <w:t>，</w:t>
      </w:r>
      <w:r>
        <w:rPr>
          <w:rFonts w:hint="eastAsia" w:eastAsia="方正仿宋_GBK" w:cs="Times New Roman"/>
          <w:b w:val="0"/>
          <w:bCs w:val="0"/>
          <w:color w:val="auto"/>
        </w:rPr>
        <w:t>持续推进耕地周边涉镉等重金属重点行业企业污染源排查整治</w:t>
      </w:r>
      <w:r>
        <w:rPr>
          <w:rFonts w:hint="eastAsia" w:eastAsia="方正仿宋_GBK" w:cs="Times New Roman"/>
          <w:b w:val="0"/>
          <w:bCs w:val="0"/>
          <w:color w:val="auto"/>
          <w:lang w:eastAsia="zh-CN"/>
        </w:rPr>
        <w:t>，</w:t>
      </w:r>
      <w:r>
        <w:rPr>
          <w:rFonts w:hint="eastAsia" w:eastAsia="方正仿宋_GBK" w:cs="Times New Roman"/>
          <w:b w:val="0"/>
          <w:bCs w:val="0"/>
          <w:color w:val="auto"/>
        </w:rPr>
        <w:t>加强土壤污染源头防控。强化大气污染防治</w:t>
      </w:r>
      <w:r>
        <w:rPr>
          <w:rFonts w:hint="eastAsia" w:eastAsia="方正仿宋_GBK" w:cs="Times New Roman"/>
          <w:b w:val="0"/>
          <w:bCs w:val="0"/>
          <w:color w:val="auto"/>
          <w:lang w:eastAsia="zh-CN"/>
        </w:rPr>
        <w:t>，</w:t>
      </w:r>
      <w:r>
        <w:rPr>
          <w:rFonts w:hint="eastAsia" w:eastAsia="方正仿宋_GBK" w:cs="Times New Roman"/>
          <w:b w:val="0"/>
          <w:bCs w:val="0"/>
          <w:color w:val="auto"/>
        </w:rPr>
        <w:t>着力推进重点行业</w:t>
      </w:r>
      <w:r>
        <w:rPr>
          <w:rFonts w:hint="eastAsia" w:eastAsia="方正仿宋_GBK" w:cs="Times New Roman"/>
          <w:b w:val="0"/>
          <w:bCs w:val="0"/>
          <w:color w:val="auto"/>
          <w:lang w:eastAsia="zh-CN"/>
        </w:rPr>
        <w:t>（</w:t>
      </w:r>
      <w:r>
        <w:rPr>
          <w:rFonts w:hint="eastAsia" w:eastAsia="方正仿宋_GBK" w:cs="Times New Roman"/>
          <w:b w:val="0"/>
          <w:bCs w:val="0"/>
          <w:color w:val="auto"/>
        </w:rPr>
        <w:t>领域</w:t>
      </w:r>
      <w:r>
        <w:rPr>
          <w:rFonts w:hint="eastAsia" w:eastAsia="方正仿宋_GBK" w:cs="Times New Roman"/>
          <w:b w:val="0"/>
          <w:bCs w:val="0"/>
          <w:color w:val="auto"/>
          <w:lang w:eastAsia="zh-CN"/>
        </w:rPr>
        <w:t>）</w:t>
      </w:r>
      <w:r>
        <w:rPr>
          <w:rFonts w:hint="eastAsia" w:eastAsia="方正仿宋_GBK" w:cs="Times New Roman"/>
          <w:b w:val="0"/>
          <w:bCs w:val="0"/>
          <w:color w:val="auto"/>
        </w:rPr>
        <w:t>挥发性有机物综合治理。强化流域水污染防治，以国、省控断面为重点，全面开展瑞丽江、大盈江伊洛瓦底江水系重点流域水污染防治工作，持续巩固全州地表水环境质量。</w:t>
      </w:r>
    </w:p>
    <w:p w14:paraId="7219E3E9">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lang w:eastAsia="zh-CN"/>
        </w:rPr>
        <w:t>二、</w:t>
      </w:r>
      <w:r>
        <w:rPr>
          <w:rFonts w:hint="eastAsia" w:ascii="方正黑体_GBK" w:hAnsi="方正黑体_GBK" w:eastAsia="方正黑体_GBK" w:cs="方正黑体_GBK"/>
          <w:b w:val="0"/>
          <w:bCs w:val="0"/>
          <w:color w:val="auto"/>
        </w:rPr>
        <w:t>加强农业投入品监管</w:t>
      </w:r>
      <w:bookmarkEnd w:id="126"/>
      <w:bookmarkEnd w:id="127"/>
      <w:bookmarkEnd w:id="128"/>
      <w:bookmarkEnd w:id="129"/>
      <w:bookmarkEnd w:id="130"/>
      <w:bookmarkEnd w:id="131"/>
      <w:bookmarkEnd w:id="132"/>
      <w:bookmarkEnd w:id="133"/>
      <w:bookmarkEnd w:id="134"/>
      <w:bookmarkEnd w:id="135"/>
      <w:bookmarkEnd w:id="136"/>
      <w:bookmarkEnd w:id="137"/>
    </w:p>
    <w:p w14:paraId="186E55A0">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Times New Roman" w:hAnsi="Times New Roman" w:eastAsia="方正仿宋_GBK" w:cs="Times New Roman"/>
          <w:b w:val="0"/>
          <w:bCs w:val="0"/>
          <w:color w:val="auto"/>
          <w:sz w:val="32"/>
          <w:szCs w:val="32"/>
          <w:lang w:val="zh-CN" w:eastAsia="zh-CN" w:bidi="zh-CN"/>
        </w:rPr>
        <w:t>加强农药产品质量监管，严格落实兽药生产经营质量管理规范，坚决打击违规添加隐性农药成分、制售假劣农药和无证生产经营兽药等违法违规行为。落实限制使用农药定点经营、实名购买、专柜销售和溯源管理制度。对饲料生产经营企业开展跟踪检查。加强农兽药使用指导，督促种养殖者落实用药记录制度、农药安全间隔期和兽药休药期有关规定</w:t>
      </w:r>
      <w:r>
        <w:rPr>
          <w:rFonts w:hint="eastAsia" w:ascii="Times New Roman" w:hAnsi="Times New Roman" w:eastAsia="方正仿宋_GBK" w:cs="Times New Roman"/>
          <w:b w:val="0"/>
          <w:bCs w:val="0"/>
          <w:color w:val="auto"/>
          <w:sz w:val="32"/>
          <w:szCs w:val="32"/>
          <w:lang w:val="en-US" w:eastAsia="zh-CN" w:bidi="zh-CN"/>
        </w:rPr>
        <w:t>。</w:t>
      </w:r>
    </w:p>
    <w:p w14:paraId="1C7CA771">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p>
    <w:tbl>
      <w:tblPr>
        <w:tblStyle w:val="15"/>
        <w:tblpPr w:leftFromText="181" w:rightFromText="181" w:vertAnchor="text"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265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22" w:type="dxa"/>
            <w:vAlign w:val="top"/>
          </w:tcPr>
          <w:p w14:paraId="3AB8586A">
            <w:pPr>
              <w:pStyle w:val="1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方正仿宋_GBK" w:cs="方正仿宋_GBK"/>
                <w:b/>
                <w:color w:val="auto"/>
                <w:sz w:val="28"/>
                <w:szCs w:val="28"/>
                <w:highlight w:val="yellow"/>
              </w:rPr>
            </w:pPr>
            <w:r>
              <w:rPr>
                <w:rFonts w:hint="eastAsia" w:ascii="宋体" w:hAnsi="宋体" w:eastAsia="方正黑体_GBK" w:cs="方正黑体_GBK"/>
                <w:bCs/>
                <w:color w:val="auto"/>
                <w:sz w:val="28"/>
                <w:szCs w:val="28"/>
              </w:rPr>
              <w:t>重点行动专栏1：实施农药兽药使用减量和产地环境净化行动</w:t>
            </w:r>
          </w:p>
        </w:tc>
      </w:tr>
      <w:tr w14:paraId="2A38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7933779B">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rPr>
                <w:rFonts w:hint="default" w:ascii="Times New Roman" w:hAnsi="Times New Roman" w:eastAsia="方正仿宋_GBK" w:cs="Times New Roman"/>
                <w:color w:val="auto"/>
                <w:lang w:val="en-US" w:bidi="ar-SA"/>
              </w:rPr>
            </w:pPr>
            <w:r>
              <w:rPr>
                <w:rFonts w:hint="default" w:ascii="Times New Roman" w:hAnsi="Times New Roman" w:eastAsia="方正楷体_GBK" w:cs="Times New Roman"/>
                <w:color w:val="auto"/>
                <w:lang w:val="en-US" w:bidi="ar-SA"/>
              </w:rPr>
              <w:t>1.深入开展农药使用减量化行动。</w:t>
            </w:r>
            <w:r>
              <w:rPr>
                <w:rFonts w:hint="default" w:ascii="Times New Roman" w:hAnsi="Times New Roman" w:eastAsia="方正仿宋_GBK" w:cs="Times New Roman"/>
                <w:color w:val="auto"/>
                <w:lang w:val="en-US" w:bidi="ar-SA"/>
              </w:rPr>
              <w:t>通过实施病虫害绿色防控替代化学防治行动，大力示范推广应用理化诱控、生态调控、生物防治等绿色防控技术，推进农作物主要病虫害专业化统防统治、减少农药使用量。</w:t>
            </w:r>
          </w:p>
          <w:p w14:paraId="4867C3D1">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rPr>
                <w:rFonts w:hint="default" w:ascii="Times New Roman" w:hAnsi="Times New Roman" w:eastAsia="方正仿宋_GBK" w:cs="Times New Roman"/>
                <w:color w:val="auto"/>
                <w:lang w:val="en-US" w:bidi="ar-SA"/>
              </w:rPr>
            </w:pPr>
            <w:r>
              <w:rPr>
                <w:rFonts w:hint="default" w:ascii="Times New Roman" w:hAnsi="Times New Roman" w:eastAsia="方正楷体_GBK" w:cs="Times New Roman"/>
                <w:color w:val="auto"/>
                <w:lang w:val="en-US" w:bidi="ar-SA"/>
              </w:rPr>
              <w:t>2.深入实施兽用抗菌药治理行动。</w:t>
            </w:r>
            <w:r>
              <w:rPr>
                <w:rFonts w:hint="default" w:ascii="Times New Roman" w:hAnsi="Times New Roman" w:eastAsia="方正仿宋_GBK" w:cs="Times New Roman"/>
                <w:color w:val="auto"/>
                <w:lang w:val="en-US" w:bidi="ar-SA"/>
              </w:rPr>
              <w:t>规范兽用抗菌药生产经营使用，推进兽用抗菌药减量化，防止兽药残留超标。</w:t>
            </w:r>
          </w:p>
          <w:p w14:paraId="5093A6F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rPr>
                <w:rFonts w:hint="default" w:ascii="Times New Roman" w:hAnsi="Times New Roman" w:eastAsia="方正仿宋_GBK" w:cs="Times New Roman"/>
                <w:color w:val="auto"/>
                <w:lang w:val="en-US" w:bidi="ar-SA"/>
              </w:rPr>
            </w:pPr>
            <w:r>
              <w:rPr>
                <w:rFonts w:hint="default" w:ascii="Times New Roman" w:hAnsi="Times New Roman" w:eastAsia="方正楷体_GBK" w:cs="Times New Roman"/>
                <w:color w:val="auto"/>
                <w:lang w:val="en-US" w:bidi="ar-SA"/>
              </w:rPr>
              <w:t>3.深入实施水产养殖用药减量行动。</w:t>
            </w:r>
            <w:r>
              <w:rPr>
                <w:rFonts w:hint="default" w:ascii="Times New Roman" w:hAnsi="Times New Roman" w:eastAsia="方正仿宋_GBK" w:cs="Times New Roman"/>
                <w:color w:val="auto"/>
                <w:lang w:val="en-US" w:bidi="ar-SA"/>
              </w:rPr>
              <w:t>依托国家级</w:t>
            </w:r>
            <w:r>
              <w:rPr>
                <w:rFonts w:hint="default" w:ascii="Times New Roman" w:hAnsi="Times New Roman" w:eastAsia="方正仿宋_GBK" w:cs="Times New Roman"/>
                <w:color w:val="auto"/>
                <w:lang w:val="en-US" w:eastAsia="zh-CN" w:bidi="ar-SA"/>
              </w:rPr>
              <w:t>、省级</w:t>
            </w:r>
            <w:r>
              <w:rPr>
                <w:rFonts w:hint="default" w:ascii="Times New Roman" w:hAnsi="Times New Roman" w:eastAsia="方正仿宋_GBK" w:cs="Times New Roman"/>
                <w:color w:val="auto"/>
                <w:lang w:val="en-US" w:bidi="ar-SA"/>
              </w:rPr>
              <w:t>水产养殖示范场，建立水产养殖用药减量模式推广点，示范推广先进适用的用药减量化技术模式，提高水产养殖企业依法、科学用药水平，稳步提升水产品质量安全水平。</w:t>
            </w:r>
          </w:p>
          <w:p w14:paraId="7CBE215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rPr>
                <w:rFonts w:hint="default" w:ascii="Times New Roman" w:hAnsi="Times New Roman" w:eastAsia="方正仿宋_GBK" w:cs="Times New Roman"/>
                <w:color w:val="auto"/>
                <w:lang w:val="en-US" w:bidi="ar-SA"/>
              </w:rPr>
            </w:pPr>
            <w:r>
              <w:rPr>
                <w:rFonts w:hint="default" w:ascii="Times New Roman" w:hAnsi="Times New Roman" w:eastAsia="方正楷体_GBK" w:cs="Times New Roman"/>
                <w:color w:val="auto"/>
                <w:lang w:val="en-US" w:bidi="ar-SA"/>
              </w:rPr>
              <w:t>4.深入开展化肥减量化行动。</w:t>
            </w:r>
            <w:r>
              <w:rPr>
                <w:rFonts w:hint="default" w:ascii="Times New Roman" w:hAnsi="Times New Roman" w:eastAsia="方正仿宋_GBK" w:cs="Times New Roman"/>
                <w:color w:val="auto"/>
                <w:lang w:val="en-US" w:bidi="ar-SA"/>
              </w:rPr>
              <w:t>加快转变施肥方式，深入推进科学施肥，增加有机肥资源化利用，减少不合理化肥投入，加强宣传培训和肥料使用管理，促进化肥减量增效。</w:t>
            </w:r>
          </w:p>
          <w:p w14:paraId="5D324FD9">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outlineLvl w:val="9"/>
              <w:rPr>
                <w:rFonts w:hint="default" w:ascii="Times New Roman" w:hAnsi="Times New Roman" w:eastAsia="方正仿宋_GBK" w:cs="Times New Roman"/>
                <w:color w:val="auto"/>
                <w:lang w:val="en-US" w:bidi="ar-SA"/>
              </w:rPr>
            </w:pPr>
            <w:r>
              <w:rPr>
                <w:rFonts w:hint="default" w:ascii="Times New Roman" w:hAnsi="Times New Roman" w:eastAsia="方正楷体_GBK" w:cs="Times New Roman"/>
                <w:color w:val="auto"/>
                <w:lang w:val="en-US" w:bidi="ar-SA"/>
              </w:rPr>
              <w:t>5.严管产地环境安全。</w:t>
            </w:r>
            <w:r>
              <w:rPr>
                <w:rFonts w:hint="default" w:ascii="Times New Roman" w:hAnsi="Times New Roman" w:eastAsia="方正仿宋_GBK" w:cs="Times New Roman"/>
                <w:color w:val="auto"/>
                <w:lang w:val="en-US" w:bidi="ar-SA"/>
              </w:rPr>
              <w:t>强化土壤污染风险管控和修复，稳步推进土壤污染治理与修复试点工作，持续推进耕地周边涉镉等重金属重点行业企业污染源排查整治,加强污染源头防控。</w:t>
            </w:r>
          </w:p>
          <w:p w14:paraId="7F1D9A22">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left"/>
              <w:textAlignment w:val="auto"/>
              <w:rPr>
                <w:rFonts w:hint="eastAsia" w:ascii="宋体" w:hAnsi="宋体" w:eastAsia="方正仿宋_GBK" w:cs="方正仿宋_GBK"/>
                <w:color w:val="auto"/>
                <w:lang w:val="en-US"/>
              </w:rPr>
            </w:pPr>
            <w:r>
              <w:rPr>
                <w:rFonts w:hint="default" w:ascii="Times New Roman" w:hAnsi="Times New Roman" w:eastAsia="方正仿宋_GBK" w:cs="Times New Roman"/>
                <w:color w:val="auto"/>
                <w:lang w:val="en-US" w:bidi="ar-SA"/>
              </w:rPr>
              <w:t>到2025年，绿色优质农产品比重达60%以上，主要农作物病虫害绿色防控覆盖率达到40%以上，专业化统防统治覆盖率达到50%以上。</w:t>
            </w:r>
          </w:p>
        </w:tc>
      </w:tr>
    </w:tbl>
    <w:p w14:paraId="4EFEF691">
      <w:pPr>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黑体_GBK" w:hAnsi="方正黑体_GBK" w:eastAsia="方正黑体_GBK" w:cs="方正黑体_GBK"/>
          <w:color w:val="auto"/>
          <w:sz w:val="32"/>
          <w:szCs w:val="32"/>
          <w:lang w:eastAsia="zh-CN"/>
        </w:rPr>
      </w:pPr>
      <w:bookmarkStart w:id="138" w:name="_Toc66917131"/>
      <w:bookmarkStart w:id="139" w:name="_Toc66134837"/>
      <w:bookmarkStart w:id="140" w:name="_Toc11889"/>
      <w:bookmarkStart w:id="141" w:name="_Toc23192"/>
      <w:bookmarkStart w:id="142" w:name="_Toc12939"/>
      <w:bookmarkStart w:id="143" w:name="_Toc7861"/>
      <w:bookmarkStart w:id="144" w:name="_Toc20013"/>
      <w:bookmarkStart w:id="145" w:name="_Toc552"/>
      <w:bookmarkStart w:id="146" w:name="_Toc18222"/>
      <w:bookmarkStart w:id="147" w:name="_Toc23321"/>
      <w:bookmarkStart w:id="148" w:name="_Toc12621"/>
      <w:bookmarkStart w:id="149" w:name="_Toc17100"/>
    </w:p>
    <w:p w14:paraId="29867BF9">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color w:val="auto"/>
          <w:sz w:val="32"/>
          <w:szCs w:val="32"/>
        </w:rPr>
        <w:fldChar w:fldCharType="begin"/>
      </w:r>
      <w:r>
        <w:rPr>
          <w:rFonts w:hint="eastAsia" w:ascii="方正黑体_GBK" w:hAnsi="方正黑体_GBK" w:eastAsia="方正黑体_GBK" w:cs="方正黑体_GBK"/>
          <w:color w:val="auto"/>
          <w:sz w:val="32"/>
          <w:szCs w:val="32"/>
        </w:rPr>
        <w:instrText xml:space="preserve"> HYPERLINK \l "_Toc3449" </w:instrText>
      </w:r>
      <w:r>
        <w:rPr>
          <w:rFonts w:hint="eastAsia" w:ascii="方正黑体_GBK" w:hAnsi="方正黑体_GBK" w:eastAsia="方正黑体_GBK" w:cs="方正黑体_GBK"/>
          <w:color w:val="auto"/>
          <w:sz w:val="32"/>
          <w:szCs w:val="32"/>
        </w:rPr>
        <w:fldChar w:fldCharType="separate"/>
      </w:r>
      <w:r>
        <w:rPr>
          <w:rFonts w:hint="eastAsia" w:ascii="方正黑体_GBK" w:hAnsi="方正黑体_GBK" w:eastAsia="方正黑体_GBK" w:cs="方正黑体_GBK"/>
          <w:color w:val="auto"/>
          <w:sz w:val="32"/>
          <w:szCs w:val="32"/>
        </w:rPr>
        <w:t>严格食品安全过程监管</w:t>
      </w:r>
      <w:bookmarkEnd w:id="138"/>
      <w:bookmarkEnd w:id="139"/>
      <w:r>
        <w:rPr>
          <w:rFonts w:hint="eastAsia" w:ascii="方正黑体_GBK" w:hAnsi="方正黑体_GBK" w:eastAsia="方正黑体_GBK" w:cs="方正黑体_GBK"/>
          <w:color w:val="auto"/>
          <w:sz w:val="32"/>
          <w:szCs w:val="32"/>
        </w:rPr>
        <w:fldChar w:fldCharType="end"/>
      </w:r>
      <w:bookmarkEnd w:id="140"/>
      <w:bookmarkEnd w:id="141"/>
      <w:bookmarkEnd w:id="142"/>
      <w:bookmarkEnd w:id="143"/>
      <w:bookmarkEnd w:id="144"/>
      <w:bookmarkEnd w:id="145"/>
      <w:bookmarkEnd w:id="146"/>
      <w:bookmarkEnd w:id="147"/>
      <w:bookmarkEnd w:id="148"/>
      <w:bookmarkEnd w:id="149"/>
      <w:bookmarkStart w:id="150" w:name="_Toc10145"/>
    </w:p>
    <w:p w14:paraId="37B1DA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黑体_GBK" w:hAnsi="方正黑体_GBK" w:eastAsia="方正黑体_GBK" w:cs="方正黑体_GBK"/>
          <w:color w:val="auto"/>
          <w:sz w:val="32"/>
          <w:szCs w:val="32"/>
        </w:rPr>
      </w:pPr>
    </w:p>
    <w:p w14:paraId="074448DB">
      <w:pPr>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一、</w:t>
      </w:r>
      <w:r>
        <w:rPr>
          <w:rFonts w:hint="eastAsia" w:ascii="方正黑体_GBK" w:hAnsi="方正黑体_GBK" w:eastAsia="方正黑体_GBK" w:cs="方正黑体_GBK"/>
          <w:b w:val="0"/>
          <w:bCs w:val="0"/>
          <w:color w:val="auto"/>
          <w:sz w:val="32"/>
          <w:szCs w:val="32"/>
        </w:rPr>
        <w:t>严控生产加工关</w:t>
      </w:r>
    </w:p>
    <w:p w14:paraId="090F8D34">
      <w:pPr>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color w:val="auto"/>
          <w:sz w:val="32"/>
          <w:szCs w:val="32"/>
          <w:lang w:eastAsia="zh-CN"/>
        </w:rPr>
        <w:t>严格管控</w:t>
      </w:r>
      <w:r>
        <w:rPr>
          <w:rFonts w:hint="eastAsia" w:ascii="宋体" w:hAnsi="宋体" w:eastAsia="方正仿宋_GBK" w:cs="方正仿宋_GBK"/>
          <w:b w:val="0"/>
          <w:bCs w:val="0"/>
          <w:color w:val="auto"/>
          <w:sz w:val="32"/>
          <w:szCs w:val="32"/>
        </w:rPr>
        <w:t>食品加工质量安全，对食品生产企业实施风险分类和分级管理，在日常监督检查全覆盖的基础上，对一般风险企业实施按比例的“双随机”抽查，对高风险企业重点检查，对问题线索企业飞行检查。加强保健食品等特殊食品监管。将体系检查从保健食品逐步扩大到乳制品、白酒、肉制品、食用植物油、饮料等高风险大宗消费食品，着力解决生产过程不合规、非法添加、超范围超限量使用食品添加剂等问题。加强小作坊综合治理，规范小作坊生产经营行为，建立小作坊规范化、制度化和常态化长效监管机制。</w:t>
      </w:r>
    </w:p>
    <w:bookmarkEnd w:id="150"/>
    <w:p w14:paraId="7D60A80A">
      <w:pPr>
        <w:pStyle w:val="6"/>
        <w:pageBreakBefore w:val="0"/>
        <w:widowControl w:val="0"/>
        <w:numPr>
          <w:ilvl w:val="0"/>
          <w:numId w:val="0"/>
        </w:numPr>
        <w:kinsoku/>
        <w:wordWrap/>
        <w:overflowPunct/>
        <w:topLinePunct w:val="0"/>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sz w:val="32"/>
          <w:szCs w:val="32"/>
          <w:lang w:val="en-US" w:eastAsia="zh-CN"/>
        </w:rPr>
        <w:t>二、</w:t>
      </w:r>
      <w:r>
        <w:rPr>
          <w:rFonts w:hint="eastAsia" w:ascii="方正黑体_GBK" w:hAnsi="方正黑体_GBK" w:eastAsia="方正黑体_GBK" w:cs="方正黑体_GBK"/>
          <w:color w:val="auto"/>
          <w:sz w:val="32"/>
          <w:szCs w:val="32"/>
          <w:lang w:val="en-US"/>
        </w:rPr>
        <w:t>严</w:t>
      </w:r>
      <w:r>
        <w:rPr>
          <w:rFonts w:hint="eastAsia" w:ascii="方正黑体_GBK" w:hAnsi="方正黑体_GBK" w:eastAsia="方正黑体_GBK" w:cs="方正黑体_GBK"/>
          <w:color w:val="auto"/>
          <w:sz w:val="32"/>
          <w:szCs w:val="32"/>
        </w:rPr>
        <w:t>查</w:t>
      </w:r>
      <w:r>
        <w:rPr>
          <w:rFonts w:hint="eastAsia" w:ascii="方正黑体_GBK" w:hAnsi="方正黑体_GBK" w:eastAsia="方正黑体_GBK" w:cs="方正黑体_GBK"/>
          <w:color w:val="auto"/>
          <w:sz w:val="32"/>
          <w:szCs w:val="32"/>
          <w:lang w:val="en-US"/>
        </w:rPr>
        <w:t>流通销售关</w:t>
      </w:r>
    </w:p>
    <w:p w14:paraId="698803E7">
      <w:pPr>
        <w:pStyle w:val="6"/>
        <w:pageBreakBefore w:val="0"/>
        <w:widowControl w:val="0"/>
        <w:numPr>
          <w:ilvl w:val="0"/>
          <w:numId w:val="0"/>
        </w:numPr>
        <w:kinsoku/>
        <w:wordWrap/>
        <w:overflowPunct/>
        <w:topLinePunct w:val="0"/>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深入推进食品销售风险分级管理工作，全面实现销售者风险分级动态管理。严管流通销售质量安全，加大销售环节进货查验记录不规范、不按条件储存、销售过期食品等行为的检查力度，严查食品翻新销售</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严格执行畜禽肉市场准入制度。加强食品集中交易市场监管，强化食用农产品产地准出和市场准入衔接。建立覆盖生鲜食品（农产品）产地、加工基地和消费地的冷链物流设施网络，发展城市“最后一公里”低温配送。规范冷藏冷冻食品销售质量安全监督管理。全面落实食品安全自查制度。建立完善严厉打击野生动物及其制品非法交易长效机制，加强活禽交易市场监管。持续开展打击市场销售长江流域非法捕捞渔获物专项</w:t>
      </w:r>
      <w:r>
        <w:rPr>
          <w:rFonts w:hint="eastAsia" w:ascii="宋体" w:hAnsi="宋体" w:eastAsia="方正仿宋_GBK" w:cs="方正仿宋_GBK"/>
          <w:color w:val="auto"/>
          <w:sz w:val="32"/>
          <w:szCs w:val="32"/>
          <w:lang w:eastAsia="zh-CN"/>
        </w:rPr>
        <w:t>整治</w:t>
      </w:r>
      <w:r>
        <w:rPr>
          <w:rFonts w:hint="eastAsia" w:ascii="宋体" w:hAnsi="宋体" w:eastAsia="方正仿宋_GBK" w:cs="方正仿宋_GBK"/>
          <w:color w:val="auto"/>
          <w:sz w:val="32"/>
          <w:szCs w:val="32"/>
        </w:rPr>
        <w:t>。积极探索互联网销售、电子商务等新兴业态的监督管理。加强食品摊贩的日常监管，确保食品安全。</w:t>
      </w:r>
    </w:p>
    <w:p w14:paraId="486F86AE">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rPr>
      </w:pPr>
      <w:bookmarkStart w:id="151" w:name="_Toc18129"/>
      <w:bookmarkStart w:id="152" w:name="_Toc20665"/>
      <w:bookmarkStart w:id="153" w:name="_Toc31385"/>
      <w:bookmarkStart w:id="154" w:name="_Toc66134840"/>
      <w:bookmarkStart w:id="155" w:name="_Toc66917134"/>
      <w:bookmarkStart w:id="156" w:name="_Toc17310"/>
      <w:bookmarkStart w:id="157" w:name="_Toc30195"/>
      <w:bookmarkStart w:id="158" w:name="_Toc32562"/>
      <w:bookmarkStart w:id="159" w:name="_Toc18681"/>
      <w:bookmarkStart w:id="160" w:name="_Toc16952"/>
      <w:bookmarkStart w:id="161" w:name="_Toc15053"/>
      <w:bookmarkStart w:id="162" w:name="_Toc14340"/>
      <w:r>
        <w:rPr>
          <w:rFonts w:hint="eastAsia" w:ascii="方正黑体_GBK" w:hAnsi="方正黑体_GBK" w:eastAsia="方正黑体_GBK" w:cs="方正黑体_GBK"/>
          <w:b w:val="0"/>
          <w:bCs w:val="0"/>
          <w:color w:val="auto"/>
          <w:lang w:eastAsia="zh-CN"/>
        </w:rPr>
        <w:t>三、</w:t>
      </w:r>
      <w:r>
        <w:rPr>
          <w:rFonts w:hint="eastAsia" w:ascii="方正黑体_GBK" w:hAnsi="方正黑体_GBK" w:eastAsia="方正黑体_GBK" w:cs="方正黑体_GBK"/>
          <w:b w:val="0"/>
          <w:bCs w:val="0"/>
          <w:color w:val="auto"/>
          <w:sz w:val="32"/>
          <w:szCs w:val="32"/>
        </w:rPr>
        <w:t>严</w:t>
      </w:r>
      <w:r>
        <w:rPr>
          <w:rFonts w:hint="eastAsia" w:ascii="方正黑体_GBK" w:hAnsi="方正黑体_GBK" w:eastAsia="方正黑体_GBK" w:cs="方正黑体_GBK"/>
          <w:b w:val="0"/>
          <w:bCs w:val="0"/>
          <w:color w:val="auto"/>
          <w:sz w:val="32"/>
          <w:szCs w:val="32"/>
          <w:lang w:val="en-US" w:bidi="ar-SA"/>
        </w:rPr>
        <w:t>管</w:t>
      </w:r>
      <w:r>
        <w:rPr>
          <w:rFonts w:hint="eastAsia" w:ascii="方正黑体_GBK" w:hAnsi="方正黑体_GBK" w:eastAsia="方正黑体_GBK" w:cs="方正黑体_GBK"/>
          <w:b w:val="0"/>
          <w:bCs w:val="0"/>
          <w:color w:val="auto"/>
          <w:sz w:val="32"/>
          <w:szCs w:val="32"/>
        </w:rPr>
        <w:t>餐饮服务关</w:t>
      </w:r>
      <w:bookmarkEnd w:id="151"/>
      <w:bookmarkEnd w:id="152"/>
      <w:bookmarkEnd w:id="153"/>
      <w:bookmarkEnd w:id="154"/>
      <w:bookmarkEnd w:id="155"/>
      <w:bookmarkEnd w:id="156"/>
      <w:bookmarkEnd w:id="157"/>
      <w:bookmarkEnd w:id="158"/>
      <w:bookmarkEnd w:id="159"/>
      <w:bookmarkEnd w:id="160"/>
      <w:bookmarkEnd w:id="161"/>
      <w:bookmarkEnd w:id="162"/>
    </w:p>
    <w:p w14:paraId="4088239D">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全面落实餐饮服务通用卫生规范和餐饮服务食品安全操作规范，严格执行环境卫生、进货查验、加工操作、清洗消毒、人员管理等规定，大力提升餐饮质量安全水平。集体用餐单位要建立稳定的食材供应渠道和追溯记录，保证购进原料符合食品安全标准。严格落实网络订餐平台责任，保证线上线下餐饮同标同质，保证一次性餐具制品质量安全，所有提供网上订餐服务的餐饮单位必须有实体店经营资格，外卖配送食品必须使用“食安封签”。全力推进餐饮服务食品安全风险等级评定和动态调级工作，实施分级分类监管，充分利用“互联网+明厨亮灶”和</w:t>
      </w:r>
      <w:r>
        <w:rPr>
          <w:rFonts w:hint="eastAsia" w:ascii="宋体" w:hAnsi="宋体" w:eastAsia="方正仿宋_GBK" w:cs="宋体"/>
          <w:color w:val="auto"/>
          <w:sz w:val="32"/>
          <w:szCs w:val="32"/>
          <w:lang w:val="en-US" w:bidi="ar-SA"/>
        </w:rPr>
        <w:t>“餐饮安心码”</w:t>
      </w:r>
      <w:r>
        <w:rPr>
          <w:rFonts w:hint="eastAsia" w:ascii="宋体" w:hAnsi="宋体" w:eastAsia="方正仿宋_GBK" w:cs="方正仿宋_GBK"/>
          <w:color w:val="auto"/>
          <w:sz w:val="32"/>
          <w:szCs w:val="32"/>
          <w:lang w:val="en-US" w:bidi="ar-SA"/>
        </w:rPr>
        <w:t>云平台等信息化工具，实现餐饮服务食品安全智慧化监管。规范小餐饮经营行为，促进小餐饮健康发展，方便群众生活，保证食品安全。</w:t>
      </w:r>
    </w:p>
    <w:p w14:paraId="7DD0B818">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rPr>
      </w:pPr>
      <w:bookmarkStart w:id="163" w:name="_Toc66917135"/>
      <w:bookmarkStart w:id="164" w:name="_Toc66134841"/>
      <w:bookmarkStart w:id="165" w:name="_Toc10895"/>
      <w:bookmarkStart w:id="166" w:name="_Toc23791"/>
      <w:bookmarkStart w:id="167" w:name="_Toc16090"/>
      <w:bookmarkStart w:id="168" w:name="_Toc17476"/>
      <w:bookmarkStart w:id="169" w:name="_Toc30083"/>
      <w:bookmarkStart w:id="170" w:name="_Toc10705"/>
      <w:bookmarkStart w:id="171" w:name="_Toc200"/>
      <w:bookmarkStart w:id="172" w:name="_Toc3290"/>
      <w:bookmarkStart w:id="173" w:name="_Toc13262"/>
      <w:bookmarkStart w:id="174" w:name="_Toc23193"/>
      <w:r>
        <w:rPr>
          <w:rFonts w:hint="eastAsia" w:ascii="方正黑体_GBK" w:hAnsi="方正黑体_GBK" w:eastAsia="方正黑体_GBK" w:cs="方正黑体_GBK"/>
          <w:b w:val="0"/>
          <w:bCs w:val="0"/>
          <w:color w:val="auto"/>
          <w:lang w:eastAsia="zh-CN"/>
        </w:rPr>
        <w:t>四、</w:t>
      </w:r>
      <w:r>
        <w:rPr>
          <w:rFonts w:hint="eastAsia" w:ascii="方正黑体_GBK" w:hAnsi="方正黑体_GBK" w:eastAsia="方正黑体_GBK" w:cs="方正黑体_GBK"/>
          <w:b w:val="0"/>
          <w:bCs w:val="0"/>
          <w:color w:val="auto"/>
          <w:sz w:val="32"/>
          <w:szCs w:val="32"/>
          <w:lang w:val="en-US"/>
        </w:rPr>
        <w:t>严守食品进出口关</w:t>
      </w:r>
      <w:bookmarkEnd w:id="163"/>
      <w:bookmarkEnd w:id="164"/>
      <w:bookmarkEnd w:id="165"/>
      <w:bookmarkEnd w:id="166"/>
      <w:bookmarkEnd w:id="167"/>
      <w:bookmarkEnd w:id="168"/>
      <w:bookmarkEnd w:id="169"/>
      <w:bookmarkEnd w:id="170"/>
      <w:bookmarkEnd w:id="171"/>
      <w:bookmarkEnd w:id="172"/>
      <w:bookmarkEnd w:id="173"/>
      <w:bookmarkEnd w:id="174"/>
    </w:p>
    <w:p w14:paraId="729108A0">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rPr>
      </w:pPr>
      <w:r>
        <w:rPr>
          <w:rFonts w:hint="eastAsia" w:ascii="宋体" w:hAnsi="宋体" w:eastAsia="方正仿宋_GBK" w:cs="方正仿宋_GBK"/>
          <w:color w:val="auto"/>
          <w:sz w:val="32"/>
          <w:szCs w:val="32"/>
          <w:lang w:val="en-US" w:bidi="ar-SA"/>
        </w:rPr>
        <w:t>加强进出口食品安全监管</w:t>
      </w:r>
      <w:r>
        <w:rPr>
          <w:rFonts w:ascii="宋体" w:hAnsi="宋体" w:eastAsia="方正仿宋_GBK" w:cs="方正仿宋_GBK"/>
          <w:color w:val="auto"/>
          <w:sz w:val="32"/>
          <w:szCs w:val="32"/>
          <w:lang w:val="en-US" w:bidi="ar-SA"/>
        </w:rPr>
        <w:t>,完善进出口食品安全情况通报制度,建立进出口食品安全风险联合研判工作机制。</w:t>
      </w:r>
      <w:r>
        <w:rPr>
          <w:rFonts w:hint="eastAsia" w:ascii="宋体" w:hAnsi="宋体" w:eastAsia="方正仿宋_GBK" w:cs="方正仿宋_GBK"/>
          <w:color w:val="auto"/>
          <w:sz w:val="32"/>
          <w:szCs w:val="32"/>
          <w:lang w:val="en-US" w:bidi="ar-SA"/>
        </w:rPr>
        <w:t>将进口食品的境外生产经营企业、国内进口企业纳入海关信用管理体系，实施差别化监管。开展科学有效的进出口食品监督抽检和风险监测，建立完善企业信用管理、风险预警、产品追溯和快速反应机制，落实跨境电商零售食品进口监管政策。对重点地区、重点食品走私进行研判分析，严厉打击食品走私行为。加大出口食品生产企业的监督与服务，保障出口食品质量安全。</w:t>
      </w:r>
      <w:bookmarkStart w:id="175" w:name="_Toc14822"/>
      <w:r>
        <w:rPr>
          <w:rFonts w:hint="eastAsia" w:ascii="宋体" w:hAnsi="宋体" w:eastAsia="方正仿宋_GBK" w:cs="方正仿宋_GBK"/>
          <w:color w:val="auto"/>
          <w:sz w:val="32"/>
          <w:szCs w:val="32"/>
          <w:lang w:val="en-US" w:bidi="ar-SA"/>
        </w:rPr>
        <w:t>落实多双边国际合作信息通报机制、共同防控食品安全风险。</w:t>
      </w:r>
      <w:bookmarkEnd w:id="175"/>
      <w:r>
        <w:rPr>
          <w:rFonts w:hint="eastAsia" w:ascii="宋体" w:hAnsi="宋体" w:eastAsia="方正仿宋_GBK" w:cs="方正仿宋_GBK"/>
          <w:color w:val="auto"/>
          <w:sz w:val="32"/>
          <w:szCs w:val="32"/>
          <w:lang w:val="en-US" w:bidi="ar-SA"/>
        </w:rPr>
        <w:t>贯彻落实好新修订的</w:t>
      </w:r>
      <w:r>
        <w:rPr>
          <w:rFonts w:ascii="宋体" w:hAnsi="宋体" w:eastAsia="方正仿宋_GBK" w:cs="方正仿宋_GBK"/>
          <w:color w:val="auto"/>
          <w:sz w:val="32"/>
          <w:szCs w:val="32"/>
          <w:lang w:val="en-US" w:bidi="ar-SA"/>
        </w:rPr>
        <w:t>《进出口食品安全管理办法》</w:t>
      </w:r>
      <w:r>
        <w:rPr>
          <w:rFonts w:hint="eastAsia" w:ascii="宋体" w:hAnsi="宋体" w:eastAsia="方正仿宋_GBK" w:cs="方正仿宋_GBK"/>
          <w:color w:val="auto"/>
          <w:sz w:val="32"/>
          <w:szCs w:val="32"/>
          <w:lang w:val="en-US" w:bidi="ar-SA"/>
        </w:rPr>
        <w:t>。</w:t>
      </w:r>
    </w:p>
    <w:p w14:paraId="7A87A16E">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rPr>
      </w:pPr>
      <w:bookmarkStart w:id="176" w:name="_Toc3870"/>
      <w:bookmarkStart w:id="177" w:name="_Toc19944"/>
      <w:bookmarkStart w:id="178" w:name="_Toc25339"/>
      <w:bookmarkStart w:id="179" w:name="_Toc32012"/>
      <w:bookmarkStart w:id="180" w:name="_Toc23327"/>
      <w:bookmarkStart w:id="181" w:name="_Toc66917136"/>
      <w:bookmarkStart w:id="182" w:name="_Toc6270"/>
      <w:bookmarkStart w:id="183" w:name="_Toc26163"/>
      <w:bookmarkStart w:id="184" w:name="_Toc3538"/>
      <w:bookmarkStart w:id="185" w:name="_Toc66134842"/>
      <w:bookmarkStart w:id="186" w:name="_Toc31118"/>
      <w:bookmarkStart w:id="187" w:name="_Toc1613"/>
      <w:r>
        <w:rPr>
          <w:rFonts w:hint="eastAsia" w:ascii="方正黑体_GBK" w:hAnsi="方正黑体_GBK" w:eastAsia="方正黑体_GBK" w:cs="方正黑体_GBK"/>
          <w:b w:val="0"/>
          <w:bCs w:val="0"/>
          <w:color w:val="auto"/>
          <w:lang w:eastAsia="zh-CN"/>
        </w:rPr>
        <w:t>五、</w:t>
      </w:r>
      <w:r>
        <w:rPr>
          <w:rFonts w:hint="eastAsia" w:ascii="方正黑体_GBK" w:hAnsi="方正黑体_GBK" w:eastAsia="方正黑体_GBK" w:cs="方正黑体_GBK"/>
          <w:b w:val="0"/>
          <w:bCs w:val="0"/>
          <w:color w:val="auto"/>
        </w:rPr>
        <w:t>严把粮食收储关</w:t>
      </w:r>
      <w:bookmarkEnd w:id="176"/>
      <w:bookmarkEnd w:id="177"/>
      <w:bookmarkEnd w:id="178"/>
      <w:bookmarkEnd w:id="179"/>
      <w:bookmarkEnd w:id="180"/>
      <w:bookmarkEnd w:id="181"/>
      <w:bookmarkEnd w:id="182"/>
      <w:bookmarkEnd w:id="183"/>
      <w:bookmarkEnd w:id="184"/>
      <w:bookmarkEnd w:id="185"/>
      <w:bookmarkEnd w:id="186"/>
      <w:bookmarkEnd w:id="187"/>
    </w:p>
    <w:p w14:paraId="0C57DB92">
      <w:pPr>
        <w:pStyle w:val="18"/>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严</w:t>
      </w:r>
      <w:r>
        <w:rPr>
          <w:rFonts w:hint="eastAsia" w:ascii="宋体" w:hAnsi="宋体" w:eastAsia="方正仿宋_GBK" w:cs="方正仿宋_GBK"/>
          <w:color w:val="auto"/>
          <w:sz w:val="32"/>
          <w:szCs w:val="32"/>
          <w:lang w:eastAsia="zh-CN"/>
        </w:rPr>
        <w:t>把</w:t>
      </w:r>
      <w:r>
        <w:rPr>
          <w:rFonts w:hint="eastAsia" w:ascii="宋体" w:hAnsi="宋体" w:eastAsia="方正仿宋_GBK" w:cs="方正仿宋_GBK"/>
          <w:color w:val="auto"/>
          <w:sz w:val="32"/>
          <w:szCs w:val="32"/>
        </w:rPr>
        <w:t>粮食收储质量安全，落实粮食收购资格审核管理、质量检测、质量追溯等制度，强化政策性收购和库存粮食质量安全检测能力，督促粮食收储企业严格落实出入库检验制度。健全超标粮食收购处置机制，探索无害化处理和资源合理化利用方式。重视粮食烘干与存储服务工作，完善粮食产后服务体系。</w:t>
      </w:r>
    </w:p>
    <w:p w14:paraId="5933C62E">
      <w:pPr>
        <w:pStyle w:val="18"/>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rPr>
      </w:pPr>
    </w:p>
    <w:tbl>
      <w:tblPr>
        <w:tblStyle w:val="15"/>
        <w:tblpPr w:leftFromText="181" w:rightFromText="181" w:vertAnchor="text" w:horzAnchor="page"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DCC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22" w:type="dxa"/>
            <w:vAlign w:val="top"/>
          </w:tcPr>
          <w:p w14:paraId="6DBEDB0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ascii="宋体" w:hAnsi="宋体" w:eastAsia="方正仿宋_GBK" w:cs="方正仿宋_GBK"/>
                <w:b/>
                <w:color w:val="auto"/>
                <w:sz w:val="30"/>
                <w:szCs w:val="30"/>
              </w:rPr>
            </w:pPr>
            <w:r>
              <w:rPr>
                <w:rFonts w:hint="eastAsia" w:ascii="方正黑体_GBK" w:hAnsi="方正黑体_GBK" w:eastAsia="方正黑体_GBK" w:cs="方正黑体_GBK"/>
                <w:bCs/>
                <w:color w:val="auto"/>
                <w:sz w:val="28"/>
                <w:szCs w:val="28"/>
              </w:rPr>
              <w:t>重点行动专栏</w:t>
            </w:r>
            <w:r>
              <w:rPr>
                <w:rFonts w:hint="eastAsia" w:ascii="宋体" w:hAnsi="宋体" w:eastAsia="方正小标宋_GBK" w:cs="方正小标宋_GBK"/>
                <w:bCs/>
                <w:color w:val="auto"/>
                <w:sz w:val="28"/>
                <w:szCs w:val="28"/>
              </w:rPr>
              <w:t>2：</w:t>
            </w:r>
            <w:r>
              <w:rPr>
                <w:rFonts w:hint="eastAsia" w:ascii="方正黑体_GBK" w:hAnsi="方正黑体_GBK" w:eastAsia="方正黑体_GBK" w:cs="方正黑体_GBK"/>
                <w:bCs/>
                <w:color w:val="auto"/>
                <w:kern w:val="2"/>
                <w:sz w:val="28"/>
                <w:szCs w:val="28"/>
                <w:lang w:val="en-US" w:bidi="ar-SA"/>
              </w:rPr>
              <w:t>实施乳制品质量安全提升行动</w:t>
            </w:r>
          </w:p>
        </w:tc>
      </w:tr>
      <w:tr w14:paraId="71E6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7EF49A57">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lang w:bidi="ar"/>
              </w:rPr>
            </w:pPr>
            <w:r>
              <w:rPr>
                <w:rFonts w:hint="default" w:ascii="Times New Roman" w:hAnsi="Times New Roman" w:eastAsia="方正楷体_GBK" w:cs="Times New Roman"/>
                <w:color w:val="auto"/>
                <w:sz w:val="24"/>
                <w:szCs w:val="24"/>
                <w:lang w:bidi="ar"/>
              </w:rPr>
              <w:t>1</w:t>
            </w:r>
            <w:r>
              <w:rPr>
                <w:rFonts w:hint="default" w:ascii="Times New Roman" w:hAnsi="Times New Roman" w:eastAsia="方正楷体_GBK" w:cs="Times New Roman"/>
                <w:color w:val="auto"/>
                <w:sz w:val="24"/>
                <w:szCs w:val="24"/>
                <w:lang w:val="en-US" w:bidi="ar"/>
              </w:rPr>
              <w:t>.</w:t>
            </w:r>
            <w:r>
              <w:rPr>
                <w:rFonts w:hint="default" w:ascii="Times New Roman" w:hAnsi="Times New Roman" w:eastAsia="方正楷体_GBK" w:cs="Times New Roman"/>
                <w:color w:val="auto"/>
                <w:sz w:val="24"/>
                <w:szCs w:val="24"/>
                <w:lang w:bidi="ar"/>
              </w:rPr>
              <w:t>落实企业质量安全主体责任。</w:t>
            </w:r>
            <w:r>
              <w:rPr>
                <w:rFonts w:hint="default" w:ascii="Times New Roman" w:hAnsi="Times New Roman" w:eastAsia="方正仿宋_GBK" w:cs="Times New Roman"/>
                <w:color w:val="auto"/>
                <w:sz w:val="24"/>
                <w:szCs w:val="24"/>
                <w:lang w:bidi="ar"/>
              </w:rPr>
              <w:t>乳制品生产企业应设置质量安全管理机构，配备专业技术人员和食品安全管理人员，并组织培训、考核合格。加强奶源管理，加强牧场审核，实行全过程质量安全控制，实施良好生产规范（GMP）和危害分析与关键控制点（HACCP）体系等，坚决杜绝“两超一非”等违法违规行为。</w:t>
            </w:r>
          </w:p>
          <w:p w14:paraId="09242C75">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lang w:bidi="ar"/>
              </w:rPr>
            </w:pPr>
            <w:r>
              <w:rPr>
                <w:rFonts w:hint="default" w:ascii="Times New Roman" w:hAnsi="Times New Roman" w:eastAsia="方正楷体_GBK" w:cs="Times New Roman"/>
                <w:color w:val="auto"/>
                <w:sz w:val="24"/>
                <w:szCs w:val="24"/>
                <w:lang w:bidi="ar"/>
              </w:rPr>
              <w:t>2</w:t>
            </w:r>
            <w:r>
              <w:rPr>
                <w:rFonts w:hint="default" w:ascii="Times New Roman" w:hAnsi="Times New Roman" w:eastAsia="方正楷体_GBK" w:cs="Times New Roman"/>
                <w:color w:val="auto"/>
                <w:sz w:val="24"/>
                <w:szCs w:val="24"/>
                <w:lang w:val="en-US" w:bidi="ar"/>
              </w:rPr>
              <w:t>.</w:t>
            </w:r>
            <w:r>
              <w:rPr>
                <w:rFonts w:hint="default" w:ascii="Times New Roman" w:hAnsi="Times New Roman" w:eastAsia="方正楷体_GBK" w:cs="Times New Roman"/>
                <w:color w:val="auto"/>
                <w:sz w:val="24"/>
                <w:szCs w:val="24"/>
                <w:lang w:bidi="ar"/>
              </w:rPr>
              <w:t>落实质量安全监督管理责任。</w:t>
            </w:r>
            <w:r>
              <w:rPr>
                <w:rFonts w:hint="default" w:ascii="Times New Roman" w:hAnsi="Times New Roman" w:eastAsia="方正仿宋_GBK" w:cs="Times New Roman"/>
                <w:color w:val="auto"/>
                <w:sz w:val="24"/>
                <w:szCs w:val="24"/>
                <w:lang w:bidi="ar"/>
              </w:rPr>
              <w:t>严格生产许可准入许可审查，加强生产经营日常监督检查，开展飞行检查和体系检查，实现乳制品生产企业体系检查全覆盖。加大乳制品抽样检验和风险监测力度，开展风险预警，加强乳制品加工小作坊、鲜奶吧的监管。</w:t>
            </w:r>
          </w:p>
          <w:p w14:paraId="2760EF19">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lang w:bidi="ar"/>
              </w:rPr>
            </w:pPr>
            <w:r>
              <w:rPr>
                <w:rFonts w:hint="default" w:ascii="Times New Roman" w:hAnsi="Times New Roman" w:eastAsia="方正楷体_GBK" w:cs="Times New Roman"/>
                <w:color w:val="auto"/>
                <w:sz w:val="24"/>
                <w:szCs w:val="24"/>
                <w:lang w:bidi="ar"/>
              </w:rPr>
              <w:t>3</w:t>
            </w:r>
            <w:r>
              <w:rPr>
                <w:rFonts w:hint="default" w:ascii="Times New Roman" w:hAnsi="Times New Roman" w:eastAsia="方正楷体_GBK" w:cs="Times New Roman"/>
                <w:color w:val="auto"/>
                <w:sz w:val="24"/>
                <w:szCs w:val="24"/>
                <w:lang w:val="en-US" w:bidi="ar"/>
              </w:rPr>
              <w:t>.</w:t>
            </w:r>
            <w:r>
              <w:rPr>
                <w:rFonts w:hint="default" w:ascii="Times New Roman" w:hAnsi="Times New Roman" w:eastAsia="方正楷体_GBK" w:cs="Times New Roman"/>
                <w:color w:val="auto"/>
                <w:sz w:val="24"/>
                <w:szCs w:val="24"/>
                <w:lang w:bidi="ar"/>
              </w:rPr>
              <w:t>提升乳制品质量标准水平。</w:t>
            </w:r>
            <w:r>
              <w:rPr>
                <w:rFonts w:hint="default" w:ascii="Times New Roman" w:hAnsi="Times New Roman" w:eastAsia="方正仿宋_GBK" w:cs="Times New Roman"/>
                <w:color w:val="auto"/>
                <w:sz w:val="24"/>
                <w:szCs w:val="24"/>
                <w:lang w:bidi="ar"/>
              </w:rPr>
              <w:t>加强食品安全标准使用跟踪评价，推进奶源基地建设，组织检验能力比对</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bidi="ar"/>
              </w:rPr>
              <w:t>实施“明厂亮线”建设，提升品牌影响力，</w:t>
            </w:r>
            <w:r>
              <w:rPr>
                <w:rFonts w:hint="default" w:ascii="Times New Roman" w:hAnsi="Times New Roman" w:eastAsia="方正仿宋_GBK" w:cs="Times New Roman"/>
                <w:color w:val="auto"/>
                <w:sz w:val="24"/>
                <w:szCs w:val="24"/>
              </w:rPr>
              <w:t>促进</w:t>
            </w:r>
            <w:r>
              <w:rPr>
                <w:rFonts w:hint="default" w:ascii="Times New Roman" w:hAnsi="Times New Roman" w:eastAsia="方正仿宋_GBK" w:cs="Times New Roman"/>
                <w:color w:val="auto"/>
                <w:sz w:val="24"/>
                <w:szCs w:val="24"/>
                <w:lang w:bidi="ar"/>
              </w:rPr>
              <w:t>地方特色乳制品提质升级。</w:t>
            </w:r>
          </w:p>
          <w:p w14:paraId="08763B5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rPr>
                <w:rFonts w:ascii="宋体" w:hAnsi="宋体" w:eastAsia="方正仿宋_GBK" w:cs="方正仿宋_GBK"/>
                <w:color w:val="auto"/>
                <w:sz w:val="30"/>
                <w:szCs w:val="30"/>
              </w:rPr>
            </w:pPr>
            <w:r>
              <w:rPr>
                <w:rFonts w:hint="default" w:ascii="Times New Roman" w:hAnsi="Times New Roman" w:eastAsia="方正仿宋_GBK" w:cs="Times New Roman"/>
                <w:color w:val="auto"/>
                <w:sz w:val="24"/>
                <w:szCs w:val="24"/>
              </w:rPr>
              <w:t>到2025年，监督检查发现问题整改率达到100%，乳制品监督抽检合格率在99%以上，地方特色乳制品（乳饼、乳扇等）生产加工小作坊登记率达到100%。乳制品生产企业质量安全管理体系更加完善，液体乳生产企业100%实施危害分析与关键控制点体系（HACCP）。乳制品生产企业原辅料、关键环节与产品检验管控率达到100%，食品安全自查率达到100%，发现风险报告率达到100%。乳制品生产企业自建自控奶源比例进一步提高，产品研发能力进一步增强，产品结构进一步优化，生产工艺进一步改进。</w:t>
            </w:r>
          </w:p>
        </w:tc>
      </w:tr>
    </w:tbl>
    <w:p w14:paraId="1AD52770">
      <w:pPr>
        <w:pStyle w:val="18"/>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宋体" w:hAnsi="宋体" w:eastAsia="方正仿宋_GBK" w:cs="方正仿宋_GBK"/>
          <w:color w:val="auto"/>
          <w:sz w:val="32"/>
          <w:szCs w:val="32"/>
        </w:rPr>
      </w:pPr>
    </w:p>
    <w:tbl>
      <w:tblPr>
        <w:tblStyle w:val="15"/>
        <w:tblpPr w:leftFromText="181" w:rightFromText="181" w:vertAnchor="text" w:horzAnchor="page"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E1F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22" w:type="dxa"/>
            <w:vAlign w:val="top"/>
          </w:tcPr>
          <w:p w14:paraId="1458C4BB">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ascii="宋体" w:hAnsi="宋体" w:eastAsia="方正仿宋_GBK" w:cs="方正仿宋_GBK"/>
                <w:b/>
                <w:color w:val="auto"/>
                <w:sz w:val="30"/>
                <w:szCs w:val="30"/>
              </w:rPr>
            </w:pPr>
            <w:r>
              <w:rPr>
                <w:rFonts w:hint="eastAsia" w:ascii="宋体" w:hAnsi="宋体" w:eastAsia="方正黑体_GBK" w:cs="方正黑体_GBK"/>
                <w:bCs/>
                <w:color w:val="auto"/>
                <w:sz w:val="28"/>
                <w:szCs w:val="28"/>
              </w:rPr>
              <w:t>重点行动专栏3： 校园食品安全守护行动</w:t>
            </w:r>
          </w:p>
        </w:tc>
      </w:tr>
      <w:tr w14:paraId="7D1C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1B0E3714">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b w:val="0"/>
                <w:bCs/>
                <w:color w:val="auto"/>
                <w:lang w:val="en-US"/>
              </w:rPr>
              <w:t>1.全面落实校园食品安全校长（园长）负责制。</w:t>
            </w:r>
            <w:r>
              <w:rPr>
                <w:rFonts w:hint="default" w:ascii="Times New Roman" w:hAnsi="Times New Roman" w:eastAsia="方正仿宋_GBK" w:cs="Times New Roman"/>
                <w:color w:val="auto"/>
                <w:lang w:val="en-US"/>
              </w:rPr>
              <w:t>建立健全食品安全管理制度，配备食品安全管理人员。各级各类学校每年对食品安全负责人、食品安全管理员、食堂经理等主要从业人员进行食品安全集中培训，着力提高从业人员队伍素质。</w:t>
            </w:r>
          </w:p>
          <w:p w14:paraId="17FDB69A">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楷体_GBK" w:cs="Times New Roman"/>
                <w:b w:val="0"/>
                <w:bCs/>
                <w:color w:val="auto"/>
                <w:lang w:val="en-US"/>
              </w:rPr>
            </w:pPr>
            <w:r>
              <w:rPr>
                <w:rFonts w:hint="default" w:ascii="Times New Roman" w:hAnsi="Times New Roman" w:eastAsia="方正楷体_GBK" w:cs="Times New Roman"/>
                <w:b w:val="0"/>
                <w:bCs/>
                <w:color w:val="auto"/>
                <w:lang w:val="en-US" w:eastAsia="zh-CN"/>
              </w:rPr>
              <w:t>2</w:t>
            </w:r>
            <w:r>
              <w:rPr>
                <w:rFonts w:hint="default" w:ascii="Times New Roman" w:hAnsi="Times New Roman" w:eastAsia="方正楷体_GBK" w:cs="Times New Roman"/>
                <w:b w:val="0"/>
                <w:bCs/>
                <w:color w:val="auto"/>
                <w:lang w:val="en-US"/>
              </w:rPr>
              <w:t>.</w:t>
            </w:r>
            <w:r>
              <w:rPr>
                <w:rFonts w:hint="default" w:ascii="Times New Roman" w:hAnsi="Times New Roman" w:eastAsia="方正楷体_GBK" w:cs="Times New Roman"/>
                <w:b w:val="0"/>
                <w:bCs/>
                <w:color w:val="auto"/>
                <w:lang w:val="en-US" w:eastAsia="zh-CN"/>
              </w:rPr>
              <w:t>全面落实校外</w:t>
            </w:r>
            <w:r>
              <w:rPr>
                <w:rFonts w:hint="default" w:ascii="Times New Roman" w:hAnsi="Times New Roman" w:eastAsia="方正楷体_GBK" w:cs="Times New Roman"/>
                <w:b w:val="0"/>
                <w:bCs/>
                <w:color w:val="auto"/>
                <w:lang w:val="en-US"/>
              </w:rPr>
              <w:t>供餐单位食品安全主体责任</w:t>
            </w:r>
            <w:r>
              <w:rPr>
                <w:rFonts w:hint="default" w:ascii="Times New Roman" w:hAnsi="Times New Roman" w:eastAsia="方正楷体_GBK" w:cs="Times New Roman"/>
                <w:b w:val="0"/>
                <w:bCs/>
                <w:color w:val="auto"/>
                <w:lang w:val="en-US" w:eastAsia="zh-CN"/>
              </w:rPr>
              <w:t>。</w:t>
            </w:r>
            <w:r>
              <w:rPr>
                <w:rFonts w:hint="default" w:ascii="Times New Roman" w:hAnsi="Times New Roman" w:eastAsia="方正仿宋_GBK" w:cs="Times New Roman"/>
                <w:color w:val="auto"/>
                <w:lang w:val="en-US" w:eastAsia="zh-CN"/>
              </w:rPr>
              <w:t>校外供餐配送企业应当通过HACCP或ISO22000体系认证。严格查验进货原料，规范加工制作行为，强化供餐单位自身食品安全管理。</w:t>
            </w:r>
          </w:p>
          <w:p w14:paraId="0F555516">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b w:val="0"/>
                <w:bCs/>
                <w:color w:val="auto"/>
                <w:lang w:val="en-US" w:eastAsia="zh-CN"/>
              </w:rPr>
              <w:t>3</w:t>
            </w:r>
            <w:r>
              <w:rPr>
                <w:rFonts w:hint="default" w:ascii="Times New Roman" w:hAnsi="Times New Roman" w:eastAsia="方正楷体_GBK" w:cs="Times New Roman"/>
                <w:b w:val="0"/>
                <w:bCs/>
                <w:color w:val="auto"/>
                <w:lang w:val="en-US"/>
              </w:rPr>
              <w:t>.强化联防联控。</w:t>
            </w:r>
            <w:r>
              <w:rPr>
                <w:rFonts w:hint="default" w:ascii="Times New Roman" w:hAnsi="Times New Roman" w:eastAsia="方正仿宋_GBK" w:cs="Times New Roman"/>
                <w:color w:val="auto"/>
                <w:spacing w:val="-11"/>
                <w:lang w:val="en-US"/>
              </w:rPr>
              <w:t>加强校内校外联动整治、综合治理、长效监管。严格落实供餐单位、校园周边餐饮门店和食品销售单位食品安全主体责任和属地职能部门的监督责任。</w:t>
            </w:r>
          </w:p>
          <w:p w14:paraId="7DD35B7C">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楷体_GBK" w:cs="Times New Roman"/>
                <w:color w:val="auto"/>
              </w:rPr>
            </w:pPr>
            <w:r>
              <w:rPr>
                <w:rFonts w:hint="default" w:ascii="Times New Roman" w:hAnsi="Times New Roman" w:eastAsia="方正楷体_GBK" w:cs="Times New Roman"/>
                <w:b w:val="0"/>
                <w:bCs/>
                <w:color w:val="auto"/>
                <w:lang w:val="en-US" w:eastAsia="zh-CN"/>
              </w:rPr>
              <w:t>4</w:t>
            </w:r>
            <w:r>
              <w:rPr>
                <w:rFonts w:hint="default" w:ascii="Times New Roman" w:hAnsi="Times New Roman" w:eastAsia="方正楷体_GBK" w:cs="Times New Roman"/>
                <w:b w:val="0"/>
                <w:bCs/>
                <w:color w:val="auto"/>
                <w:lang w:val="en-US"/>
              </w:rPr>
              <w:t>.严厉打击违法犯罪行为。</w:t>
            </w:r>
            <w:r>
              <w:rPr>
                <w:rFonts w:hint="default" w:ascii="Times New Roman" w:hAnsi="Times New Roman" w:eastAsia="方正仿宋_GBK" w:cs="Times New Roman"/>
                <w:color w:val="auto"/>
                <w:lang w:val="en-US"/>
              </w:rPr>
              <w:t>严厉打击假冒伪劣、掺杂使假、非法添加、超范围超限量使用食品添加剂等违法违规行为。依法查处、取缔校园周边无证食品流动摊贩。</w:t>
            </w:r>
            <w:r>
              <w:rPr>
                <w:rFonts w:hint="default" w:ascii="Times New Roman" w:hAnsi="Times New Roman" w:eastAsia="方正仿宋_GBK" w:cs="Times New Roman"/>
                <w:color w:val="auto"/>
              </w:rPr>
              <w:t>严厉查处未按规定制定和实施经营过程控制要求的行为。</w:t>
            </w:r>
          </w:p>
          <w:p w14:paraId="41902B92">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eastAsia="zh-CN"/>
              </w:rPr>
              <w:t>5</w:t>
            </w:r>
            <w:r>
              <w:rPr>
                <w:rFonts w:hint="default" w:ascii="Times New Roman" w:hAnsi="Times New Roman" w:eastAsia="方正楷体_GBK" w:cs="Times New Roman"/>
                <w:color w:val="auto"/>
                <w:lang w:val="en-US"/>
              </w:rPr>
              <w:t>.</w:t>
            </w:r>
            <w:r>
              <w:rPr>
                <w:rFonts w:hint="default" w:ascii="Times New Roman" w:hAnsi="Times New Roman" w:eastAsia="方正楷体_GBK" w:cs="Times New Roman"/>
                <w:color w:val="auto"/>
                <w:lang w:val="en-US" w:eastAsia="zh-CN"/>
              </w:rPr>
              <w:t>加强学生用餐营养健康。</w:t>
            </w:r>
            <w:r>
              <w:rPr>
                <w:rFonts w:hint="default" w:ascii="Times New Roman" w:hAnsi="Times New Roman" w:eastAsia="方正仿宋_GBK" w:cs="Times New Roman"/>
                <w:color w:val="auto"/>
                <w:lang w:val="en-US"/>
              </w:rPr>
              <w:t>落实好农村义务教育学生营养改善计划</w:t>
            </w:r>
            <w:r>
              <w:rPr>
                <w:rFonts w:hint="default" w:ascii="Times New Roman" w:hAnsi="Times New Roman" w:eastAsia="方正仿宋_GBK" w:cs="Times New Roman"/>
                <w:color w:val="auto"/>
                <w:lang w:val="en-US" w:eastAsia="zh-CN"/>
              </w:rPr>
              <w:t>。推动创建学校健康食堂。指导学校</w:t>
            </w:r>
            <w:r>
              <w:rPr>
                <w:rFonts w:hint="default" w:ascii="Times New Roman" w:hAnsi="Times New Roman" w:eastAsia="方正仿宋_GBK" w:cs="Times New Roman"/>
                <w:color w:val="auto"/>
              </w:rPr>
              <w:t>优化膳食结构，采取措施减油、减盐、减糖。</w:t>
            </w:r>
          </w:p>
          <w:p w14:paraId="2D58EF75">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eastAsia="zh-CN"/>
              </w:rPr>
              <w:t>6</w:t>
            </w:r>
            <w:r>
              <w:rPr>
                <w:rFonts w:hint="default" w:ascii="Times New Roman" w:hAnsi="Times New Roman" w:eastAsia="方正楷体_GBK" w:cs="Times New Roman"/>
                <w:color w:val="auto"/>
                <w:lang w:val="en-US"/>
              </w:rPr>
              <w:t>.加强校园食品安全社会共治。</w:t>
            </w:r>
            <w:r>
              <w:rPr>
                <w:rFonts w:hint="default" w:ascii="Times New Roman" w:hAnsi="Times New Roman" w:eastAsia="方正仿宋_GBK" w:cs="Times New Roman"/>
                <w:color w:val="auto"/>
                <w:lang w:val="en-US"/>
              </w:rPr>
              <w:t>广泛开展校园食品安全宣传教育</w:t>
            </w:r>
            <w:r>
              <w:rPr>
                <w:rFonts w:hint="default" w:ascii="Times New Roman" w:hAnsi="Times New Roman" w:eastAsia="方正仿宋_GBK" w:cs="Times New Roman"/>
                <w:color w:val="auto"/>
                <w:lang w:val="en-US" w:eastAsia="zh-CN"/>
              </w:rPr>
              <w:t>。健全学校食品安全投诉举报机制。引导新闻媒体客观、公正开展舆论监督。</w:t>
            </w:r>
            <w:r>
              <w:rPr>
                <w:rFonts w:hint="default" w:ascii="Times New Roman" w:hAnsi="Times New Roman" w:eastAsia="方正仿宋_GBK" w:cs="Times New Roman"/>
                <w:color w:val="auto"/>
                <w:lang w:val="en-US"/>
              </w:rPr>
              <w:t>具备条件的中小学和幼儿园应建立家长委员会代表参与</w:t>
            </w:r>
            <w:r>
              <w:rPr>
                <w:rFonts w:hint="default" w:ascii="Times New Roman" w:hAnsi="Times New Roman" w:eastAsia="方正仿宋_GBK" w:cs="Times New Roman"/>
                <w:color w:val="auto"/>
                <w:lang w:val="en-US" w:eastAsia="zh-CN"/>
              </w:rPr>
              <w:t>校园</w:t>
            </w:r>
            <w:r>
              <w:rPr>
                <w:rFonts w:hint="default" w:ascii="Times New Roman" w:hAnsi="Times New Roman" w:eastAsia="方正仿宋_GBK" w:cs="Times New Roman"/>
                <w:color w:val="auto"/>
                <w:lang w:val="en-US"/>
              </w:rPr>
              <w:t>食品安全</w:t>
            </w:r>
            <w:r>
              <w:rPr>
                <w:rFonts w:hint="default" w:ascii="Times New Roman" w:hAnsi="Times New Roman" w:eastAsia="方正仿宋_GBK" w:cs="Times New Roman"/>
                <w:color w:val="auto"/>
                <w:lang w:val="en-US" w:eastAsia="zh-CN"/>
              </w:rPr>
              <w:t>监督</w:t>
            </w:r>
            <w:r>
              <w:rPr>
                <w:rFonts w:hint="default" w:ascii="Times New Roman" w:hAnsi="Times New Roman" w:eastAsia="方正仿宋_GBK" w:cs="Times New Roman"/>
                <w:color w:val="auto"/>
                <w:lang w:val="en-US"/>
              </w:rPr>
              <w:t>检查</w:t>
            </w:r>
            <w:r>
              <w:rPr>
                <w:rFonts w:hint="default" w:ascii="Times New Roman" w:hAnsi="Times New Roman" w:eastAsia="方正仿宋_GBK" w:cs="Times New Roman"/>
                <w:color w:val="auto"/>
                <w:lang w:val="en-US" w:eastAsia="zh-CN"/>
              </w:rPr>
              <w:t>机制</w:t>
            </w:r>
            <w:r>
              <w:rPr>
                <w:rFonts w:hint="default" w:ascii="Times New Roman" w:hAnsi="Times New Roman" w:eastAsia="方正仿宋_GBK" w:cs="Times New Roman"/>
                <w:color w:val="auto"/>
                <w:lang w:val="en-US"/>
              </w:rPr>
              <w:t>。</w:t>
            </w:r>
          </w:p>
          <w:p w14:paraId="646B1836">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eastAsia="zh-CN"/>
              </w:rPr>
              <w:t>7</w:t>
            </w:r>
            <w:r>
              <w:rPr>
                <w:rFonts w:hint="default" w:ascii="Times New Roman" w:hAnsi="Times New Roman" w:eastAsia="方正楷体_GBK" w:cs="Times New Roman"/>
                <w:color w:val="auto"/>
                <w:lang w:val="en-US"/>
              </w:rPr>
              <w:t>.着力推动“农校对接联合采购”平台建设。</w:t>
            </w:r>
            <w:r>
              <w:rPr>
                <w:rFonts w:hint="default" w:ascii="Times New Roman" w:hAnsi="Times New Roman" w:eastAsia="方正仿宋_GBK" w:cs="Times New Roman"/>
                <w:color w:val="auto"/>
                <w:lang w:val="en-US"/>
              </w:rPr>
              <w:t>把好企业入口关和食品安全全过程监管、溯源，减少中间环节，实现订单农业，助力乡村振兴行动。</w:t>
            </w:r>
          </w:p>
          <w:p w14:paraId="3F97102D">
            <w:pPr>
              <w:pStyle w:val="14"/>
              <w:keepNext w:val="0"/>
              <w:keepLines w:val="0"/>
              <w:pageBreakBefore w:val="0"/>
              <w:widowControl/>
              <w:kinsoku/>
              <w:wordWrap/>
              <w:overflowPunct/>
              <w:topLinePunct w:val="0"/>
              <w:autoSpaceDE w:val="0"/>
              <w:autoSpaceDN w:val="0"/>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宋体" w:hAnsi="宋体" w:eastAsia="方正仿宋_GBK" w:cs="方正仿宋_GBK"/>
                <w:color w:val="auto"/>
                <w:lang w:val="en-US"/>
              </w:rPr>
            </w:pPr>
            <w:r>
              <w:rPr>
                <w:rFonts w:hint="default" w:ascii="Times New Roman" w:hAnsi="Times New Roman" w:eastAsia="方正仿宋_GBK" w:cs="Times New Roman"/>
                <w:color w:val="auto"/>
                <w:lang w:val="en-US"/>
              </w:rPr>
              <w:t>到2025年，</w:t>
            </w:r>
            <w:r>
              <w:rPr>
                <w:rFonts w:hint="default" w:ascii="Times New Roman" w:hAnsi="Times New Roman" w:eastAsia="方正仿宋_GBK" w:cs="Times New Roman"/>
                <w:color w:val="auto"/>
              </w:rPr>
              <w:t>学校食堂“互联网</w:t>
            </w:r>
            <w:r>
              <w:rPr>
                <w:rFonts w:hint="default" w:ascii="Times New Roman" w:hAnsi="Times New Roman" w:eastAsia="方正仿宋_GBK" w:cs="Times New Roman"/>
                <w:color w:val="auto"/>
                <w:lang w:val="en-US"/>
              </w:rPr>
              <w:t>+明厨亮灶</w:t>
            </w:r>
            <w:r>
              <w:rPr>
                <w:rFonts w:hint="default" w:ascii="Times New Roman" w:hAnsi="Times New Roman" w:eastAsia="方正仿宋_GBK" w:cs="Times New Roman"/>
                <w:color w:val="auto"/>
              </w:rPr>
              <w:t>”覆盖率达到</w:t>
            </w:r>
            <w:r>
              <w:rPr>
                <w:rFonts w:hint="default" w:ascii="Times New Roman" w:hAnsi="Times New Roman" w:eastAsia="方正仿宋_GBK" w:cs="Times New Roman"/>
                <w:color w:val="auto"/>
                <w:lang w:val="en-US"/>
              </w:rPr>
              <w:t>80%；</w:t>
            </w:r>
            <w:r>
              <w:rPr>
                <w:rFonts w:hint="default" w:ascii="Times New Roman" w:hAnsi="Times New Roman" w:eastAsia="方正仿宋_GBK" w:cs="Times New Roman"/>
                <w:color w:val="auto"/>
              </w:rPr>
              <w:t>“六T”实务管理覆盖率达到</w:t>
            </w:r>
            <w:r>
              <w:rPr>
                <w:rFonts w:hint="default" w:ascii="Times New Roman" w:hAnsi="Times New Roman" w:eastAsia="方正仿宋_GBK" w:cs="Times New Roman"/>
                <w:color w:val="auto"/>
                <w:lang w:val="en-US"/>
              </w:rPr>
              <w:t>100%</w:t>
            </w:r>
            <w:r>
              <w:rPr>
                <w:rFonts w:hint="default" w:ascii="Times New Roman" w:hAnsi="Times New Roman" w:eastAsia="方正仿宋_GBK" w:cs="Times New Roman"/>
                <w:color w:val="auto"/>
              </w:rPr>
              <w:t>。</w:t>
            </w:r>
            <w:r>
              <w:rPr>
                <w:rFonts w:hint="default" w:ascii="Times New Roman" w:hAnsi="Times New Roman" w:eastAsia="方正仿宋_GBK" w:cs="Times New Roman"/>
                <w:color w:val="auto"/>
                <w:lang w:val="en-US" w:eastAsia="zh-CN"/>
              </w:rPr>
              <w:t>校外供餐配送企业</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明厨亮灶</w:t>
            </w:r>
            <w:r>
              <w:rPr>
                <w:rFonts w:hint="default" w:ascii="Times New Roman" w:hAnsi="Times New Roman" w:eastAsia="方正仿宋_GBK" w:cs="Times New Roman"/>
                <w:color w:val="auto"/>
                <w:lang w:eastAsia="zh-CN"/>
              </w:rPr>
              <w:t>”完成率</w:t>
            </w:r>
            <w:r>
              <w:rPr>
                <w:rFonts w:hint="default" w:ascii="Times New Roman" w:hAnsi="Times New Roman" w:eastAsia="方正仿宋_GBK" w:cs="Times New Roman"/>
                <w:color w:val="auto"/>
                <w:lang w:val="en-US"/>
              </w:rPr>
              <w:t>100%</w:t>
            </w:r>
            <w:r>
              <w:rPr>
                <w:rFonts w:hint="default" w:ascii="Times New Roman" w:hAnsi="Times New Roman" w:eastAsia="方正仿宋_GBK" w:cs="Times New Roman"/>
                <w:color w:val="auto"/>
                <w:lang w:val="en-US" w:eastAsia="zh-CN"/>
              </w:rPr>
              <w:t>。</w:t>
            </w:r>
          </w:p>
        </w:tc>
      </w:tr>
    </w:tbl>
    <w:p w14:paraId="4CA64089">
      <w:pPr>
        <w:pStyle w:val="18"/>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宋体" w:hAnsi="宋体" w:eastAsia="方正仿宋_GBK" w:cs="方正仿宋_GBK"/>
          <w:color w:val="auto"/>
          <w:sz w:val="32"/>
          <w:szCs w:val="32"/>
        </w:rPr>
      </w:pPr>
    </w:p>
    <w:tbl>
      <w:tblPr>
        <w:tblStyle w:val="16"/>
        <w:tblpPr w:leftFromText="181" w:rightFromText="181" w:vertAnchor="text" w:horzAnchor="page"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CA8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22" w:type="dxa"/>
            <w:vAlign w:val="top"/>
          </w:tcPr>
          <w:p w14:paraId="175CC944">
            <w:pPr>
              <w:pStyle w:val="2"/>
              <w:keepNext w:val="0"/>
              <w:keepLines w:val="0"/>
              <w:pageBreakBefore w:val="0"/>
              <w:widowControl w:val="0"/>
              <w:kinsoku/>
              <w:wordWrap/>
              <w:overflowPunct/>
              <w:topLinePunct w:val="0"/>
              <w:autoSpaceDE/>
              <w:autoSpaceDN/>
              <w:bidi w:val="0"/>
              <w:adjustRightInd/>
              <w:snapToGrid/>
              <w:spacing w:line="500" w:lineRule="exact"/>
              <w:jc w:val="both"/>
              <w:textAlignment w:val="auto"/>
              <w:rPr>
                <w:color w:val="auto"/>
                <w:vertAlign w:val="baseline"/>
              </w:rPr>
            </w:pPr>
            <w:r>
              <w:rPr>
                <w:rFonts w:hint="eastAsia" w:ascii="宋体" w:hAnsi="宋体" w:eastAsia="方正黑体_GBK" w:cs="方正黑体_GBK"/>
                <w:b w:val="0"/>
                <w:bCs/>
                <w:color w:val="auto"/>
                <w:kern w:val="0"/>
                <w:sz w:val="28"/>
                <w:szCs w:val="28"/>
                <w:lang w:val="en-US" w:eastAsia="zh-CN" w:bidi="ar"/>
              </w:rPr>
              <w:t>重点行动专栏4： 餐饮质量安全提升行动</w:t>
            </w:r>
          </w:p>
        </w:tc>
      </w:tr>
      <w:tr w14:paraId="67D1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0E14FC64">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b/>
                <w:bCs/>
                <w:color w:val="auto"/>
                <w:lang w:val="en-US"/>
              </w:rPr>
            </w:pPr>
            <w:r>
              <w:rPr>
                <w:rFonts w:hint="default" w:ascii="Times New Roman" w:hAnsi="Times New Roman" w:eastAsia="方正楷体_GBK" w:cs="Times New Roman"/>
                <w:color w:val="auto"/>
                <w:lang w:val="en-US"/>
              </w:rPr>
              <w:t>1.深入推进“净餐馆”专项行动。</w:t>
            </w:r>
            <w:r>
              <w:rPr>
                <w:rFonts w:hint="default" w:ascii="Times New Roman" w:hAnsi="Times New Roman" w:eastAsia="方正仿宋_GBK" w:cs="Times New Roman"/>
                <w:color w:val="auto"/>
                <w:lang w:val="en-US"/>
              </w:rPr>
              <w:t>推动实现餐饮服务环境卫生全面改善。</w:t>
            </w:r>
          </w:p>
          <w:p w14:paraId="79A84F4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rPr>
              <w:t>2.强化培训考核，促进从业人员素质全面提升。</w:t>
            </w:r>
            <w:r>
              <w:rPr>
                <w:rFonts w:hint="default" w:ascii="Times New Roman" w:hAnsi="Times New Roman" w:eastAsia="方正仿宋_GBK" w:cs="Times New Roman"/>
                <w:color w:val="auto"/>
                <w:lang w:val="en-US"/>
              </w:rPr>
              <w:t>着力解决从业人员规范操作、食品安全管理人员能力提升问题。</w:t>
            </w:r>
          </w:p>
          <w:p w14:paraId="32C7B1E4">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rPr>
              <w:t>3.深入开展“明厨亮灶”提升改造工程。</w:t>
            </w:r>
            <w:r>
              <w:rPr>
                <w:rFonts w:hint="default" w:ascii="Times New Roman" w:hAnsi="Times New Roman" w:eastAsia="方正仿宋_GBK" w:cs="Times New Roman"/>
                <w:color w:val="auto"/>
                <w:lang w:val="en-US"/>
              </w:rPr>
              <w:t>全面推动“明厨亮灶”，接受社会公众广泛监督。</w:t>
            </w:r>
          </w:p>
          <w:p w14:paraId="24887FAA">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rPr>
              <w:t>4.坚决制止餐饮浪费行为。</w:t>
            </w:r>
            <w:r>
              <w:rPr>
                <w:rFonts w:hint="default" w:ascii="Times New Roman" w:hAnsi="Times New Roman" w:eastAsia="方正仿宋_GBK" w:cs="Times New Roman"/>
                <w:color w:val="auto"/>
                <w:lang w:val="en-US"/>
              </w:rPr>
              <w:t>严格督促餐饮服务提供者落实“减量减价、点菜提醒、光盘行动、绿色包装”和“承诺践诺”要求。</w:t>
            </w:r>
          </w:p>
          <w:p w14:paraId="2A263855">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rPr>
              <w:t>5.倡导安全用餐、健康用餐、文明用餐的新风尚。</w:t>
            </w:r>
            <w:r>
              <w:rPr>
                <w:rFonts w:hint="default" w:ascii="Times New Roman" w:hAnsi="Times New Roman" w:eastAsia="方正仿宋_GBK" w:cs="Times New Roman"/>
                <w:color w:val="auto"/>
                <w:lang w:val="en-US"/>
              </w:rPr>
              <w:t>提倡公筷公勺和分餐服务，全面推进文明餐桌行动。</w:t>
            </w:r>
          </w:p>
          <w:p w14:paraId="334393F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color w:val="auto"/>
              </w:rPr>
            </w:pPr>
            <w:r>
              <w:rPr>
                <w:rFonts w:hint="default" w:ascii="Times New Roman" w:hAnsi="Times New Roman" w:eastAsia="方正仿宋_GBK" w:cs="Times New Roman"/>
                <w:color w:val="auto"/>
                <w:kern w:val="0"/>
                <w:sz w:val="24"/>
                <w:szCs w:val="22"/>
                <w:lang w:val="en-US" w:eastAsia="zh-CN" w:bidi="ar"/>
              </w:rPr>
              <w:t>到2025年，全州中型以上餐馆和单位食堂100%达到“周边环境整洁、就餐场所干净、后厨合规达标、仓储整齐安全、餐饮用具洁净、从业人员健康、配送过程规范”等“七个达标”要求，小型餐馆和餐饮食品摊贩100%实现“场所净、厨合规、餐具洁、人健康、食安全”等“五个达标”要求；餐饮单位食品安全风险分级管理率达到100%；大型餐饮企业、中央厨房、集体用餐配送单位和机场、车站、码头、学校、医疗机构、旅游景点、高速公路服务区等重点区域的中型以上餐馆网络“明厨亮灶”覆盖率达到100%；持证餐饮服务提供者食品安全管理人员培训考核率达100%，监督抽查考核合格率达98%，从业人员培训考核率达100%，监督抽查考核合格率达95%以上。</w:t>
            </w:r>
          </w:p>
        </w:tc>
      </w:tr>
    </w:tbl>
    <w:p w14:paraId="54C7A348">
      <w:pPr>
        <w:pStyle w:val="12"/>
        <w:tabs>
          <w:tab w:val="right" w:leader="hyphen" w:pos="8306"/>
        </w:tabs>
        <w:spacing w:line="560" w:lineRule="exact"/>
        <w:ind w:left="0" w:leftChars="0" w:firstLine="600" w:firstLineChars="200"/>
        <w:rPr>
          <w:rFonts w:ascii="宋体" w:hAnsi="宋体" w:eastAsia="方正仿宋_GBK" w:cs="方正仿宋_GBK"/>
          <w:color w:val="auto"/>
          <w:sz w:val="30"/>
          <w:szCs w:val="30"/>
          <w:lang w:val="en-US"/>
        </w:rPr>
      </w:pPr>
    </w:p>
    <w:tbl>
      <w:tblPr>
        <w:tblStyle w:val="15"/>
        <w:tblpPr w:leftFromText="181" w:rightFromText="181" w:vertAnchor="text" w:horzAnchor="page" w:tblpX="1838"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FB4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522" w:type="dxa"/>
            <w:vAlign w:val="top"/>
          </w:tcPr>
          <w:p w14:paraId="34FE0A4D">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ascii="宋体" w:hAnsi="宋体" w:eastAsia="方正仿宋_GBK" w:cs="方正仿宋_GBK"/>
                <w:b/>
                <w:color w:val="auto"/>
                <w:sz w:val="30"/>
                <w:szCs w:val="30"/>
              </w:rPr>
            </w:pPr>
            <w:r>
              <w:rPr>
                <w:rFonts w:hint="eastAsia" w:ascii="宋体" w:hAnsi="宋体" w:eastAsia="方正黑体_GBK" w:cs="方正黑体_GBK"/>
                <w:bCs/>
                <w:color w:val="auto"/>
                <w:kern w:val="2"/>
                <w:sz w:val="28"/>
                <w:szCs w:val="28"/>
                <w:lang w:val="en-US" w:bidi="ar-SA"/>
              </w:rPr>
              <w:t>重点行动专栏5：实施保健食品行业专项清理整治行动</w:t>
            </w:r>
          </w:p>
        </w:tc>
      </w:tr>
      <w:tr w14:paraId="6DBE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7732F470">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1.</w:t>
            </w:r>
            <w:r>
              <w:rPr>
                <w:rFonts w:hint="default" w:ascii="Times New Roman" w:hAnsi="Times New Roman" w:eastAsia="方正楷体_GBK" w:cs="Times New Roman"/>
                <w:color w:val="auto"/>
              </w:rPr>
              <w:t>加强生产经营许可审查。</w:t>
            </w:r>
            <w:r>
              <w:rPr>
                <w:rFonts w:hint="default" w:ascii="Times New Roman" w:hAnsi="Times New Roman" w:eastAsia="方正仿宋_GBK" w:cs="Times New Roman"/>
                <w:color w:val="auto"/>
              </w:rPr>
              <w:t>规范企业生产经营行为和营销行为，严厉查处未取得产品注册证书或备案凭证、未经许可生产经营保健食品的行为。</w:t>
            </w:r>
          </w:p>
          <w:p w14:paraId="7380998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楷体_GBK" w:cs="Times New Roman"/>
                <w:color w:val="auto"/>
                <w:lang w:val="en-US"/>
              </w:rPr>
            </w:pPr>
            <w:r>
              <w:rPr>
                <w:rFonts w:hint="default" w:ascii="Times New Roman" w:hAnsi="Times New Roman" w:eastAsia="方正楷体_GBK" w:cs="Times New Roman"/>
                <w:color w:val="auto"/>
                <w:lang w:val="en-US"/>
              </w:rPr>
              <w:t>2.严厉查处不按照批准内容组织生产、擅自改变生产工艺、非法添加非食用物质（药物）等违法行为。</w:t>
            </w:r>
          </w:p>
          <w:p w14:paraId="017E3C4B">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楷体_GBK" w:cs="Times New Roman"/>
                <w:color w:val="auto"/>
                <w:lang w:val="en-US"/>
              </w:rPr>
            </w:pPr>
            <w:r>
              <w:rPr>
                <w:rFonts w:hint="default" w:ascii="Times New Roman" w:hAnsi="Times New Roman" w:eastAsia="方正楷体_GBK" w:cs="Times New Roman"/>
                <w:color w:val="auto"/>
                <w:lang w:val="en-US"/>
              </w:rPr>
              <w:t>3.严厉查处保健食品标签、说明书和宣传材料等虚假宣传保健功能，非法声称疾病预防、治疗功能的违法行为。</w:t>
            </w:r>
          </w:p>
          <w:p w14:paraId="488489B3">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4.严厉查处未经审查发布保健食品广告以及发布虚假保健食品广告的违法行为。</w:t>
            </w:r>
            <w:r>
              <w:rPr>
                <w:rFonts w:hint="default" w:ascii="Times New Roman" w:hAnsi="Times New Roman" w:eastAsia="方正仿宋_GBK" w:cs="Times New Roman"/>
                <w:color w:val="auto"/>
              </w:rPr>
              <w:t>严厉查处利用网络、会议营销、广播电视、电话营销等方式欺诈销售保健食品的行为。严厉查处通过传销、违规直销等方式营销保健食品的行为。</w:t>
            </w:r>
          </w:p>
          <w:p w14:paraId="5A20BF1B">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楷体_GBK" w:cs="Times New Roman"/>
                <w:color w:val="auto"/>
                <w:lang w:val="en-US"/>
              </w:rPr>
            </w:pPr>
            <w:r>
              <w:rPr>
                <w:rFonts w:hint="default" w:ascii="Times New Roman" w:hAnsi="Times New Roman" w:eastAsia="方正楷体_GBK" w:cs="Times New Roman"/>
                <w:color w:val="auto"/>
                <w:lang w:val="en-US"/>
              </w:rPr>
              <w:t>5.广泛开展保健食品科普宣传活动。</w:t>
            </w:r>
          </w:p>
          <w:p w14:paraId="2658A07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宋体" w:hAnsi="宋体" w:eastAsia="方正仿宋_GBK" w:cs="方正仿宋_GBK"/>
                <w:color w:val="auto"/>
                <w:sz w:val="30"/>
                <w:szCs w:val="30"/>
              </w:rPr>
            </w:pPr>
            <w:r>
              <w:rPr>
                <w:rFonts w:hint="default" w:ascii="Times New Roman" w:hAnsi="Times New Roman" w:eastAsia="方正仿宋_GBK" w:cs="Times New Roman"/>
                <w:color w:val="auto"/>
              </w:rPr>
              <w:t>到2025年，保健食品企业产品实现产品信息可追溯率100%；生产企业的自查报告率达到 100％；大型保健食品生产企业率先建立和实施危害分析和关键控制点体系。</w:t>
            </w:r>
          </w:p>
        </w:tc>
      </w:tr>
    </w:tbl>
    <w:p w14:paraId="36FA4B8F">
      <w:pPr>
        <w:pStyle w:val="13"/>
        <w:spacing w:line="560" w:lineRule="exact"/>
        <w:jc w:val="both"/>
        <w:rPr>
          <w:rFonts w:ascii="宋体" w:hAnsi="宋体" w:eastAsia="方正仿宋_GBK" w:cs="方正仿宋_GBK"/>
          <w:color w:val="auto"/>
          <w:sz w:val="30"/>
          <w:szCs w:val="30"/>
          <w:lang w:val="en-US" w:bidi="ar-SA"/>
        </w:rPr>
      </w:pPr>
    </w:p>
    <w:tbl>
      <w:tblPr>
        <w:tblStyle w:val="15"/>
        <w:tblpPr w:leftFromText="181" w:rightFromText="181" w:vertAnchor="text"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EB8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522" w:type="dxa"/>
            <w:vAlign w:val="top"/>
          </w:tcPr>
          <w:p w14:paraId="36691460">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ascii="宋体" w:hAnsi="宋体" w:eastAsia="方正仿宋_GBK" w:cs="方正仿宋_GBK"/>
                <w:b/>
                <w:color w:val="auto"/>
                <w:sz w:val="30"/>
                <w:szCs w:val="30"/>
              </w:rPr>
            </w:pPr>
            <w:r>
              <w:rPr>
                <w:rFonts w:hint="eastAsia" w:ascii="宋体" w:hAnsi="宋体" w:eastAsia="方正黑体_GBK" w:cs="方正黑体_GBK"/>
                <w:bCs/>
                <w:color w:val="auto"/>
                <w:sz w:val="28"/>
                <w:szCs w:val="28"/>
              </w:rPr>
              <w:t>重点行动专栏6：</w:t>
            </w:r>
            <w:r>
              <w:rPr>
                <w:rFonts w:hint="eastAsia" w:ascii="宋体" w:hAnsi="宋体" w:eastAsia="方正黑体_GBK" w:cs="方正黑体_GBK"/>
                <w:bCs/>
                <w:color w:val="auto"/>
                <w:kern w:val="2"/>
                <w:sz w:val="28"/>
                <w:szCs w:val="28"/>
                <w:lang w:val="en-US" w:bidi="ar-SA"/>
              </w:rPr>
              <w:t>实施“优质粮食工程”行动</w:t>
            </w:r>
          </w:p>
        </w:tc>
      </w:tr>
      <w:tr w14:paraId="5B7C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bottom w:val="single" w:color="auto" w:sz="4" w:space="0"/>
            </w:tcBorders>
            <w:vAlign w:val="top"/>
          </w:tcPr>
          <w:p w14:paraId="272696FD">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1.</w:t>
            </w:r>
            <w:r>
              <w:rPr>
                <w:rFonts w:hint="default" w:ascii="Times New Roman" w:hAnsi="Times New Roman" w:eastAsia="方正楷体_GBK" w:cs="Times New Roman"/>
                <w:color w:val="auto"/>
              </w:rPr>
              <w:t>实施粮食绿色仓储提升行动。</w:t>
            </w:r>
            <w:r>
              <w:rPr>
                <w:rFonts w:hint="default" w:ascii="Times New Roman" w:hAnsi="Times New Roman" w:eastAsia="方正仿宋_GBK" w:cs="Times New Roman"/>
                <w:color w:val="auto"/>
              </w:rPr>
              <w:t>改造提升粮食仓储设施功效性能，推广应用、合理适配绿色储粮技术，逐步实现政府储备粮食绿色仓储全覆盖。</w:t>
            </w:r>
          </w:p>
          <w:p w14:paraId="06E9AF82">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2.实施粮食品种品质品牌提升行动。</w:t>
            </w:r>
            <w:r>
              <w:rPr>
                <w:rFonts w:hint="default" w:ascii="Times New Roman" w:hAnsi="Times New Roman" w:eastAsia="方正仿宋_GBK" w:cs="Times New Roman"/>
                <w:color w:val="auto"/>
              </w:rPr>
              <w:t>着力增品种、提品质、创品牌，拓展线上线下营销渠道；精心组织“中国好粮油”产品分级遴选，强化标识使用管理，打造“中国好粮油”金字招牌。</w:t>
            </w:r>
          </w:p>
          <w:p w14:paraId="0F684382">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3.实施粮食质量追溯提升行动。</w:t>
            </w:r>
            <w:r>
              <w:rPr>
                <w:rFonts w:hint="default" w:ascii="Times New Roman" w:hAnsi="Times New Roman" w:eastAsia="方正仿宋_GBK" w:cs="Times New Roman"/>
                <w:color w:val="auto"/>
              </w:rPr>
              <w:t>完善检测体系，组织收获粮食质量调查、品质测报和安全风险监测，推广建立粮油产品溯源码系统，实现对责任主体、产品流向、监管检测等信息的快速追查。</w:t>
            </w:r>
          </w:p>
          <w:p w14:paraId="62206C84">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4.实施粮食机械装备提升行动。</w:t>
            </w:r>
            <w:r>
              <w:rPr>
                <w:rFonts w:hint="default" w:ascii="Times New Roman" w:hAnsi="Times New Roman" w:eastAsia="方正仿宋_GBK" w:cs="Times New Roman"/>
                <w:color w:val="auto"/>
              </w:rPr>
              <w:t>加大关键粮食机械装备自主研发和推广应用力度，加快推动粮食机械装备和加工工艺科技创新、转型升级。</w:t>
            </w:r>
          </w:p>
          <w:p w14:paraId="4DE8B510">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5.实施粮食应急保障能力提升行动。</w:t>
            </w:r>
            <w:r>
              <w:rPr>
                <w:rFonts w:hint="default" w:ascii="Times New Roman" w:hAnsi="Times New Roman" w:eastAsia="方正仿宋_GBK" w:cs="Times New Roman"/>
                <w:color w:val="auto"/>
              </w:rPr>
              <w:t>科学制定粮食应急预案，加快构建完善粮食市场监测预警体系，统筹建设一批区域综合性粮食应急保障中心，健全州、县</w:t>
            </w:r>
            <w:r>
              <w:rPr>
                <w:rFonts w:hint="eastAsia" w:ascii="Times New Roman" w:hAnsi="Times New Roman" w:eastAsia="方正仿宋_GBK" w:cs="Times New Roman"/>
                <w:color w:val="auto"/>
                <w:lang w:eastAsia="zh-CN"/>
              </w:rPr>
              <w:t>市</w:t>
            </w:r>
            <w:r>
              <w:rPr>
                <w:rFonts w:hint="default" w:ascii="Times New Roman" w:hAnsi="Times New Roman" w:eastAsia="方正仿宋_GBK" w:cs="Times New Roman"/>
                <w:color w:val="auto"/>
              </w:rPr>
              <w:t>粮食应急保障网络，形成逐级保障、层级响应的粮食应急保障机制。</w:t>
            </w:r>
          </w:p>
          <w:p w14:paraId="3EB445C1">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6.实施粮食节约减损健康消费提升行动。</w:t>
            </w:r>
            <w:r>
              <w:rPr>
                <w:rFonts w:hint="default" w:ascii="Times New Roman" w:hAnsi="Times New Roman" w:eastAsia="方正仿宋_GBK" w:cs="Times New Roman"/>
                <w:color w:val="auto"/>
              </w:rPr>
              <w:t>推进农户科学储粮项目，加强粮油副产物循环、全值和梯次利用，深入开展爱粮节粮宣传教育。</w:t>
            </w:r>
          </w:p>
          <w:p w14:paraId="54582EAB">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宋体" w:hAnsi="宋体" w:eastAsia="方正仿宋_GBK" w:cs="方正仿宋_GBK"/>
                <w:color w:val="auto"/>
                <w:sz w:val="30"/>
                <w:szCs w:val="30"/>
                <w:lang w:val="en-US"/>
              </w:rPr>
            </w:pPr>
            <w:r>
              <w:rPr>
                <w:rFonts w:hint="default" w:ascii="Times New Roman" w:hAnsi="Times New Roman" w:eastAsia="方正仿宋_GBK" w:cs="Times New Roman"/>
                <w:color w:val="auto"/>
              </w:rPr>
              <w:t>到2025年，</w:t>
            </w:r>
            <w:r>
              <w:rPr>
                <w:rFonts w:hint="default" w:ascii="Times New Roman" w:hAnsi="Times New Roman" w:eastAsia="方正仿宋_GBK" w:cs="Times New Roman"/>
                <w:color w:val="auto"/>
                <w:lang w:eastAsia="zh-CN"/>
              </w:rPr>
              <w:t>州</w:t>
            </w:r>
            <w:r>
              <w:rPr>
                <w:rFonts w:hint="default" w:ascii="Times New Roman" w:hAnsi="Times New Roman" w:eastAsia="方正仿宋_GBK" w:cs="Times New Roman"/>
                <w:color w:val="auto"/>
              </w:rPr>
              <w:t>粮食产业体系更加完善，粮食及其制品质量安全有效保障，粮食产业发展质量效益和市场竞争力持续提高，粮食绿色仓储、粮机装备加工、粮食供给品质、粮油品牌营销、粮食质量追溯和粮食应急能力有效提升，防范化解粮食领域风险挑战能力显著增强。</w:t>
            </w:r>
          </w:p>
        </w:tc>
      </w:tr>
    </w:tbl>
    <w:p w14:paraId="559707F9">
      <w:pPr>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宋体" w:hAnsi="宋体" w:eastAsia="方正楷体_GBK" w:cs="方正楷体_GBK"/>
          <w:color w:val="auto"/>
          <w:sz w:val="32"/>
          <w:szCs w:val="32"/>
        </w:rPr>
      </w:pPr>
      <w:bookmarkStart w:id="188" w:name="_Toc9613"/>
      <w:bookmarkStart w:id="189" w:name="_Toc12616"/>
      <w:bookmarkStart w:id="190" w:name="_Toc7343"/>
      <w:bookmarkStart w:id="191" w:name="_Toc15676"/>
      <w:bookmarkStart w:id="192" w:name="_Toc17523"/>
      <w:bookmarkStart w:id="193" w:name="_Toc8208"/>
      <w:bookmarkStart w:id="194" w:name="_Toc24409"/>
      <w:bookmarkStart w:id="195" w:name="_Toc30742"/>
      <w:bookmarkStart w:id="196" w:name="_Toc66134843"/>
      <w:bookmarkStart w:id="197" w:name="_Toc66917137"/>
      <w:bookmarkStart w:id="198" w:name="_Toc28362"/>
      <w:bookmarkStart w:id="199" w:name="_Toc742"/>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F0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22" w:type="dxa"/>
          </w:tcPr>
          <w:p w14:paraId="520A133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宋体" w:hAnsi="宋体" w:eastAsia="方正楷体_GBK" w:cs="方正楷体_GBK"/>
                <w:color w:val="auto"/>
                <w:sz w:val="32"/>
                <w:szCs w:val="32"/>
                <w:vertAlign w:val="baseline"/>
              </w:rPr>
            </w:pPr>
            <w:r>
              <w:rPr>
                <w:rFonts w:hint="eastAsia" w:ascii="宋体" w:hAnsi="宋体" w:eastAsia="方正黑体_GBK" w:cs="方正黑体_GBK"/>
                <w:bCs/>
                <w:color w:val="auto"/>
                <w:kern w:val="0"/>
                <w:sz w:val="28"/>
                <w:szCs w:val="28"/>
                <w:lang w:val="en-US" w:eastAsia="zh-CN" w:bidi="ar"/>
              </w:rPr>
              <w:t>重点行动专栏7：实施进口食品“国门守护”行动</w:t>
            </w:r>
          </w:p>
        </w:tc>
      </w:tr>
      <w:tr w14:paraId="6F3C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8869741">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lang w:val="en-US"/>
              </w:rPr>
            </w:pPr>
            <w:r>
              <w:rPr>
                <w:rFonts w:hint="default" w:ascii="Times New Roman" w:hAnsi="Times New Roman" w:eastAsia="方正楷体_GBK" w:cs="Times New Roman"/>
                <w:color w:val="auto"/>
                <w:lang w:val="en-US"/>
              </w:rPr>
              <w:t>1.持续推进进出口食品安全制度建设。</w:t>
            </w:r>
            <w:r>
              <w:rPr>
                <w:rFonts w:hint="default" w:ascii="Times New Roman" w:hAnsi="Times New Roman" w:eastAsia="方正仿宋_GBK" w:cs="Times New Roman"/>
                <w:color w:val="auto"/>
                <w:lang w:val="en-US"/>
              </w:rPr>
              <w:t>进一步完善进出口食品安全管理体制机制,加强“互联网+海关”信息化平台建设,有效发挥预警作用。</w:t>
            </w:r>
          </w:p>
          <w:p w14:paraId="5D37C916">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bCs/>
                <w:color w:val="auto"/>
                <w:lang w:val="en-US"/>
              </w:rPr>
              <w:t>2.</w:t>
            </w:r>
            <w:r>
              <w:rPr>
                <w:rFonts w:hint="default" w:ascii="Times New Roman" w:hAnsi="Times New Roman" w:eastAsia="方正楷体_GBK" w:cs="Times New Roman"/>
                <w:bCs/>
                <w:color w:val="auto"/>
              </w:rPr>
              <w:t>完善企业信用管理体系。</w:t>
            </w:r>
            <w:r>
              <w:rPr>
                <w:rFonts w:hint="default" w:ascii="Times New Roman" w:hAnsi="Times New Roman" w:eastAsia="方正仿宋_GBK" w:cs="Times New Roman"/>
                <w:color w:val="auto"/>
              </w:rPr>
              <w:t>将进口食品的境外生产经营企业、国内进口企业等纳入海关信用管理体系，实施差别化监管，落实跨境电商零售进口监管政策，严防输入型食品安全风险。</w:t>
            </w:r>
          </w:p>
          <w:p w14:paraId="5F61BEA1">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bCs/>
                <w:color w:val="auto"/>
                <w:lang w:val="en-US"/>
              </w:rPr>
              <w:t>3.落实多双边国际合作信息通报机制、跨境检查执法协作机制,共同防控食品安全风险。</w:t>
            </w:r>
            <w:r>
              <w:rPr>
                <w:rFonts w:hint="default" w:ascii="Times New Roman" w:hAnsi="Times New Roman" w:eastAsia="方正仿宋_GBK" w:cs="Times New Roman"/>
                <w:color w:val="auto"/>
              </w:rPr>
              <w:t>严厉打击食品走私行为，针对重点地区、重点渠道粮食、冻品等走私活动开展研判分析，提高精准打击力度，坚决遏制该类走私高发势头。</w:t>
            </w:r>
          </w:p>
          <w:p w14:paraId="77B8D02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bCs/>
                <w:color w:val="auto"/>
                <w:lang w:val="en-US"/>
              </w:rPr>
              <w:t>4.严格进口冷链食品管理。</w:t>
            </w:r>
            <w:r>
              <w:rPr>
                <w:rFonts w:hint="default" w:ascii="Times New Roman" w:hAnsi="Times New Roman" w:eastAsia="方正仿宋_GBK" w:cs="Times New Roman"/>
                <w:color w:val="auto"/>
              </w:rPr>
              <w:t>推进进口冷链食品追溯平台应用，持续做好进口冷链食品检疫工作。</w:t>
            </w:r>
          </w:p>
          <w:p w14:paraId="1FB38EC7">
            <w:pPr>
              <w:pStyle w:val="2"/>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480" w:firstLineChars="200"/>
              <w:textAlignment w:val="auto"/>
              <w:rPr>
                <w:rFonts w:hint="eastAsia"/>
                <w:color w:val="auto"/>
              </w:rPr>
            </w:pPr>
            <w:r>
              <w:rPr>
                <w:rFonts w:hint="default" w:ascii="Times New Roman" w:hAnsi="Times New Roman" w:eastAsia="方正仿宋_GBK" w:cs="Times New Roman"/>
                <w:b w:val="0"/>
                <w:color w:val="auto"/>
                <w:kern w:val="0"/>
                <w:sz w:val="24"/>
                <w:szCs w:val="22"/>
                <w:lang w:val="en-US" w:eastAsia="zh-CN" w:bidi="ar"/>
              </w:rPr>
              <w:t>到2025年，全面落实海关总署建立的多双边国际合作信息通报机制、跨境检查执法协作机制</w:t>
            </w:r>
            <w:r>
              <w:rPr>
                <w:rFonts w:hint="eastAsia" w:ascii="Times New Roman" w:hAnsi="Times New Roman" w:eastAsia="方正仿宋_GBK" w:cs="Times New Roman"/>
                <w:b w:val="0"/>
                <w:color w:val="auto"/>
                <w:kern w:val="0"/>
                <w:sz w:val="24"/>
                <w:szCs w:val="22"/>
                <w:lang w:val="en-US" w:eastAsia="zh-CN" w:bidi="ar"/>
              </w:rPr>
              <w:t>，</w:t>
            </w:r>
            <w:r>
              <w:rPr>
                <w:rFonts w:hint="default" w:ascii="Times New Roman" w:hAnsi="Times New Roman" w:eastAsia="方正仿宋_GBK" w:cs="Times New Roman"/>
                <w:b w:val="0"/>
                <w:color w:val="auto"/>
                <w:kern w:val="0"/>
                <w:sz w:val="24"/>
                <w:szCs w:val="22"/>
                <w:lang w:val="en-US" w:eastAsia="zh-CN" w:bidi="ar"/>
              </w:rPr>
              <w:t>食品安全风险有效防控。</w:t>
            </w:r>
          </w:p>
        </w:tc>
      </w:tr>
    </w:tbl>
    <w:p w14:paraId="368B73A6">
      <w:pPr>
        <w:pageBreakBefore w:val="0"/>
        <w:kinsoku/>
        <w:wordWrap/>
        <w:overflowPunct/>
        <w:topLinePunct w:val="0"/>
        <w:autoSpaceDE/>
        <w:autoSpaceDN/>
        <w:bidi w:val="0"/>
        <w:adjustRightInd/>
        <w:snapToGrid/>
        <w:spacing w:line="580" w:lineRule="exact"/>
        <w:ind w:right="0" w:rightChars="0"/>
        <w:jc w:val="center"/>
        <w:textAlignment w:val="auto"/>
        <w:rPr>
          <w:rFonts w:hint="eastAsia" w:ascii="方正黑体_GBK" w:hAnsi="方正黑体_GBK" w:eastAsia="方正黑体_GBK" w:cs="方正黑体_GBK"/>
          <w:color w:val="auto"/>
          <w:sz w:val="32"/>
        </w:rPr>
      </w:pPr>
    </w:p>
    <w:p w14:paraId="1D55B0EA">
      <w:pPr>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rPr>
        <w:t>第五节</w:t>
      </w:r>
      <w:r>
        <w:rPr>
          <w:rFonts w:hint="eastAsia" w:ascii="方正黑体_GBK" w:hAnsi="方正黑体_GBK" w:eastAsia="方正黑体_GBK" w:cs="方正黑体_GBK"/>
          <w:color w:val="auto"/>
          <w:sz w:val="32"/>
          <w:lang w:val="en-US" w:eastAsia="zh-CN"/>
        </w:rPr>
        <w:t xml:space="preserve"> </w:t>
      </w:r>
      <w:r>
        <w:rPr>
          <w:rFonts w:hint="eastAsia" w:ascii="方正黑体_GBK" w:hAnsi="方正黑体_GBK" w:eastAsia="方正黑体_GBK" w:cs="方正黑体_GBK"/>
          <w:color w:val="auto"/>
          <w:sz w:val="32"/>
          <w:szCs w:val="32"/>
        </w:rPr>
        <w:t>全面落实生产经营者主体责任</w:t>
      </w:r>
      <w:bookmarkEnd w:id="188"/>
      <w:bookmarkEnd w:id="189"/>
      <w:bookmarkEnd w:id="190"/>
      <w:bookmarkEnd w:id="191"/>
      <w:bookmarkEnd w:id="192"/>
      <w:bookmarkEnd w:id="193"/>
      <w:bookmarkEnd w:id="194"/>
      <w:bookmarkEnd w:id="195"/>
      <w:bookmarkEnd w:id="196"/>
      <w:bookmarkEnd w:id="197"/>
      <w:bookmarkEnd w:id="198"/>
      <w:bookmarkEnd w:id="199"/>
    </w:p>
    <w:p w14:paraId="2BE13496">
      <w:pPr>
        <w:pStyle w:val="4"/>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宋体" w:hAnsi="宋体" w:eastAsia="方正仿宋_GBK" w:cs="方正仿宋_GBK"/>
          <w:color w:val="auto"/>
          <w:lang w:val="en-US"/>
        </w:rPr>
      </w:pPr>
      <w:bookmarkStart w:id="200" w:name="_Toc5711"/>
      <w:bookmarkStart w:id="201" w:name="_Toc16656"/>
      <w:bookmarkStart w:id="202" w:name="_Toc15868"/>
      <w:bookmarkStart w:id="203" w:name="_Toc66134844"/>
      <w:bookmarkStart w:id="204" w:name="_Toc66917138"/>
      <w:bookmarkStart w:id="205" w:name="_Toc17641"/>
      <w:bookmarkStart w:id="206" w:name="_Toc18987"/>
      <w:bookmarkStart w:id="207" w:name="_Toc9435"/>
      <w:bookmarkStart w:id="208" w:name="_Toc30139"/>
      <w:bookmarkStart w:id="209" w:name="_Toc12927"/>
      <w:bookmarkStart w:id="210" w:name="_Toc1834"/>
      <w:bookmarkStart w:id="211" w:name="_Toc26665"/>
    </w:p>
    <w:p w14:paraId="784FB190">
      <w:pPr>
        <w:pStyle w:val="4"/>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r>
        <w:rPr>
          <w:rFonts w:hint="eastAsia" w:ascii="方正黑体_GBK" w:hAnsi="方正黑体_GBK" w:eastAsia="方正黑体_GBK" w:cs="方正黑体_GBK"/>
          <w:b w:val="0"/>
          <w:bCs w:val="0"/>
          <w:color w:val="auto"/>
          <w:lang w:val="en-US" w:eastAsia="zh-CN"/>
        </w:rPr>
        <w:t>一、</w:t>
      </w:r>
      <w:r>
        <w:rPr>
          <w:rFonts w:hint="eastAsia" w:ascii="方正黑体_GBK" w:hAnsi="方正黑体_GBK" w:eastAsia="方正黑体_GBK" w:cs="方正黑体_GBK"/>
          <w:b w:val="0"/>
          <w:bCs w:val="0"/>
          <w:color w:val="auto"/>
          <w:lang w:val="en-US" w:eastAsia="zh-Hans"/>
        </w:rPr>
        <w:t>推进</w:t>
      </w:r>
      <w:r>
        <w:rPr>
          <w:rFonts w:hint="eastAsia" w:ascii="方正黑体_GBK" w:hAnsi="方正黑体_GBK" w:eastAsia="方正黑体_GBK" w:cs="方正黑体_GBK"/>
          <w:b w:val="0"/>
          <w:bCs w:val="0"/>
          <w:color w:val="auto"/>
          <w:lang w:val="en-US"/>
        </w:rPr>
        <w:t>落实质量安全管理责任</w:t>
      </w:r>
      <w:bookmarkEnd w:id="200"/>
      <w:bookmarkEnd w:id="201"/>
      <w:bookmarkEnd w:id="202"/>
      <w:bookmarkEnd w:id="203"/>
      <w:bookmarkEnd w:id="204"/>
      <w:bookmarkEnd w:id="205"/>
      <w:bookmarkEnd w:id="206"/>
      <w:bookmarkEnd w:id="207"/>
      <w:bookmarkEnd w:id="208"/>
      <w:bookmarkEnd w:id="209"/>
      <w:bookmarkEnd w:id="210"/>
      <w:bookmarkEnd w:id="211"/>
    </w:p>
    <w:p w14:paraId="450A04E2">
      <w:pPr>
        <w:pStyle w:val="6"/>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全面落实生产经营者食品安全第一责任人责任，配备食品质量安全管理人员，建立健全食品安全管理制度，确保生产经营过程持续合规。大型食品生产企业和食品安全风险高的企业，率先建立和实施危害分析和关键控制点体系。保健食品生产经营者要严格规范生产经营行为，确保产品功能声称真实。建立食品生产企业自查报告平台。</w:t>
      </w:r>
    </w:p>
    <w:p w14:paraId="6A762998">
      <w:pPr>
        <w:pStyle w:val="4"/>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bookmarkStart w:id="212" w:name="_Toc17298"/>
      <w:bookmarkStart w:id="213" w:name="_Toc27361"/>
      <w:bookmarkStart w:id="214" w:name="_Toc24642"/>
      <w:bookmarkStart w:id="215" w:name="_Toc1445"/>
      <w:bookmarkStart w:id="216" w:name="_Toc66134845"/>
      <w:bookmarkStart w:id="217" w:name="_Toc66917139"/>
      <w:bookmarkStart w:id="218" w:name="_Toc8778"/>
      <w:bookmarkStart w:id="219" w:name="_Toc8955"/>
      <w:bookmarkStart w:id="220" w:name="_Toc20270"/>
      <w:bookmarkStart w:id="221" w:name="_Toc31164"/>
      <w:bookmarkStart w:id="222" w:name="_Toc17173"/>
      <w:bookmarkStart w:id="223" w:name="_Toc17965"/>
      <w:r>
        <w:rPr>
          <w:rFonts w:hint="eastAsia" w:ascii="方正黑体_GBK" w:hAnsi="方正黑体_GBK" w:eastAsia="方正黑体_GBK" w:cs="方正黑体_GBK"/>
          <w:b w:val="0"/>
          <w:bCs w:val="0"/>
          <w:color w:val="auto"/>
          <w:lang w:val="en-US" w:eastAsia="zh-CN"/>
        </w:rPr>
        <w:t>二、</w:t>
      </w:r>
      <w:r>
        <w:rPr>
          <w:rFonts w:hint="eastAsia" w:ascii="方正黑体_GBK" w:hAnsi="方正黑体_GBK" w:eastAsia="方正黑体_GBK" w:cs="方正黑体_GBK"/>
          <w:b w:val="0"/>
          <w:bCs w:val="0"/>
          <w:color w:val="auto"/>
          <w:lang w:val="en-US" w:eastAsia="zh-Hans"/>
        </w:rPr>
        <w:t>完善</w:t>
      </w:r>
      <w:r>
        <w:rPr>
          <w:rFonts w:hint="eastAsia" w:ascii="方正黑体_GBK" w:hAnsi="方正黑体_GBK" w:eastAsia="方正黑体_GBK" w:cs="方正黑体_GBK"/>
          <w:b w:val="0"/>
          <w:bCs w:val="0"/>
          <w:color w:val="auto"/>
          <w:lang w:val="en-US"/>
        </w:rPr>
        <w:t>生产经营</w:t>
      </w:r>
      <w:r>
        <w:rPr>
          <w:rFonts w:hint="eastAsia" w:ascii="方正黑体_GBK" w:hAnsi="方正黑体_GBK" w:eastAsia="方正黑体_GBK" w:cs="方正黑体_GBK"/>
          <w:b w:val="0"/>
          <w:bCs w:val="0"/>
          <w:color w:val="auto"/>
          <w:lang w:val="en-US" w:eastAsia="zh-Hans"/>
        </w:rPr>
        <w:t>主体信用体系</w:t>
      </w:r>
      <w:bookmarkEnd w:id="212"/>
      <w:bookmarkEnd w:id="213"/>
      <w:bookmarkEnd w:id="214"/>
      <w:bookmarkEnd w:id="215"/>
      <w:bookmarkEnd w:id="216"/>
      <w:bookmarkEnd w:id="217"/>
      <w:bookmarkEnd w:id="218"/>
      <w:bookmarkEnd w:id="219"/>
      <w:bookmarkEnd w:id="220"/>
      <w:bookmarkEnd w:id="221"/>
      <w:bookmarkEnd w:id="222"/>
      <w:bookmarkEnd w:id="223"/>
    </w:p>
    <w:p w14:paraId="62C641CE">
      <w:pPr>
        <w:pStyle w:val="6"/>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建立食品生产经营企业信用档案，落实信用分级分类管理，建设食品工业企业诚信体系，推进“守信超市”“放心餐厅”“绿色健康餐厅”“放心食堂”等建设。</w:t>
      </w:r>
      <w:bookmarkStart w:id="224" w:name="_Toc66134846"/>
      <w:bookmarkStart w:id="225" w:name="_Toc66917140"/>
      <w:bookmarkStart w:id="226" w:name="_Toc25549"/>
      <w:r>
        <w:rPr>
          <w:rFonts w:hint="eastAsia" w:ascii="宋体" w:hAnsi="宋体" w:eastAsia="方正仿宋_GBK" w:cs="方正仿宋_GBK"/>
          <w:color w:val="auto"/>
          <w:sz w:val="32"/>
          <w:szCs w:val="32"/>
          <w:lang w:val="en-US" w:bidi="ar-SA"/>
        </w:rPr>
        <w:t>完善严重违法食品生产经营者和相关责任人员重点监管名单制度，将从业禁止、终身禁业人员信息及时推送至云南省信用信息共享平台和国家企业信用信息公示系统。</w:t>
      </w:r>
    </w:p>
    <w:p w14:paraId="51E37712">
      <w:pPr>
        <w:pStyle w:val="4"/>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bookmarkStart w:id="227" w:name="_Toc29615"/>
      <w:bookmarkStart w:id="228" w:name="_Toc2831"/>
      <w:bookmarkStart w:id="229" w:name="_Toc9591"/>
      <w:bookmarkStart w:id="230" w:name="_Toc5002"/>
      <w:bookmarkStart w:id="231" w:name="_Toc20846"/>
      <w:bookmarkStart w:id="232" w:name="_Toc1200"/>
      <w:bookmarkStart w:id="233" w:name="_Toc2985"/>
      <w:bookmarkStart w:id="234" w:name="_Toc18362"/>
      <w:bookmarkStart w:id="235" w:name="_Toc17553"/>
      <w:r>
        <w:rPr>
          <w:rFonts w:hint="eastAsia" w:ascii="方正黑体_GBK" w:hAnsi="方正黑体_GBK" w:eastAsia="方正黑体_GBK" w:cs="方正黑体_GBK"/>
          <w:b w:val="0"/>
          <w:bCs w:val="0"/>
          <w:color w:val="auto"/>
          <w:lang w:val="en-US" w:eastAsia="zh-CN"/>
        </w:rPr>
        <w:t>三、</w:t>
      </w:r>
      <w:r>
        <w:rPr>
          <w:rFonts w:hint="eastAsia" w:ascii="方正黑体_GBK" w:hAnsi="方正黑体_GBK" w:eastAsia="方正黑体_GBK" w:cs="方正黑体_GBK"/>
          <w:b w:val="0"/>
          <w:bCs w:val="0"/>
          <w:color w:val="auto"/>
          <w:lang w:val="en-US"/>
        </w:rPr>
        <w:t>推进食品安全追溯体系建设</w:t>
      </w:r>
      <w:bookmarkEnd w:id="224"/>
      <w:bookmarkEnd w:id="225"/>
      <w:bookmarkEnd w:id="226"/>
      <w:bookmarkEnd w:id="227"/>
      <w:bookmarkEnd w:id="228"/>
      <w:bookmarkEnd w:id="229"/>
      <w:bookmarkEnd w:id="230"/>
      <w:bookmarkEnd w:id="231"/>
      <w:bookmarkEnd w:id="232"/>
      <w:bookmarkEnd w:id="233"/>
      <w:bookmarkEnd w:id="234"/>
      <w:bookmarkEnd w:id="235"/>
    </w:p>
    <w:p w14:paraId="284086F4">
      <w:pPr>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bidi="en-US"/>
        </w:rPr>
      </w:pPr>
      <w:r>
        <w:rPr>
          <w:rFonts w:hint="eastAsia" w:ascii="宋体" w:hAnsi="宋体" w:eastAsia="方正仿宋_GBK" w:cs="方正仿宋_GBK"/>
          <w:color w:val="auto"/>
          <w:sz w:val="32"/>
          <w:szCs w:val="32"/>
          <w:lang w:val="en-US" w:eastAsia="zh-CN" w:bidi="en-US"/>
        </w:rPr>
        <w:t>配合</w:t>
      </w:r>
      <w:r>
        <w:rPr>
          <w:rFonts w:hint="eastAsia" w:ascii="宋体" w:hAnsi="宋体" w:eastAsia="方正仿宋_GBK" w:cs="方正仿宋_GBK"/>
          <w:color w:val="auto"/>
          <w:sz w:val="32"/>
          <w:szCs w:val="32"/>
          <w:lang w:val="en-US" w:bidi="en-US"/>
        </w:rPr>
        <w:t>建设云南省食品安全追溯信息系统，实现企业信息化追溯体系与食品安全监管系统、重要产品追溯管理平台对接。鼓励乳制品、白酒、食用植物油、茶叶等重点食品生产企业运用信息化手段，建立质量安全追溯体系。鼓励支持食用农产品生产经营者建立追溯体系。逐步推动追溯链条向食品经营环节延伸，实现主要食用农产品和主要食品信息可追溯。</w:t>
      </w:r>
    </w:p>
    <w:p w14:paraId="029A22C5">
      <w:pPr>
        <w:pStyle w:val="4"/>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eastAsia="zh-CN"/>
        </w:rPr>
      </w:pPr>
      <w:bookmarkStart w:id="236" w:name="_Toc27817"/>
      <w:bookmarkStart w:id="237" w:name="_Toc9134"/>
      <w:bookmarkStart w:id="238" w:name="_Toc2620"/>
      <w:bookmarkStart w:id="239" w:name="_Toc25058"/>
      <w:bookmarkStart w:id="240" w:name="_Toc66134847"/>
      <w:bookmarkStart w:id="241" w:name="_Toc10421"/>
      <w:bookmarkStart w:id="242" w:name="_Toc66917141"/>
      <w:bookmarkStart w:id="243" w:name="_Toc21448"/>
      <w:bookmarkStart w:id="244" w:name="_Toc5779"/>
      <w:bookmarkStart w:id="245" w:name="_Toc1496"/>
      <w:bookmarkStart w:id="246" w:name="_Toc28206"/>
      <w:bookmarkStart w:id="247" w:name="_Toc4022"/>
      <w:r>
        <w:rPr>
          <w:rFonts w:hint="eastAsia" w:ascii="方正黑体_GBK" w:hAnsi="方正黑体_GBK" w:eastAsia="方正黑体_GBK" w:cs="方正黑体_GBK"/>
          <w:b w:val="0"/>
          <w:bCs w:val="0"/>
          <w:color w:val="auto"/>
          <w:lang w:val="en-US" w:eastAsia="zh-CN"/>
        </w:rPr>
        <w:t>四、</w:t>
      </w:r>
      <w:r>
        <w:rPr>
          <w:rFonts w:hint="eastAsia" w:ascii="方正黑体_GBK" w:hAnsi="方正黑体_GBK" w:eastAsia="方正黑体_GBK" w:cs="方正黑体_GBK"/>
          <w:b w:val="0"/>
          <w:bCs w:val="0"/>
          <w:color w:val="auto"/>
          <w:lang w:val="en-US"/>
        </w:rPr>
        <w:t>推动</w:t>
      </w:r>
      <w:r>
        <w:rPr>
          <w:rFonts w:hint="eastAsia" w:ascii="方正黑体_GBK" w:hAnsi="方正黑体_GBK" w:eastAsia="方正黑体_GBK" w:cs="方正黑体_GBK"/>
          <w:b w:val="0"/>
          <w:bCs w:val="0"/>
          <w:color w:val="auto"/>
          <w:lang w:val="en-US" w:eastAsia="zh-Hans"/>
        </w:rPr>
        <w:t>建立食品安全责任保险</w:t>
      </w:r>
      <w:bookmarkEnd w:id="236"/>
      <w:bookmarkEnd w:id="237"/>
      <w:bookmarkEnd w:id="238"/>
      <w:bookmarkEnd w:id="239"/>
      <w:bookmarkEnd w:id="240"/>
      <w:bookmarkEnd w:id="241"/>
      <w:bookmarkEnd w:id="242"/>
      <w:bookmarkEnd w:id="243"/>
      <w:bookmarkEnd w:id="244"/>
      <w:bookmarkEnd w:id="245"/>
      <w:r>
        <w:rPr>
          <w:rFonts w:hint="eastAsia" w:ascii="方正黑体_GBK" w:hAnsi="方正黑体_GBK" w:eastAsia="方正黑体_GBK" w:cs="方正黑体_GBK"/>
          <w:b w:val="0"/>
          <w:bCs w:val="0"/>
          <w:color w:val="auto"/>
          <w:lang w:val="en-US"/>
        </w:rPr>
        <w:t>机制</w:t>
      </w:r>
      <w:bookmarkEnd w:id="246"/>
      <w:bookmarkEnd w:id="247"/>
    </w:p>
    <w:p w14:paraId="1F353E59">
      <w:pPr>
        <w:pStyle w:val="14"/>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加快建立食品安全责任保险机制，发挥保险的他律作用和风险分担功能。推进农产品种养单位、肉蛋奶和白酒生产企业、集体用餐单位、农村集体聚餐、大宗食品配送单位、中央厨房和配餐单位主动购买食品安全责任保险，鼓励有条件的中小企业要积极投保食品安全责任保险。</w:t>
      </w:r>
    </w:p>
    <w:p w14:paraId="5EACE72A">
      <w:pPr>
        <w:pStyle w:val="14"/>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 xml:space="preserve"> </w:t>
      </w:r>
    </w:p>
    <w:tbl>
      <w:tblPr>
        <w:tblStyle w:val="15"/>
        <w:tblW w:w="902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7"/>
      </w:tblGrid>
      <w:tr w14:paraId="4BC4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027" w:type="dxa"/>
            <w:vAlign w:val="top"/>
          </w:tcPr>
          <w:p w14:paraId="1E61E247">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方正仿宋_GBK" w:cs="方正仿宋_GBK"/>
                <w:color w:val="auto"/>
                <w:sz w:val="32"/>
                <w:szCs w:val="32"/>
                <w:lang w:val="en-US" w:bidi="ar-SA"/>
              </w:rPr>
            </w:pPr>
            <w:r>
              <w:rPr>
                <w:rFonts w:hint="eastAsia" w:ascii="宋体" w:hAnsi="宋体" w:eastAsia="方正黑体_GBK" w:cs="方正黑体_GBK"/>
                <w:bCs/>
                <w:color w:val="auto"/>
                <w:kern w:val="2"/>
                <w:sz w:val="28"/>
                <w:szCs w:val="28"/>
              </w:rPr>
              <w:t>重点工程专栏</w:t>
            </w:r>
            <w:r>
              <w:rPr>
                <w:rFonts w:hint="eastAsia" w:ascii="宋体" w:hAnsi="宋体" w:eastAsia="方正黑体_GBK" w:cs="方正黑体_GBK"/>
                <w:bCs/>
                <w:color w:val="auto"/>
                <w:kern w:val="2"/>
                <w:sz w:val="28"/>
                <w:szCs w:val="28"/>
                <w:lang w:val="en-US"/>
              </w:rPr>
              <w:t>2</w:t>
            </w:r>
            <w:r>
              <w:rPr>
                <w:rFonts w:hint="eastAsia" w:ascii="宋体" w:hAnsi="宋体" w:eastAsia="方正黑体_GBK" w:cs="方正黑体_GBK"/>
                <w:bCs/>
                <w:color w:val="auto"/>
                <w:kern w:val="2"/>
                <w:sz w:val="28"/>
                <w:szCs w:val="28"/>
              </w:rPr>
              <w:t>：实施云南省食品安全</w:t>
            </w:r>
            <w:r>
              <w:rPr>
                <w:rFonts w:hint="eastAsia" w:ascii="宋体" w:hAnsi="宋体" w:eastAsia="方正黑体_GBK" w:cs="方正黑体_GBK"/>
                <w:bCs/>
                <w:color w:val="auto"/>
                <w:kern w:val="2"/>
                <w:sz w:val="28"/>
                <w:szCs w:val="28"/>
                <w:lang w:val="en-US"/>
              </w:rPr>
              <w:t>追溯体系建设工程</w:t>
            </w:r>
          </w:p>
        </w:tc>
      </w:tr>
      <w:tr w14:paraId="3C47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7" w:type="dxa"/>
            <w:vAlign w:val="top"/>
          </w:tcPr>
          <w:p w14:paraId="516F90A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rPr>
              <w:t>1.深化“云智溯”建设和应用。</w:t>
            </w:r>
            <w:r>
              <w:rPr>
                <w:rFonts w:hint="default" w:ascii="Times New Roman" w:hAnsi="Times New Roman" w:eastAsia="方正仿宋_GBK" w:cs="Times New Roman"/>
                <w:b w:val="0"/>
                <w:bCs/>
                <w:color w:val="auto"/>
                <w:kern w:val="2"/>
                <w:sz w:val="24"/>
                <w:szCs w:val="24"/>
              </w:rPr>
              <w:t>推广应用省级食品安全信息追溯平台，</w:t>
            </w:r>
            <w:r>
              <w:rPr>
                <w:rFonts w:hint="default" w:ascii="Times New Roman" w:hAnsi="Times New Roman" w:eastAsia="方正仿宋_GBK" w:cs="Times New Roman"/>
                <w:bCs/>
                <w:color w:val="auto"/>
                <w:kern w:val="2"/>
                <w:sz w:val="24"/>
                <w:szCs w:val="24"/>
              </w:rPr>
              <w:t>积极引入社会力量，持续优化完善“云智溯”公众、企业、监管三端应用功能，推动形成以“云智溯”为核心的食品安全追溯体系。</w:t>
            </w:r>
          </w:p>
          <w:p w14:paraId="0CBF60B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rPr>
              <w:t>2.开展</w:t>
            </w:r>
            <w:r>
              <w:rPr>
                <w:rFonts w:hint="default" w:ascii="Times New Roman" w:hAnsi="Times New Roman" w:eastAsia="方正楷体_GBK" w:cs="Times New Roman"/>
                <w:bCs/>
                <w:color w:val="auto"/>
                <w:kern w:val="2"/>
                <w:sz w:val="24"/>
                <w:szCs w:val="24"/>
              </w:rPr>
              <w:t>食品安全追溯推广应用。</w:t>
            </w:r>
            <w:r>
              <w:rPr>
                <w:rFonts w:hint="default" w:ascii="Times New Roman" w:hAnsi="Times New Roman" w:eastAsia="方正仿宋_GBK" w:cs="Times New Roman"/>
                <w:bCs/>
                <w:color w:val="auto"/>
                <w:kern w:val="2"/>
                <w:sz w:val="24"/>
                <w:szCs w:val="24"/>
                <w:lang w:eastAsia="zh-CN"/>
              </w:rPr>
              <w:t>推广应用</w:t>
            </w:r>
            <w:r>
              <w:rPr>
                <w:rFonts w:hint="default" w:ascii="Times New Roman" w:hAnsi="Times New Roman" w:eastAsia="方正仿宋_GBK" w:cs="Times New Roman"/>
                <w:bCs/>
                <w:color w:val="auto"/>
                <w:kern w:val="2"/>
                <w:sz w:val="24"/>
                <w:szCs w:val="24"/>
              </w:rPr>
              <w:t>全省统一的食品安全信息追溯平台，引导食品生产经营者积极参与。</w:t>
            </w:r>
          </w:p>
          <w:p w14:paraId="2CA832F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rPr>
              <w:t>3.统一追溯编码标准，完善机制，共享数据。</w:t>
            </w:r>
            <w:r>
              <w:rPr>
                <w:rFonts w:hint="default" w:ascii="Times New Roman" w:hAnsi="Times New Roman" w:eastAsia="方正仿宋_GBK" w:cs="Times New Roman"/>
                <w:b w:val="0"/>
                <w:bCs/>
                <w:color w:val="auto"/>
                <w:kern w:val="2"/>
                <w:sz w:val="24"/>
                <w:szCs w:val="24"/>
              </w:rPr>
              <w:t>推广应用云南省食品安全电子追溯编码及标识载体地方标准，配合全省完成食品安全信息追溯平台对接，实现信息互联互通。</w:t>
            </w:r>
          </w:p>
          <w:p w14:paraId="076FFCC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rPr>
              <w:t>4.健全完善我</w:t>
            </w:r>
            <w:r>
              <w:rPr>
                <w:rFonts w:hint="default" w:ascii="Times New Roman" w:hAnsi="Times New Roman" w:eastAsia="方正楷体_GBK" w:cs="Times New Roman"/>
                <w:bCs/>
                <w:color w:val="auto"/>
                <w:kern w:val="2"/>
                <w:sz w:val="24"/>
                <w:szCs w:val="24"/>
                <w:lang w:val="en-US" w:eastAsia="zh-CN"/>
              </w:rPr>
              <w:t>州</w:t>
            </w:r>
            <w:r>
              <w:rPr>
                <w:rFonts w:hint="default" w:ascii="Times New Roman" w:hAnsi="Times New Roman" w:eastAsia="方正楷体_GBK" w:cs="Times New Roman"/>
                <w:bCs/>
                <w:color w:val="auto"/>
                <w:kern w:val="2"/>
                <w:sz w:val="24"/>
                <w:szCs w:val="24"/>
                <w:lang w:val="en-US"/>
              </w:rPr>
              <w:t>食品安全追溯法规制度。</w:t>
            </w:r>
            <w:r>
              <w:rPr>
                <w:rFonts w:hint="default" w:ascii="Times New Roman" w:hAnsi="Times New Roman" w:eastAsia="方正仿宋_GBK" w:cs="Times New Roman"/>
                <w:bCs/>
                <w:color w:val="auto"/>
                <w:kern w:val="2"/>
                <w:sz w:val="24"/>
                <w:szCs w:val="24"/>
              </w:rPr>
              <w:t>制定食品安全追溯管理制度规范等，加强食品安全追溯制度建设。各</w:t>
            </w:r>
            <w:r>
              <w:rPr>
                <w:rFonts w:hint="default" w:ascii="Times New Roman" w:hAnsi="Times New Roman" w:eastAsia="方正仿宋_GBK" w:cs="Times New Roman"/>
                <w:bCs/>
                <w:color w:val="auto"/>
                <w:kern w:val="2"/>
                <w:sz w:val="24"/>
                <w:szCs w:val="24"/>
                <w:lang w:eastAsia="zh-CN"/>
              </w:rPr>
              <w:t>县</w:t>
            </w:r>
            <w:r>
              <w:rPr>
                <w:rFonts w:hint="default" w:ascii="Times New Roman" w:hAnsi="Times New Roman" w:eastAsia="方正仿宋_GBK" w:cs="Times New Roman"/>
                <w:bCs/>
                <w:color w:val="auto"/>
                <w:kern w:val="2"/>
                <w:sz w:val="24"/>
                <w:szCs w:val="24"/>
              </w:rPr>
              <w:t>市、各有关部门结合地方实际和部门职责，出台实施本行政区域、本部门有关食品安全追溯制度，建立健全食品安全追溯制度体系。</w:t>
            </w:r>
          </w:p>
          <w:p w14:paraId="2828F12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eastAsia" w:ascii="宋体" w:hAnsi="宋体" w:eastAsia="方正仿宋_GBK" w:cs="方正仿宋_GBK"/>
                <w:bCs/>
                <w:color w:val="auto"/>
                <w:kern w:val="2"/>
                <w:lang w:val="en-US"/>
              </w:rPr>
            </w:pPr>
            <w:r>
              <w:rPr>
                <w:rFonts w:hint="default" w:ascii="Times New Roman" w:hAnsi="Times New Roman" w:eastAsia="方正仿宋_GBK" w:cs="Times New Roman"/>
                <w:bCs/>
                <w:color w:val="auto"/>
                <w:kern w:val="2"/>
                <w:lang w:val="en-US"/>
              </w:rPr>
              <w:t>到2025年</w:t>
            </w:r>
            <w:r>
              <w:rPr>
                <w:rFonts w:hint="default" w:ascii="Times New Roman" w:hAnsi="Times New Roman" w:eastAsia="方正仿宋_GBK" w:cs="Times New Roman"/>
                <w:bCs/>
                <w:color w:val="auto"/>
                <w:kern w:val="2"/>
              </w:rPr>
              <w:t>，规模以上食品生产企业主要食品品种追溯覆盖率达到</w:t>
            </w:r>
            <w:r>
              <w:rPr>
                <w:rFonts w:hint="default" w:ascii="Times New Roman" w:hAnsi="Times New Roman" w:eastAsia="方正仿宋_GBK" w:cs="Times New Roman"/>
                <w:bCs/>
                <w:color w:val="auto"/>
                <w:kern w:val="2"/>
                <w:lang w:val="en-US" w:eastAsia="zh-CN"/>
              </w:rPr>
              <w:t>80</w:t>
            </w:r>
            <w:r>
              <w:rPr>
                <w:rFonts w:hint="default" w:ascii="Times New Roman" w:hAnsi="Times New Roman" w:eastAsia="方正仿宋_GBK" w:cs="Times New Roman"/>
                <w:bCs/>
                <w:color w:val="auto"/>
                <w:kern w:val="2"/>
              </w:rPr>
              <w:t>%以上，绿色食品100%纳入可追溯体系。</w:t>
            </w:r>
          </w:p>
        </w:tc>
      </w:tr>
    </w:tbl>
    <w:p w14:paraId="738C3285">
      <w:pPr>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rPr>
          <w:rFonts w:hint="eastAsia" w:ascii="宋体" w:hAnsi="宋体" w:eastAsia="方正楷体_GBK" w:cs="方正楷体_GBK"/>
          <w:color w:val="auto"/>
          <w:sz w:val="32"/>
          <w:szCs w:val="32"/>
        </w:rPr>
      </w:pPr>
      <w:bookmarkStart w:id="248" w:name="_Toc32663"/>
    </w:p>
    <w:p w14:paraId="7C4899D5">
      <w:pPr>
        <w:pageBreakBefore w:val="0"/>
        <w:widowControl w:val="0"/>
        <w:kinsoku/>
        <w:wordWrap/>
        <w:overflowPunct/>
        <w:topLinePunct w:val="0"/>
        <w:autoSpaceDE/>
        <w:autoSpaceDN/>
        <w:bidi w:val="0"/>
        <w:adjustRightInd/>
        <w:snapToGrid/>
        <w:spacing w:line="560" w:lineRule="exact"/>
        <w:ind w:left="0" w:leftChars="0" w:right="0" w:rightChars="0"/>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fldChar w:fldCharType="begin"/>
      </w:r>
      <w:r>
        <w:rPr>
          <w:rFonts w:hint="eastAsia" w:ascii="方正黑体_GBK" w:hAnsi="方正黑体_GBK" w:eastAsia="方正黑体_GBK" w:cs="方正黑体_GBK"/>
          <w:color w:val="auto"/>
          <w:sz w:val="32"/>
          <w:szCs w:val="32"/>
        </w:rPr>
        <w:instrText xml:space="preserve"> HYPERLINK \l _Toc17203 </w:instrText>
      </w:r>
      <w:r>
        <w:rPr>
          <w:rFonts w:hint="eastAsia" w:ascii="方正黑体_GBK" w:hAnsi="方正黑体_GBK" w:eastAsia="方正黑体_GBK" w:cs="方正黑体_GBK"/>
          <w:color w:val="auto"/>
          <w:sz w:val="32"/>
          <w:szCs w:val="32"/>
        </w:rPr>
        <w:fldChar w:fldCharType="separate"/>
      </w:r>
      <w:r>
        <w:rPr>
          <w:rFonts w:hint="eastAsia" w:ascii="方正黑体_GBK" w:hAnsi="方正黑体_GBK" w:eastAsia="方正黑体_GBK" w:cs="方正黑体_GBK"/>
          <w:color w:val="auto"/>
          <w:sz w:val="32"/>
          <w:szCs w:val="32"/>
          <w:lang w:eastAsia="zh-CN"/>
        </w:rPr>
        <w:t>第六节</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严惩违法违规行为</w:t>
      </w:r>
      <w:r>
        <w:rPr>
          <w:rFonts w:hint="eastAsia" w:ascii="方正黑体_GBK" w:hAnsi="方正黑体_GBK" w:eastAsia="方正黑体_GBK" w:cs="方正黑体_GBK"/>
          <w:color w:val="auto"/>
          <w:sz w:val="32"/>
          <w:szCs w:val="32"/>
        </w:rPr>
        <w:fldChar w:fldCharType="end"/>
      </w:r>
      <w:bookmarkEnd w:id="248"/>
    </w:p>
    <w:p w14:paraId="637AD8FC">
      <w:pPr>
        <w:pStyle w:val="4"/>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rPr>
          <w:rFonts w:hint="eastAsia" w:ascii="方正黑体_GBK" w:hAnsi="方正黑体_GBK" w:eastAsia="方正黑体_GBK" w:cs="方正黑体_GBK"/>
          <w:b w:val="0"/>
          <w:bCs w:val="0"/>
          <w:color w:val="auto"/>
          <w:sz w:val="32"/>
          <w:szCs w:val="32"/>
          <w:lang w:val="en-US" w:bidi="ar-SA"/>
        </w:rPr>
      </w:pPr>
      <w:bookmarkStart w:id="249" w:name="_Toc13453"/>
      <w:r>
        <w:rPr>
          <w:rFonts w:hint="eastAsia" w:ascii="方正黑体_GBK" w:hAnsi="方正黑体_GBK" w:eastAsia="方正黑体_GBK" w:cs="方正黑体_GBK"/>
          <w:b w:val="0"/>
          <w:bCs w:val="0"/>
          <w:color w:val="auto"/>
          <w:lang w:eastAsia="zh-CN"/>
        </w:rPr>
        <w:t>一、</w:t>
      </w:r>
      <w:r>
        <w:rPr>
          <w:rFonts w:hint="eastAsia" w:ascii="方正黑体_GBK" w:hAnsi="方正黑体_GBK" w:eastAsia="方正黑体_GBK" w:cs="方正黑体_GBK"/>
          <w:b w:val="0"/>
          <w:bCs w:val="0"/>
          <w:color w:val="auto"/>
        </w:rPr>
        <w:t>严厉打击违法犯罪</w:t>
      </w:r>
      <w:bookmarkEnd w:id="249"/>
    </w:p>
    <w:p w14:paraId="389E3087">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宋体" w:hAnsi="宋体" w:eastAsia="方正仿宋_GBK" w:cs="方正仿宋_GBK"/>
          <w:color w:val="auto"/>
          <w:kern w:val="2"/>
          <w:sz w:val="32"/>
          <w:szCs w:val="32"/>
          <w:lang w:val="en-US" w:bidi="ar-SA"/>
        </w:rPr>
      </w:pPr>
      <w:r>
        <w:rPr>
          <w:rFonts w:hint="eastAsia" w:ascii="宋体" w:hAnsi="宋体" w:eastAsia="方正仿宋_GBK" w:cs="方正仿宋_GBK"/>
          <w:color w:val="auto"/>
          <w:kern w:val="2"/>
          <w:sz w:val="32"/>
          <w:szCs w:val="32"/>
          <w:lang w:val="en-US" w:bidi="ar-SA"/>
        </w:rPr>
        <w:t>持续保持严厉打击食品安全违法犯罪的高压态势，落实“处罚到人”要求，综合运用各种法律手段，对违法企业及其法定代表人、实际控制人、主要负责人等直接负责的主管人员和其他直接责任人员进行处罚，落实违法犯罪人员从业禁止、终身禁业等惩戒措施。严厉打击刑事犯罪，依法从重判罚情节严重、影响恶劣的危害食品安全刑事案件。</w:t>
      </w:r>
      <w:bookmarkStart w:id="250" w:name="_Toc22604"/>
      <w:bookmarkStart w:id="251" w:name="_Toc32624"/>
      <w:bookmarkStart w:id="252" w:name="_Toc30065"/>
      <w:bookmarkStart w:id="253" w:name="_Toc66134850"/>
      <w:bookmarkStart w:id="254" w:name="_Toc66917144"/>
      <w:bookmarkStart w:id="255" w:name="_Toc1593"/>
      <w:bookmarkStart w:id="256" w:name="_Toc8567"/>
      <w:bookmarkStart w:id="257" w:name="_Toc28219"/>
    </w:p>
    <w:p w14:paraId="2864CFBB">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方正黑体_GBK" w:hAnsi="方正黑体_GBK" w:eastAsia="方正黑体_GBK" w:cs="方正黑体_GBK"/>
          <w:b w:val="0"/>
          <w:bCs w:val="0"/>
          <w:color w:val="auto"/>
        </w:rPr>
      </w:pPr>
      <w:bookmarkStart w:id="258" w:name="_Toc17034"/>
      <w:bookmarkStart w:id="259" w:name="_Toc15237"/>
      <w:bookmarkStart w:id="260" w:name="_Toc23201"/>
      <w:bookmarkStart w:id="261" w:name="_Toc14728"/>
      <w:r>
        <w:rPr>
          <w:rFonts w:hint="eastAsia" w:ascii="方正黑体_GBK" w:hAnsi="方正黑体_GBK" w:eastAsia="方正黑体_GBK" w:cs="方正黑体_GBK"/>
          <w:b w:val="0"/>
          <w:bCs w:val="0"/>
          <w:color w:val="auto"/>
          <w:lang w:eastAsia="zh-CN"/>
        </w:rPr>
        <w:t>二、</w:t>
      </w:r>
      <w:r>
        <w:rPr>
          <w:rFonts w:hint="eastAsia" w:ascii="方正黑体_GBK" w:hAnsi="方正黑体_GBK" w:eastAsia="方正黑体_GBK" w:cs="方正黑体_GBK"/>
          <w:b w:val="0"/>
          <w:bCs w:val="0"/>
          <w:color w:val="auto"/>
        </w:rPr>
        <w:t>完善行刑衔接机制</w:t>
      </w:r>
      <w:bookmarkEnd w:id="250"/>
      <w:bookmarkEnd w:id="251"/>
      <w:bookmarkEnd w:id="252"/>
      <w:bookmarkEnd w:id="253"/>
      <w:bookmarkEnd w:id="254"/>
      <w:bookmarkEnd w:id="255"/>
      <w:bookmarkEnd w:id="256"/>
      <w:bookmarkEnd w:id="257"/>
      <w:bookmarkEnd w:id="258"/>
      <w:bookmarkEnd w:id="259"/>
      <w:bookmarkEnd w:id="260"/>
      <w:bookmarkEnd w:id="261"/>
    </w:p>
    <w:p w14:paraId="02852994">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ascii="宋体" w:hAnsi="宋体" w:eastAsia="方正仿宋_GBK" w:cs="方正仿宋_GBK"/>
          <w:color w:val="auto"/>
          <w:kern w:val="2"/>
          <w:sz w:val="32"/>
          <w:szCs w:val="32"/>
          <w:lang w:val="en-US" w:bidi="ar-SA"/>
        </w:rPr>
      </w:pPr>
      <w:r>
        <w:rPr>
          <w:rFonts w:hint="eastAsia" w:ascii="宋体" w:hAnsi="宋体" w:eastAsia="方正仿宋_GBK" w:cs="方正仿宋_GBK"/>
          <w:color w:val="auto"/>
          <w:kern w:val="2"/>
          <w:sz w:val="32"/>
          <w:szCs w:val="32"/>
          <w:lang w:val="en-US" w:bidi="ar-SA"/>
        </w:rPr>
        <w:t>健全行政执法与刑事司法衔接工作机制,进一步加大对食品领域违法犯罪行为打击力度,切实维护人民群众生命安全和身体健康。加强州、县</w:t>
      </w:r>
      <w:r>
        <w:rPr>
          <w:rFonts w:hint="eastAsia" w:ascii="宋体" w:hAnsi="宋体" w:eastAsia="方正仿宋_GBK" w:cs="方正仿宋_GBK"/>
          <w:color w:val="auto"/>
          <w:kern w:val="2"/>
          <w:sz w:val="32"/>
          <w:szCs w:val="32"/>
          <w:lang w:val="en-US" w:eastAsia="zh-CN" w:bidi="ar-SA"/>
        </w:rPr>
        <w:t>市两</w:t>
      </w:r>
      <w:r>
        <w:rPr>
          <w:rFonts w:hint="eastAsia" w:ascii="宋体" w:hAnsi="宋体" w:eastAsia="方正仿宋_GBK" w:cs="方正仿宋_GBK"/>
          <w:color w:val="auto"/>
          <w:kern w:val="2"/>
          <w:sz w:val="32"/>
          <w:szCs w:val="32"/>
          <w:lang w:val="en-US" w:bidi="ar-SA"/>
        </w:rPr>
        <w:t>级公安机关食品犯罪侦查机构建设,确保有关职责任务有机构承担。完善食品违法犯罪案件检验、鉴定和评估工作规范,建立行刑证据互认、证据转换工作机制,提高刑事责任追究效率,使食品领域违法犯罪严惩重处常态化。</w:t>
      </w:r>
    </w:p>
    <w:p w14:paraId="2513A4B3">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方正黑体_GBK" w:hAnsi="方正黑体_GBK" w:eastAsia="方正黑体_GBK" w:cs="方正黑体_GBK"/>
          <w:b w:val="0"/>
          <w:bCs w:val="0"/>
          <w:color w:val="auto"/>
          <w:lang w:val="en-US"/>
        </w:rPr>
      </w:pPr>
      <w:bookmarkStart w:id="262" w:name="_Toc13145"/>
      <w:bookmarkStart w:id="263" w:name="_Toc66134851"/>
      <w:bookmarkStart w:id="264" w:name="_Toc3209"/>
      <w:bookmarkStart w:id="265" w:name="_Toc27408"/>
      <w:bookmarkStart w:id="266" w:name="_Toc66917145"/>
      <w:bookmarkStart w:id="267" w:name="_Toc12084"/>
      <w:bookmarkStart w:id="268" w:name="_Toc9460"/>
      <w:bookmarkStart w:id="269" w:name="_Toc25775"/>
      <w:bookmarkStart w:id="270" w:name="_Toc18372"/>
      <w:bookmarkStart w:id="271" w:name="_Toc26049"/>
      <w:bookmarkStart w:id="272" w:name="_Toc30224"/>
      <w:bookmarkStart w:id="273" w:name="_Toc24754"/>
      <w:r>
        <w:rPr>
          <w:rFonts w:hint="eastAsia" w:ascii="方正黑体_GBK" w:hAnsi="方正黑体_GBK" w:eastAsia="方正黑体_GBK" w:cs="方正黑体_GBK"/>
          <w:b w:val="0"/>
          <w:bCs w:val="0"/>
          <w:color w:val="auto"/>
          <w:lang w:val="en-US" w:eastAsia="zh-CN"/>
        </w:rPr>
        <w:t>三、</w:t>
      </w:r>
      <w:r>
        <w:rPr>
          <w:rFonts w:hint="eastAsia" w:ascii="方正黑体_GBK" w:hAnsi="方正黑体_GBK" w:eastAsia="方正黑体_GBK" w:cs="方正黑体_GBK"/>
          <w:b w:val="0"/>
          <w:bCs w:val="0"/>
          <w:color w:val="auto"/>
          <w:lang w:val="en-US"/>
        </w:rPr>
        <w:t>强化信用联合惩戒</w:t>
      </w:r>
      <w:bookmarkEnd w:id="262"/>
      <w:bookmarkEnd w:id="263"/>
      <w:bookmarkEnd w:id="264"/>
      <w:bookmarkEnd w:id="265"/>
      <w:bookmarkEnd w:id="266"/>
      <w:bookmarkEnd w:id="267"/>
      <w:bookmarkEnd w:id="268"/>
      <w:bookmarkEnd w:id="269"/>
      <w:bookmarkEnd w:id="270"/>
      <w:bookmarkEnd w:id="271"/>
      <w:bookmarkEnd w:id="272"/>
      <w:bookmarkEnd w:id="273"/>
    </w:p>
    <w:p w14:paraId="4D9702F1">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宋体" w:hAnsi="宋体" w:eastAsia="方正仿宋_GBK" w:cs="方正仿宋_GBK"/>
          <w:color w:val="auto"/>
          <w:kern w:val="2"/>
          <w:sz w:val="32"/>
          <w:szCs w:val="32"/>
          <w:lang w:val="en-US" w:bidi="ar-SA"/>
        </w:rPr>
      </w:pPr>
      <w:r>
        <w:rPr>
          <w:rFonts w:hint="eastAsia" w:ascii="宋体" w:hAnsi="宋体" w:eastAsia="方正仿宋_GBK" w:cs="方正仿宋_GBK"/>
          <w:color w:val="auto"/>
          <w:kern w:val="2"/>
          <w:sz w:val="32"/>
          <w:szCs w:val="32"/>
          <w:lang w:val="en-US" w:bidi="ar-SA"/>
        </w:rPr>
        <w:t>建立食品生产经营严重失信联合惩戒制度，加大对严重失信人员联合惩戒力度，曝光违法违规企业，倒逼生产经营者落实主体责任。制定联合惩戒事项目录，规范联合惩戒工作流程，夯实信用监管机制。</w:t>
      </w:r>
    </w:p>
    <w:p w14:paraId="288BA2C7">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宋体" w:hAnsi="宋体" w:eastAsia="方正楷体_GBK" w:cs="方正楷体_GBK"/>
          <w:color w:val="auto"/>
          <w:sz w:val="32"/>
          <w:szCs w:val="32"/>
        </w:rPr>
      </w:pPr>
      <w:bookmarkStart w:id="274" w:name="_Toc672"/>
      <w:bookmarkStart w:id="275" w:name="_Toc28489"/>
      <w:bookmarkStart w:id="276" w:name="_Toc9325"/>
      <w:bookmarkStart w:id="277" w:name="_Toc17901"/>
      <w:bookmarkStart w:id="278" w:name="_Toc25986"/>
      <w:bookmarkStart w:id="279" w:name="_Toc66917146"/>
      <w:bookmarkStart w:id="280" w:name="_Toc27283"/>
      <w:bookmarkStart w:id="281" w:name="_Toc66134852"/>
      <w:bookmarkStart w:id="282" w:name="_Toc1890"/>
      <w:bookmarkStart w:id="283" w:name="_Toc11258"/>
      <w:bookmarkStart w:id="284" w:name="_Toc13644"/>
      <w:bookmarkStart w:id="285" w:name="_Toc9172"/>
    </w:p>
    <w:p w14:paraId="25B1315C">
      <w:pPr>
        <w:pageBreakBefore w:val="0"/>
        <w:widowControl w:val="0"/>
        <w:kinsoku/>
        <w:wordWrap/>
        <w:overflowPunct/>
        <w:topLinePunct w:val="0"/>
        <w:autoSpaceDE/>
        <w:autoSpaceDN/>
        <w:bidi w:val="0"/>
        <w:adjustRightInd/>
        <w:snapToGrid/>
        <w:spacing w:line="560" w:lineRule="exact"/>
        <w:ind w:left="0" w:leftChars="0" w:right="0" w:rightChars="0"/>
        <w:jc w:val="cente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第七节</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加强食品安全基层治理</w:t>
      </w:r>
      <w:bookmarkEnd w:id="274"/>
      <w:bookmarkEnd w:id="275"/>
      <w:bookmarkEnd w:id="276"/>
      <w:bookmarkEnd w:id="277"/>
      <w:bookmarkEnd w:id="278"/>
      <w:bookmarkEnd w:id="279"/>
      <w:bookmarkEnd w:id="280"/>
      <w:bookmarkEnd w:id="281"/>
      <w:bookmarkEnd w:id="282"/>
      <w:bookmarkEnd w:id="283"/>
      <w:bookmarkEnd w:id="284"/>
      <w:bookmarkEnd w:id="285"/>
      <w:bookmarkStart w:id="286" w:name="_Toc23422"/>
      <w:bookmarkStart w:id="287" w:name="_Toc25429"/>
      <w:bookmarkStart w:id="288" w:name="_Toc32533"/>
      <w:bookmarkStart w:id="289" w:name="_Toc30313"/>
      <w:bookmarkStart w:id="290" w:name="_Toc30939"/>
      <w:bookmarkStart w:id="291" w:name="_Toc2614"/>
      <w:bookmarkStart w:id="292" w:name="_Toc14356"/>
      <w:bookmarkStart w:id="293" w:name="_Toc24505"/>
      <w:bookmarkStart w:id="294" w:name="_Toc66134853"/>
      <w:bookmarkStart w:id="295" w:name="_Toc19963"/>
      <w:bookmarkStart w:id="296" w:name="_Toc66917147"/>
      <w:bookmarkStart w:id="297" w:name="_Toc27539"/>
    </w:p>
    <w:p w14:paraId="7D3E8A2D">
      <w:pPr>
        <w:pageBreakBefore w:val="0"/>
        <w:widowControl w:val="0"/>
        <w:kinsoku/>
        <w:wordWrap/>
        <w:overflowPunct/>
        <w:topLinePunct w:val="0"/>
        <w:autoSpaceDE/>
        <w:autoSpaceDN/>
        <w:bidi w:val="0"/>
        <w:adjustRightInd/>
        <w:snapToGrid/>
        <w:spacing w:line="560" w:lineRule="exact"/>
        <w:ind w:left="0" w:leftChars="0" w:right="0" w:rightChars="0" w:firstLine="442" w:firstLineChars="200"/>
        <w:jc w:val="both"/>
        <w:rPr>
          <w:rFonts w:hint="eastAsia" w:ascii="宋体" w:hAnsi="宋体" w:eastAsia="方正仿宋_GBK" w:cs="方正仿宋_GBK"/>
          <w:b/>
          <w:bCs/>
          <w:color w:val="auto"/>
          <w:lang w:val="en-US" w:eastAsia="zh-CN"/>
        </w:rPr>
      </w:pPr>
    </w:p>
    <w:p w14:paraId="777CDEAA">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lang w:val="en-US"/>
        </w:rPr>
        <w:t>加强基层监管能力建设</w:t>
      </w:r>
      <w:bookmarkEnd w:id="286"/>
      <w:bookmarkEnd w:id="287"/>
      <w:bookmarkEnd w:id="288"/>
      <w:bookmarkEnd w:id="289"/>
      <w:bookmarkEnd w:id="290"/>
      <w:bookmarkEnd w:id="291"/>
      <w:bookmarkEnd w:id="292"/>
      <w:bookmarkEnd w:id="293"/>
      <w:bookmarkEnd w:id="294"/>
      <w:bookmarkEnd w:id="295"/>
      <w:bookmarkEnd w:id="296"/>
      <w:bookmarkEnd w:id="297"/>
    </w:p>
    <w:p w14:paraId="50568107">
      <w:pPr>
        <w:pStyle w:val="14"/>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jc w:val="both"/>
        <w:textAlignment w:val="top"/>
        <w:rPr>
          <w:rFonts w:hint="eastAsia" w:eastAsia="方正仿宋_GBK" w:cs="方正仿宋_GBK"/>
          <w:bCs/>
          <w:color w:val="auto"/>
          <w:sz w:val="32"/>
          <w:szCs w:val="32"/>
          <w:lang w:val="en-US" w:bidi="ar-SA"/>
        </w:rPr>
      </w:pPr>
      <w:bookmarkStart w:id="298" w:name="_Toc8956"/>
      <w:bookmarkStart w:id="299" w:name="_Toc5859"/>
      <w:bookmarkStart w:id="300" w:name="_Toc6458"/>
      <w:bookmarkStart w:id="301" w:name="_Toc20125"/>
      <w:r>
        <w:rPr>
          <w:rFonts w:hint="eastAsia" w:ascii="宋体" w:hAnsi="宋体" w:eastAsia="方正仿宋_GBK" w:cs="方正仿宋_GBK"/>
          <w:bCs/>
          <w:color w:val="auto"/>
          <w:sz w:val="32"/>
          <w:szCs w:val="32"/>
          <w:lang w:val="en-US" w:bidi="ar-SA"/>
        </w:rPr>
        <w:t>落实属地管理责任，加强基层监管能力建设，确保办公用房、执法车辆、设施配备达到建设标准，能对业务受理、快速检验、样品存放、罚没物品存放等进行合理分区设置，办案经费和检验检测经费等各种办公经费满足监管需求。加强城市社区和农村专兼职食品安全信息员（协管员）队伍建设，完善经费保障机制。建立村级食品安全信息员兼任农产品质量安全信息员制度，把保障农产品质量安全作为重点任务。加强食品安全监管人才队伍建设，开展食品安全监管全员岗位培训。采取多种有效措施，鼓励人才向食品安全监管一线流动。</w:t>
      </w:r>
    </w:p>
    <w:p w14:paraId="2681625D">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eastAsia" w:ascii="方正黑体_GBK" w:hAnsi="方正黑体_GBK" w:eastAsia="方正黑体_GBK" w:cs="方正黑体_GBK"/>
          <w:b w:val="0"/>
          <w:bCs w:val="0"/>
          <w:color w:val="auto"/>
          <w:lang w:val="en-US"/>
        </w:rPr>
      </w:pPr>
      <w:r>
        <w:rPr>
          <w:rFonts w:hint="eastAsia" w:ascii="方正黑体_GBK" w:hAnsi="方正黑体_GBK" w:eastAsia="方正黑体_GBK" w:cs="方正黑体_GBK"/>
          <w:b w:val="0"/>
          <w:bCs w:val="0"/>
          <w:color w:val="auto"/>
          <w:lang w:val="en-US" w:eastAsia="zh-CN"/>
        </w:rPr>
        <w:t>二、</w:t>
      </w:r>
      <w:r>
        <w:rPr>
          <w:rFonts w:hint="eastAsia" w:ascii="方正黑体_GBK" w:hAnsi="方正黑体_GBK" w:eastAsia="方正黑体_GBK" w:cs="方正黑体_GBK"/>
          <w:b w:val="0"/>
          <w:bCs w:val="0"/>
          <w:color w:val="auto"/>
          <w:lang w:val="en-US"/>
        </w:rPr>
        <w:t>建立农村食品安全风险防范机制</w:t>
      </w:r>
      <w:bookmarkEnd w:id="298"/>
      <w:bookmarkEnd w:id="299"/>
      <w:bookmarkEnd w:id="300"/>
      <w:bookmarkEnd w:id="301"/>
    </w:p>
    <w:p w14:paraId="085347A4">
      <w:pPr>
        <w:pStyle w:val="14"/>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宋体" w:hAnsi="宋体" w:eastAsia="方正仿宋_GBK" w:cs="Times New Roman"/>
          <w:color w:val="auto"/>
          <w:sz w:val="32"/>
          <w:szCs w:val="32"/>
        </w:rPr>
      </w:pPr>
      <w:r>
        <w:rPr>
          <w:rFonts w:hint="eastAsia" w:ascii="宋体" w:hAnsi="宋体" w:eastAsia="方正仿宋_GBK" w:cs="方正仿宋_GBK"/>
          <w:color w:val="auto"/>
          <w:sz w:val="32"/>
          <w:szCs w:val="32"/>
          <w:lang w:val="en-US" w:bidi="ar-SA"/>
        </w:rPr>
        <w:t>制定加强农村食品安全风险防范工作措施。</w:t>
      </w:r>
      <w:r>
        <w:rPr>
          <w:rFonts w:hint="eastAsia" w:ascii="宋体" w:hAnsi="宋体" w:eastAsia="方正仿宋_GBK" w:cs="方正仿宋_GBK"/>
          <w:bCs/>
          <w:color w:val="auto"/>
          <w:sz w:val="32"/>
          <w:szCs w:val="32"/>
          <w:lang w:val="en-US" w:bidi="ar-SA"/>
        </w:rPr>
        <w:t>将农村食品安全纳入州、县</w:t>
      </w:r>
      <w:r>
        <w:rPr>
          <w:rFonts w:hint="eastAsia" w:eastAsia="方正仿宋_GBK" w:cs="方正仿宋_GBK"/>
          <w:bCs/>
          <w:color w:val="auto"/>
          <w:sz w:val="32"/>
          <w:szCs w:val="32"/>
          <w:lang w:val="en-US" w:eastAsia="zh-CN" w:bidi="ar-SA"/>
        </w:rPr>
        <w:t>市</w:t>
      </w:r>
      <w:r>
        <w:rPr>
          <w:rFonts w:hint="eastAsia" w:ascii="宋体" w:hAnsi="宋体" w:eastAsia="方正仿宋_GBK" w:cs="方正仿宋_GBK"/>
          <w:bCs/>
          <w:color w:val="auto"/>
          <w:sz w:val="32"/>
          <w:szCs w:val="32"/>
          <w:lang w:val="en-US" w:bidi="ar-SA"/>
        </w:rPr>
        <w:t>政府经济社会发展规划和公共安全体系，将农村食品安全治理工作列入重要议事日程，定期分析当地农村和城乡结合部食品安全状况、梳理食品安全风险隐患、研究应对措施，及时部署农村食品安全治理工作。重点规范农村食品经营者经营行为，督促销售者严格履行索证索票、进货查验义务，严厉查处销售过期食品、三无食品、商标侵权和仿冒食品等问题食品，不断督促农村食品经营者规范经营，净化农村食品市场环境。结合农村实际，加强宣传引导，严格小餐饮登记证的资格审查。加强农村集体聚餐、农家乐、民宿等农村餐饮食品安全管理，开展农村集体聚餐固定场所规范化建设，努力实现“村村有场所，安全有保障”。</w:t>
      </w:r>
      <w:r>
        <w:rPr>
          <w:rFonts w:hint="eastAsia" w:ascii="宋体" w:hAnsi="宋体" w:eastAsia="方正仿宋_GBK" w:cs="Times New Roman"/>
          <w:color w:val="auto"/>
          <w:sz w:val="32"/>
          <w:szCs w:val="32"/>
        </w:rPr>
        <w:t>加强</w:t>
      </w:r>
      <w:r>
        <w:rPr>
          <w:rFonts w:hint="eastAsia" w:ascii="宋体" w:hAnsi="宋体" w:eastAsia="方正仿宋_GBK" w:cs="Times New Roman"/>
          <w:color w:val="auto"/>
          <w:sz w:val="32"/>
          <w:szCs w:val="32"/>
          <w:lang w:val="en-US"/>
        </w:rPr>
        <w:t>农村地区食物中毒防控宣传教育，</w:t>
      </w:r>
      <w:r>
        <w:rPr>
          <w:rFonts w:ascii="宋体" w:hAnsi="宋体" w:eastAsia="方正仿宋_GBK" w:cs="Times New Roman"/>
          <w:color w:val="auto"/>
          <w:sz w:val="32"/>
          <w:szCs w:val="32"/>
        </w:rPr>
        <w:t>不断提高人民群众食品安全素养和自我防范意识</w:t>
      </w:r>
      <w:r>
        <w:rPr>
          <w:rFonts w:hint="eastAsia" w:ascii="宋体" w:hAnsi="宋体" w:eastAsia="方正仿宋_GBK" w:cs="Times New Roman"/>
          <w:color w:val="auto"/>
          <w:sz w:val="32"/>
          <w:szCs w:val="32"/>
        </w:rPr>
        <w:t>。</w:t>
      </w:r>
    </w:p>
    <w:p w14:paraId="36CFAC3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jc w:val="both"/>
        <w:textAlignment w:val="auto"/>
        <w:outlineLvl w:val="9"/>
        <w:rPr>
          <w:rFonts w:hint="eastAsia" w:ascii="宋体" w:hAnsi="宋体" w:eastAsia="方正仿宋_GBK" w:cs="Times New Roman"/>
          <w:color w:val="auto"/>
          <w:sz w:val="32"/>
          <w:szCs w:val="32"/>
          <w:lang w:val="en-US"/>
        </w:rPr>
      </w:pPr>
    </w:p>
    <w:tbl>
      <w:tblPr>
        <w:tblStyle w:val="15"/>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6"/>
      </w:tblGrid>
      <w:tr w14:paraId="0E28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636" w:type="dxa"/>
            <w:vAlign w:val="top"/>
          </w:tcPr>
          <w:p w14:paraId="29FF379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eastAsia="仿宋" w:cs="仿宋"/>
                <w:b/>
                <w:color w:val="auto"/>
                <w:kern w:val="2"/>
                <w:sz w:val="30"/>
                <w:szCs w:val="30"/>
                <w:lang w:val="en-US" w:bidi="ar-SA"/>
              </w:rPr>
            </w:pPr>
            <w:r>
              <w:rPr>
                <w:rFonts w:hint="eastAsia" w:ascii="宋体" w:hAnsi="宋体" w:eastAsia="方正黑体_GBK" w:cs="方正黑体_GBK"/>
                <w:bCs/>
                <w:color w:val="auto"/>
                <w:sz w:val="28"/>
                <w:szCs w:val="28"/>
              </w:rPr>
              <w:t>重点行动专栏8：实施农村假冒伪劣食品治理行动</w:t>
            </w:r>
          </w:p>
        </w:tc>
      </w:tr>
      <w:tr w14:paraId="6DD7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6" w:type="dxa"/>
            <w:vAlign w:val="top"/>
          </w:tcPr>
          <w:p w14:paraId="4B94C9E2">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shd w:val="clear" w:color="auto" w:fill="FFFFFF"/>
              </w:rPr>
            </w:pPr>
            <w:r>
              <w:rPr>
                <w:rFonts w:hint="default" w:ascii="Times New Roman" w:hAnsi="Times New Roman" w:eastAsia="方正楷体_GBK" w:cs="Times New Roman"/>
                <w:color w:val="auto"/>
                <w:sz w:val="24"/>
                <w:szCs w:val="24"/>
                <w:shd w:val="clear" w:color="auto" w:fill="FFFFFF"/>
                <w:lang w:val="en-US"/>
              </w:rPr>
              <w:t>1.</w:t>
            </w:r>
            <w:r>
              <w:rPr>
                <w:rFonts w:hint="default" w:ascii="Times New Roman" w:hAnsi="Times New Roman" w:eastAsia="方正楷体_GBK" w:cs="Times New Roman"/>
                <w:color w:val="auto"/>
                <w:sz w:val="24"/>
                <w:szCs w:val="24"/>
                <w:shd w:val="clear" w:color="auto" w:fill="FFFFFF"/>
              </w:rPr>
              <w:t>开展食品生产经营许可审查。</w:t>
            </w:r>
            <w:r>
              <w:rPr>
                <w:rFonts w:hint="default" w:ascii="Times New Roman" w:hAnsi="Times New Roman" w:eastAsia="仿宋" w:cs="Times New Roman"/>
                <w:color w:val="auto"/>
                <w:sz w:val="24"/>
                <w:szCs w:val="24"/>
                <w:shd w:val="clear" w:color="auto" w:fill="FFFFFF"/>
              </w:rPr>
              <w:t>严把食品生产经营许可关，依法依规办理</w:t>
            </w:r>
            <w:r>
              <w:rPr>
                <w:rFonts w:hint="default" w:ascii="Times New Roman" w:hAnsi="Times New Roman" w:eastAsia="仿宋" w:cs="Times New Roman"/>
                <w:color w:val="auto"/>
                <w:sz w:val="24"/>
                <w:szCs w:val="24"/>
                <w:shd w:val="clear" w:color="auto" w:fill="FFFFFF"/>
                <w:lang w:val="en-US"/>
              </w:rPr>
              <w:t>行政</w:t>
            </w:r>
            <w:r>
              <w:rPr>
                <w:rFonts w:hint="default" w:ascii="Times New Roman" w:hAnsi="Times New Roman" w:eastAsia="仿宋" w:cs="Times New Roman"/>
                <w:color w:val="auto"/>
                <w:sz w:val="24"/>
                <w:szCs w:val="24"/>
                <w:shd w:val="clear" w:color="auto" w:fill="FFFFFF"/>
              </w:rPr>
              <w:t>许可。</w:t>
            </w:r>
          </w:p>
          <w:p w14:paraId="354CDFE3">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shd w:val="clear" w:color="auto" w:fill="FFFFFF"/>
              </w:rPr>
            </w:pPr>
            <w:r>
              <w:rPr>
                <w:rFonts w:hint="default" w:ascii="Times New Roman" w:hAnsi="Times New Roman" w:eastAsia="方正楷体_GBK" w:cs="Times New Roman"/>
                <w:color w:val="auto"/>
                <w:sz w:val="24"/>
                <w:szCs w:val="24"/>
                <w:shd w:val="clear" w:color="auto" w:fill="FFFFFF"/>
                <w:lang w:val="en-US"/>
              </w:rPr>
              <w:t>2.开展农村食品市场食品安全规范化试点建设。</w:t>
            </w:r>
            <w:r>
              <w:rPr>
                <w:rFonts w:hint="default" w:ascii="Times New Roman" w:hAnsi="Times New Roman" w:eastAsia="仿宋" w:cs="Times New Roman"/>
                <w:color w:val="auto"/>
                <w:sz w:val="24"/>
                <w:szCs w:val="24"/>
                <w:shd w:val="clear" w:color="auto" w:fill="FFFFFF"/>
              </w:rPr>
              <w:t>打造食品销售规范化企业标杆，发挥示范带动效应，以示范促规范，积极构建食品流通源头安全保障体系。</w:t>
            </w:r>
          </w:p>
          <w:p w14:paraId="5B461164">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shd w:val="clear" w:color="auto" w:fill="FFFFFF"/>
              </w:rPr>
            </w:pPr>
            <w:r>
              <w:rPr>
                <w:rFonts w:hint="default" w:ascii="Times New Roman" w:hAnsi="Times New Roman" w:eastAsia="方正楷体_GBK" w:cs="Times New Roman"/>
                <w:color w:val="auto"/>
                <w:sz w:val="24"/>
                <w:szCs w:val="24"/>
                <w:shd w:val="clear" w:color="auto" w:fill="FFFFFF"/>
                <w:lang w:val="en-US"/>
              </w:rPr>
              <w:t>3.实施农村食品经营主体风险分级管理。</w:t>
            </w:r>
            <w:r>
              <w:rPr>
                <w:rFonts w:hint="default" w:ascii="Times New Roman" w:hAnsi="Times New Roman" w:eastAsia="仿宋" w:cs="Times New Roman"/>
                <w:color w:val="auto"/>
                <w:sz w:val="24"/>
                <w:szCs w:val="24"/>
                <w:shd w:val="clear" w:color="auto" w:fill="FFFFFF"/>
              </w:rPr>
              <w:t>根据风险等级的高低确定日常监督检查频次，并公示检查结果，提升监管的针对性和有效性。</w:t>
            </w:r>
          </w:p>
          <w:p w14:paraId="1DA8B7B3">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shd w:val="clear" w:color="auto" w:fill="FFFFFF"/>
              </w:rPr>
            </w:pPr>
            <w:r>
              <w:rPr>
                <w:rFonts w:hint="default" w:ascii="Times New Roman" w:hAnsi="Times New Roman" w:eastAsia="方正楷体_GBK" w:cs="Times New Roman"/>
                <w:color w:val="auto"/>
                <w:sz w:val="24"/>
                <w:szCs w:val="24"/>
                <w:shd w:val="clear" w:color="auto" w:fill="FFFFFF"/>
                <w:lang w:val="en-US"/>
              </w:rPr>
              <w:t>4.深入开展农村假冒伪劣食品共治行动。</w:t>
            </w:r>
            <w:r>
              <w:rPr>
                <w:rFonts w:hint="default" w:ascii="Times New Roman" w:hAnsi="Times New Roman" w:eastAsia="仿宋" w:cs="Times New Roman"/>
                <w:color w:val="auto"/>
                <w:sz w:val="24"/>
                <w:szCs w:val="24"/>
                <w:shd w:val="clear" w:color="auto" w:fill="FFFFFF"/>
              </w:rPr>
              <w:t>切实规范农村食品市场秩序，全面净化农村食品市场。构建乡镇联动监管网络，压实乡镇食品安全属地管理责任。严厉打击农村生产经营假冒伪劣食品的违法行为。</w:t>
            </w:r>
          </w:p>
          <w:p w14:paraId="61D38437">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480" w:firstLineChars="200"/>
              <w:jc w:val="both"/>
              <w:textAlignment w:val="auto"/>
              <w:outlineLvl w:val="9"/>
              <w:rPr>
                <w:rFonts w:hint="default" w:ascii="Times New Roman" w:hAnsi="Times New Roman" w:eastAsia="方正楷体_GBK" w:cs="Times New Roman"/>
                <w:color w:val="auto"/>
                <w:sz w:val="24"/>
                <w:szCs w:val="24"/>
                <w:shd w:val="clear" w:color="auto" w:fill="FFFFFF"/>
                <w:lang w:val="en-US"/>
              </w:rPr>
            </w:pPr>
            <w:r>
              <w:rPr>
                <w:rFonts w:hint="default" w:ascii="Times New Roman" w:hAnsi="Times New Roman" w:eastAsia="方正楷体_GBK" w:cs="Times New Roman"/>
                <w:color w:val="auto"/>
                <w:sz w:val="24"/>
                <w:szCs w:val="24"/>
                <w:shd w:val="clear" w:color="auto" w:fill="FFFFFF"/>
                <w:lang w:val="en-US"/>
              </w:rPr>
              <w:t>5.开展食品安全知识和法律法规宣传，增强守法生产经营和安全消费意识。</w:t>
            </w:r>
          </w:p>
          <w:p w14:paraId="22059089">
            <w:pPr>
              <w:keepNext w:val="0"/>
              <w:keepLines w:val="0"/>
              <w:pageBreakBefore w:val="0"/>
              <w:widowControl w:val="0"/>
              <w:kinsoku/>
              <w:wordWrap/>
              <w:overflowPunct/>
              <w:topLinePunct w:val="0"/>
              <w:autoSpaceDE/>
              <w:autoSpaceDN/>
              <w:bidi w:val="0"/>
              <w:adjustRightInd w:val="0"/>
              <w:snapToGrid/>
              <w:spacing w:line="300" w:lineRule="exact"/>
              <w:ind w:left="0" w:leftChars="0" w:right="0" w:rightChars="0" w:firstLine="480" w:firstLineChars="200"/>
              <w:jc w:val="both"/>
              <w:textAlignment w:val="auto"/>
              <w:outlineLvl w:val="9"/>
              <w:rPr>
                <w:rFonts w:ascii="宋体" w:hAnsi="宋体"/>
                <w:color w:val="auto"/>
              </w:rPr>
            </w:pPr>
            <w:r>
              <w:rPr>
                <w:rFonts w:hint="default" w:ascii="Times New Roman" w:hAnsi="Times New Roman" w:eastAsia="仿宋" w:cs="Times New Roman"/>
                <w:color w:val="auto"/>
                <w:sz w:val="24"/>
                <w:szCs w:val="24"/>
                <w:shd w:val="clear" w:color="auto" w:fill="FFFFFF"/>
              </w:rPr>
              <w:t>到2025年，全</w:t>
            </w:r>
            <w:r>
              <w:rPr>
                <w:rFonts w:hint="default" w:ascii="Times New Roman" w:hAnsi="Times New Roman" w:eastAsia="仿宋" w:cs="Times New Roman"/>
                <w:color w:val="auto"/>
                <w:sz w:val="24"/>
                <w:szCs w:val="24"/>
                <w:shd w:val="clear" w:color="auto" w:fill="FFFFFF"/>
                <w:lang w:eastAsia="zh-CN"/>
              </w:rPr>
              <w:t>州</w:t>
            </w:r>
            <w:r>
              <w:rPr>
                <w:rFonts w:hint="default" w:ascii="Times New Roman" w:hAnsi="Times New Roman" w:eastAsia="仿宋" w:cs="Times New Roman"/>
                <w:color w:val="auto"/>
                <w:sz w:val="24"/>
                <w:szCs w:val="24"/>
                <w:shd w:val="clear" w:color="auto" w:fill="FFFFFF"/>
              </w:rPr>
              <w:t>农村假冒伪劣食品问题得到有效改善，农村群众食品安全满意度和幸福感有效提升；建立规范的农村食品流通供应体系，净化农村消费市场，提高农村食品安全保障水平。</w:t>
            </w:r>
          </w:p>
        </w:tc>
      </w:tr>
    </w:tbl>
    <w:tbl>
      <w:tblPr>
        <w:tblStyle w:val="15"/>
        <w:tblpPr w:leftFromText="180" w:rightFromText="180" w:vertAnchor="text" w:horzAnchor="page" w:tblpX="1809" w:tblpY="614"/>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221D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647" w:type="dxa"/>
            <w:vAlign w:val="top"/>
          </w:tcPr>
          <w:p w14:paraId="3E5A23F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ascii="宋体" w:hAnsi="宋体" w:eastAsia="仿宋" w:cs="仿宋"/>
                <w:color w:val="auto"/>
                <w:kern w:val="2"/>
                <w:sz w:val="30"/>
                <w:szCs w:val="30"/>
              </w:rPr>
            </w:pPr>
            <w:r>
              <w:rPr>
                <w:rFonts w:hint="eastAsia" w:ascii="宋体" w:hAnsi="宋体" w:eastAsia="方正黑体_GBK" w:cs="方正黑体_GBK"/>
                <w:bCs/>
                <w:color w:val="auto"/>
                <w:kern w:val="2"/>
                <w:sz w:val="28"/>
                <w:szCs w:val="28"/>
              </w:rPr>
              <w:t>重点工程专栏</w:t>
            </w:r>
            <w:r>
              <w:rPr>
                <w:rFonts w:hint="eastAsia" w:ascii="宋体" w:hAnsi="宋体" w:eastAsia="方正黑体_GBK" w:cs="方正黑体_GBK"/>
                <w:bCs/>
                <w:color w:val="auto"/>
                <w:kern w:val="2"/>
                <w:sz w:val="28"/>
                <w:szCs w:val="28"/>
                <w:lang w:val="en-US"/>
              </w:rPr>
              <w:t>3</w:t>
            </w:r>
            <w:r>
              <w:rPr>
                <w:rFonts w:hint="eastAsia" w:ascii="宋体" w:hAnsi="宋体" w:eastAsia="方正黑体_GBK" w:cs="方正黑体_GBK"/>
                <w:bCs/>
                <w:color w:val="auto"/>
                <w:kern w:val="2"/>
                <w:sz w:val="28"/>
                <w:szCs w:val="28"/>
              </w:rPr>
              <w:t>：实施基层监管能力提升工程</w:t>
            </w:r>
          </w:p>
        </w:tc>
      </w:tr>
      <w:tr w14:paraId="2048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vAlign w:val="top"/>
          </w:tcPr>
          <w:p w14:paraId="4F3D29D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方正楷体_GBK" w:cs="Times New Roman"/>
                <w:color w:val="auto"/>
                <w:sz w:val="24"/>
                <w:szCs w:val="24"/>
                <w:lang w:val="en-US"/>
              </w:rPr>
              <w:t>1.加强</w:t>
            </w:r>
            <w:r>
              <w:rPr>
                <w:rFonts w:hint="default" w:ascii="Times New Roman" w:hAnsi="Times New Roman" w:eastAsia="方正楷体_GBK" w:cs="Times New Roman"/>
                <w:color w:val="auto"/>
                <w:sz w:val="24"/>
                <w:szCs w:val="24"/>
              </w:rPr>
              <w:t>业务用房标准化建设。</w:t>
            </w:r>
            <w:r>
              <w:rPr>
                <w:rFonts w:hint="default" w:ascii="Times New Roman" w:hAnsi="Times New Roman" w:eastAsia="仿宋" w:cs="Times New Roman"/>
                <w:color w:val="auto"/>
                <w:sz w:val="24"/>
                <w:szCs w:val="24"/>
              </w:rPr>
              <w:t>加强监管所执法装备库、罚没物品库、执法处理室、执法档案室、快检室、办事窗口、培训室、信息化室、值班室标准化建设，统一外观和功能设置。到</w:t>
            </w:r>
            <w:r>
              <w:rPr>
                <w:rFonts w:hint="default" w:ascii="Times New Roman" w:hAnsi="Times New Roman" w:eastAsia="仿宋" w:cs="Times New Roman"/>
                <w:color w:val="auto"/>
                <w:sz w:val="24"/>
                <w:szCs w:val="24"/>
                <w:lang w:val="en-US"/>
              </w:rPr>
              <w:t>2025年</w:t>
            </w:r>
            <w:r>
              <w:rPr>
                <w:rFonts w:hint="default" w:ascii="Times New Roman" w:hAnsi="Times New Roman" w:eastAsia="仿宋" w:cs="Times New Roman"/>
                <w:color w:val="auto"/>
                <w:sz w:val="24"/>
                <w:szCs w:val="24"/>
              </w:rPr>
              <w:t>，业务用房达标率达到100%。</w:t>
            </w:r>
          </w:p>
          <w:p w14:paraId="209A187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方正楷体_GBK" w:cs="Times New Roman"/>
                <w:color w:val="auto"/>
                <w:sz w:val="24"/>
                <w:szCs w:val="24"/>
                <w:lang w:val="en-US"/>
              </w:rPr>
              <w:t>2.加强装备标准化建设。</w:t>
            </w:r>
            <w:r>
              <w:rPr>
                <w:rFonts w:hint="default" w:ascii="Times New Roman" w:hAnsi="Times New Roman" w:eastAsia="仿宋" w:cs="Times New Roman"/>
                <w:color w:val="auto"/>
                <w:sz w:val="24"/>
                <w:szCs w:val="24"/>
              </w:rPr>
              <w:t>按照国家相关标准要求，加强县级监管机构及监管所的办公设备、执法装备、检验检测设备、执法车辆的标准化建设。推进县级和乡镇派出机构配备快检车、快检设备或建设快检室。到</w:t>
            </w:r>
            <w:r>
              <w:rPr>
                <w:rFonts w:hint="default" w:ascii="Times New Roman" w:hAnsi="Times New Roman" w:eastAsia="仿宋" w:cs="Times New Roman"/>
                <w:color w:val="auto"/>
                <w:sz w:val="24"/>
                <w:szCs w:val="24"/>
                <w:lang w:val="en-US"/>
              </w:rPr>
              <w:t>2025年</w:t>
            </w:r>
            <w:r>
              <w:rPr>
                <w:rFonts w:hint="default" w:ascii="Times New Roman" w:hAnsi="Times New Roman" w:eastAsia="仿宋" w:cs="Times New Roman"/>
                <w:color w:val="auto"/>
                <w:sz w:val="24"/>
                <w:szCs w:val="24"/>
              </w:rPr>
              <w:t>，基层机构执法装备标准化配备率达到100%。</w:t>
            </w:r>
          </w:p>
          <w:p w14:paraId="1CC95718">
            <w:pPr>
              <w:pStyle w:val="13"/>
              <w:keepNext w:val="0"/>
              <w:keepLines w:val="0"/>
              <w:pageBreakBefore w:val="0"/>
              <w:kinsoku/>
              <w:wordWrap/>
              <w:overflowPunct/>
              <w:topLinePunct w:val="0"/>
              <w:autoSpaceDE/>
              <w:autoSpaceDN/>
              <w:bidi w:val="0"/>
              <w:adjustRightInd/>
              <w:snapToGrid/>
              <w:spacing w:after="0" w:line="300" w:lineRule="exact"/>
              <w:ind w:left="0" w:leftChars="0" w:right="0" w:rightChars="0" w:firstLine="480" w:firstLineChars="200"/>
              <w:jc w:val="both"/>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方正楷体_GBK" w:cs="Times New Roman"/>
                <w:color w:val="auto"/>
                <w:sz w:val="24"/>
                <w:szCs w:val="24"/>
                <w:lang w:val="en-US"/>
              </w:rPr>
              <w:t>3.规范工作制度。</w:t>
            </w:r>
            <w:r>
              <w:rPr>
                <w:rFonts w:hint="default" w:ascii="Times New Roman" w:hAnsi="Times New Roman" w:eastAsia="仿宋" w:cs="Times New Roman"/>
                <w:color w:val="auto"/>
                <w:sz w:val="24"/>
                <w:szCs w:val="24"/>
              </w:rPr>
              <w:t>科学设置基层监管机构工作职责，制定实施行政许可、行政执法、绩效考核、财务管理、廉政建设等制度，推动监管执法规范化、程序化。</w:t>
            </w:r>
          </w:p>
          <w:p w14:paraId="22E6BB97">
            <w:pPr>
              <w:pStyle w:val="13"/>
              <w:keepNext w:val="0"/>
              <w:keepLines w:val="0"/>
              <w:pageBreakBefore w:val="0"/>
              <w:kinsoku/>
              <w:wordWrap/>
              <w:overflowPunct/>
              <w:topLinePunct w:val="0"/>
              <w:autoSpaceDE/>
              <w:autoSpaceDN/>
              <w:bidi w:val="0"/>
              <w:adjustRightInd/>
              <w:snapToGrid/>
              <w:spacing w:after="0" w:line="300" w:lineRule="exact"/>
              <w:ind w:left="0" w:leftChars="0" w:right="0" w:rightChars="0" w:firstLine="480" w:firstLineChars="200"/>
              <w:jc w:val="both"/>
              <w:textAlignment w:val="auto"/>
              <w:outlineLvl w:val="9"/>
              <w:rPr>
                <w:rFonts w:ascii="宋体" w:hAnsi="宋体" w:eastAsia="仿宋" w:cs="仿宋"/>
                <w:color w:val="auto"/>
                <w:kern w:val="2"/>
                <w:sz w:val="24"/>
                <w:szCs w:val="24"/>
                <w:lang w:val="en-US"/>
              </w:rPr>
            </w:pPr>
            <w:r>
              <w:rPr>
                <w:rFonts w:hint="default" w:ascii="Times New Roman" w:hAnsi="Times New Roman" w:eastAsia="方正楷体_GBK" w:cs="Times New Roman"/>
                <w:color w:val="auto"/>
                <w:sz w:val="24"/>
                <w:szCs w:val="24"/>
                <w:lang w:val="en-US"/>
              </w:rPr>
              <w:t>4.</w:t>
            </w:r>
            <w:r>
              <w:rPr>
                <w:rFonts w:hint="default" w:ascii="Times New Roman" w:hAnsi="Times New Roman" w:eastAsia="方正楷体_GBK" w:cs="Times New Roman"/>
                <w:color w:val="auto"/>
                <w:sz w:val="24"/>
                <w:szCs w:val="24"/>
                <w:lang w:val="en-US" w:bidi="ar-SA"/>
              </w:rPr>
              <w:t>加强基层执法队伍建设。</w:t>
            </w:r>
            <w:r>
              <w:rPr>
                <w:rFonts w:hint="default" w:ascii="Times New Roman" w:hAnsi="Times New Roman" w:eastAsia="仿宋" w:cs="Times New Roman"/>
                <w:color w:val="auto"/>
                <w:sz w:val="24"/>
                <w:szCs w:val="24"/>
                <w:lang w:val="en-US" w:bidi="ar-SA"/>
              </w:rPr>
              <w:t>建立一支与食品安全监管实际相适应的专业化职业化检查队伍，食品安全监管人员专业化培训时间人均不低于40学时/年，新入职人员规范化培训时间人均不低于90学时。加强公安机关食品安全犯罪侦查力量，完善执法装备设施，达到相应建设标准，提高侦查专业水平。</w:t>
            </w:r>
          </w:p>
        </w:tc>
      </w:tr>
    </w:tbl>
    <w:p w14:paraId="0E0F8850">
      <w:pPr>
        <w:pageBreakBefore w:val="0"/>
        <w:kinsoku/>
        <w:wordWrap/>
        <w:overflowPunct/>
        <w:topLinePunct w:val="0"/>
        <w:autoSpaceDE/>
        <w:autoSpaceDN/>
        <w:bidi w:val="0"/>
        <w:adjustRightInd/>
        <w:snapToGrid/>
        <w:spacing w:line="580" w:lineRule="exact"/>
        <w:ind w:right="0" w:rightChars="0"/>
        <w:jc w:val="center"/>
        <w:textAlignment w:val="auto"/>
        <w:rPr>
          <w:rFonts w:hint="eastAsia" w:ascii="方正黑体_GBK" w:hAnsi="方正黑体_GBK" w:eastAsia="方正黑体_GBK" w:cs="方正黑体_GBK"/>
          <w:color w:val="auto"/>
          <w:sz w:val="32"/>
          <w:szCs w:val="32"/>
          <w:lang w:eastAsia="zh-CN"/>
        </w:rPr>
      </w:pPr>
      <w:bookmarkStart w:id="302" w:name="_Toc6008"/>
      <w:bookmarkStart w:id="303" w:name="_Toc31511"/>
      <w:bookmarkStart w:id="304" w:name="_Toc19243"/>
      <w:bookmarkStart w:id="305" w:name="_Toc66917149"/>
      <w:bookmarkStart w:id="306" w:name="_Toc30898"/>
      <w:bookmarkStart w:id="307" w:name="_Toc17130"/>
      <w:bookmarkStart w:id="308" w:name="_Toc19615"/>
      <w:bookmarkStart w:id="309" w:name="_Toc10849"/>
      <w:bookmarkStart w:id="310" w:name="_Toc10528"/>
      <w:bookmarkStart w:id="311" w:name="_Toc11393"/>
      <w:bookmarkStart w:id="312" w:name="_Toc21492"/>
      <w:bookmarkStart w:id="313" w:name="_Toc66134855"/>
    </w:p>
    <w:p w14:paraId="3928185B">
      <w:pPr>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color w:val="auto"/>
          <w:sz w:val="32"/>
          <w:szCs w:val="32"/>
          <w:lang w:eastAsia="zh-CN"/>
        </w:rPr>
      </w:pPr>
    </w:p>
    <w:p w14:paraId="245E1637">
      <w:pPr>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color w:val="auto"/>
          <w:sz w:val="32"/>
          <w:szCs w:val="32"/>
          <w:lang w:eastAsia="zh-CN"/>
        </w:rPr>
      </w:pPr>
    </w:p>
    <w:p w14:paraId="400671C7">
      <w:pPr>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color w:val="auto"/>
          <w:sz w:val="32"/>
          <w:szCs w:val="32"/>
          <w:lang w:eastAsia="zh-CN"/>
        </w:rPr>
      </w:pPr>
    </w:p>
    <w:p w14:paraId="6869CB8E">
      <w:pPr>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第八节</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全面推进“互联网+食品”监管</w:t>
      </w:r>
      <w:bookmarkEnd w:id="302"/>
      <w:bookmarkEnd w:id="303"/>
      <w:bookmarkEnd w:id="304"/>
      <w:bookmarkEnd w:id="305"/>
      <w:bookmarkEnd w:id="306"/>
      <w:bookmarkEnd w:id="307"/>
      <w:bookmarkEnd w:id="308"/>
      <w:bookmarkEnd w:id="309"/>
      <w:bookmarkEnd w:id="310"/>
      <w:bookmarkEnd w:id="311"/>
      <w:bookmarkEnd w:id="312"/>
      <w:bookmarkEnd w:id="313"/>
    </w:p>
    <w:p w14:paraId="68609AF5">
      <w:pPr>
        <w:pStyle w:val="4"/>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宋体" w:hAnsi="宋体" w:eastAsia="方正仿宋_GBK" w:cs="方正仿宋_GBK"/>
          <w:color w:val="auto"/>
          <w:lang w:val="en-US" w:eastAsia="zh-CN"/>
        </w:rPr>
      </w:pPr>
      <w:bookmarkStart w:id="314" w:name="_Toc32595"/>
      <w:bookmarkStart w:id="315" w:name="_Toc15187"/>
      <w:bookmarkStart w:id="316" w:name="_Toc20897"/>
      <w:bookmarkStart w:id="317" w:name="_Toc11443"/>
      <w:bookmarkStart w:id="318" w:name="_Toc26890"/>
      <w:bookmarkStart w:id="319" w:name="_Toc16927"/>
      <w:bookmarkStart w:id="320" w:name="_Toc7689"/>
      <w:bookmarkStart w:id="321" w:name="_Toc19379"/>
      <w:bookmarkStart w:id="322" w:name="_Toc16815"/>
      <w:bookmarkStart w:id="323" w:name="_Toc6679"/>
      <w:bookmarkStart w:id="324" w:name="_Toc66134856"/>
      <w:bookmarkStart w:id="325" w:name="_Toc66917150"/>
    </w:p>
    <w:p w14:paraId="5DD16BC5">
      <w:pPr>
        <w:pStyle w:val="4"/>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r>
        <w:rPr>
          <w:rFonts w:hint="eastAsia" w:ascii="方正黑体_GBK" w:hAnsi="方正黑体_GBK" w:eastAsia="方正黑体_GBK" w:cs="方正黑体_GBK"/>
          <w:b w:val="0"/>
          <w:bCs w:val="0"/>
          <w:color w:val="auto"/>
          <w:lang w:val="en-US" w:eastAsia="zh-CN"/>
        </w:rPr>
        <w:t>一、</w:t>
      </w:r>
      <w:bookmarkEnd w:id="314"/>
      <w:bookmarkEnd w:id="315"/>
      <w:bookmarkEnd w:id="316"/>
      <w:bookmarkEnd w:id="317"/>
      <w:bookmarkEnd w:id="318"/>
      <w:bookmarkEnd w:id="319"/>
      <w:bookmarkEnd w:id="320"/>
      <w:bookmarkEnd w:id="321"/>
      <w:r>
        <w:rPr>
          <w:rFonts w:hint="eastAsia" w:ascii="方正黑体_GBK" w:hAnsi="方正黑体_GBK" w:eastAsia="方正黑体_GBK" w:cs="方正黑体_GBK"/>
          <w:b w:val="0"/>
          <w:bCs w:val="0"/>
          <w:color w:val="auto"/>
          <w:lang w:val="en-US" w:bidi="ar-SA"/>
        </w:rPr>
        <w:t>推广应用食品安全综合监管平台</w:t>
      </w:r>
    </w:p>
    <w:bookmarkEnd w:id="322"/>
    <w:bookmarkEnd w:id="323"/>
    <w:bookmarkEnd w:id="324"/>
    <w:bookmarkEnd w:id="325"/>
    <w:p w14:paraId="3EE47B29">
      <w:pPr>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rPr>
      </w:pPr>
      <w:r>
        <w:rPr>
          <w:rFonts w:hint="eastAsia" w:ascii="宋体" w:hAnsi="宋体" w:eastAsia="方正仿宋_GBK" w:cs="方正仿宋_GBK"/>
          <w:color w:val="auto"/>
          <w:sz w:val="32"/>
          <w:szCs w:val="32"/>
          <w:lang w:val="en-US" w:bidi="ar-SA"/>
        </w:rPr>
        <w:t>推广应用食品安全综合监管平台，实施“互联网+”食品安全监管，推进食品安全监管大数据资源共享和应用，提高监管效能。逐步实现食品安全违法犯罪线索网上排查汇聚和案件网上移送、网上受理、网上监督。推进食用农产品全过程智慧监管，建设覆盖县市、乡镇、村三级的食用农产品</w:t>
      </w:r>
      <w:r>
        <w:rPr>
          <w:rFonts w:hint="eastAsia" w:ascii="宋体" w:hAnsi="宋体" w:eastAsia="方正仿宋_GBK" w:cs="方正仿宋_GBK"/>
          <w:color w:val="auto"/>
          <w:sz w:val="32"/>
          <w:szCs w:val="32"/>
        </w:rPr>
        <w:t>“智慧监管”网格体系。</w:t>
      </w:r>
    </w:p>
    <w:p w14:paraId="44D29155">
      <w:pPr>
        <w:pStyle w:val="4"/>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bookmarkStart w:id="326" w:name="_Toc16134"/>
      <w:bookmarkStart w:id="327" w:name="_Toc66134857"/>
      <w:bookmarkStart w:id="328" w:name="_Toc1288"/>
      <w:bookmarkStart w:id="329" w:name="_Toc3698"/>
      <w:bookmarkStart w:id="330" w:name="_Toc30803"/>
      <w:bookmarkStart w:id="331" w:name="_Toc32464"/>
      <w:bookmarkStart w:id="332" w:name="_Toc19233"/>
      <w:bookmarkStart w:id="333" w:name="_Toc18873"/>
      <w:bookmarkStart w:id="334" w:name="_Toc24187"/>
      <w:bookmarkStart w:id="335" w:name="_Toc23496"/>
      <w:bookmarkStart w:id="336" w:name="_Toc27294"/>
      <w:bookmarkStart w:id="337" w:name="_Toc66917151"/>
      <w:r>
        <w:rPr>
          <w:rFonts w:hint="eastAsia" w:ascii="方正黑体_GBK" w:hAnsi="方正黑体_GBK" w:eastAsia="方正黑体_GBK" w:cs="方正黑体_GBK"/>
          <w:b w:val="0"/>
          <w:bCs w:val="0"/>
          <w:color w:val="auto"/>
          <w:lang w:val="en-US" w:eastAsia="zh-CN"/>
        </w:rPr>
        <w:t>二、</w:t>
      </w:r>
      <w:bookmarkEnd w:id="326"/>
      <w:bookmarkEnd w:id="327"/>
      <w:bookmarkEnd w:id="328"/>
      <w:bookmarkEnd w:id="329"/>
      <w:bookmarkEnd w:id="330"/>
      <w:bookmarkEnd w:id="331"/>
      <w:bookmarkEnd w:id="332"/>
      <w:bookmarkEnd w:id="333"/>
      <w:bookmarkEnd w:id="334"/>
      <w:bookmarkEnd w:id="335"/>
      <w:bookmarkEnd w:id="336"/>
      <w:bookmarkEnd w:id="337"/>
      <w:r>
        <w:rPr>
          <w:rFonts w:hint="eastAsia" w:ascii="方正黑体_GBK" w:hAnsi="方正黑体_GBK" w:eastAsia="方正黑体_GBK" w:cs="方正黑体_GBK"/>
          <w:b w:val="0"/>
          <w:bCs w:val="0"/>
          <w:color w:val="auto"/>
          <w:lang w:val="en-US"/>
        </w:rPr>
        <w:t>推广应用食品安全综合信息平台</w:t>
      </w:r>
    </w:p>
    <w:p w14:paraId="737C4F10">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宋体" w:hAnsi="宋体" w:eastAsia="方正仿宋_GBK" w:cs="方正仿宋_GBK"/>
          <w:b w:val="0"/>
          <w:color w:val="auto"/>
          <w:kern w:val="0"/>
          <w:sz w:val="32"/>
          <w:szCs w:val="32"/>
          <w:lang w:val="en-US" w:eastAsia="zh-CN" w:bidi="zh-CN"/>
        </w:rPr>
      </w:pPr>
      <w:r>
        <w:rPr>
          <w:rFonts w:hint="eastAsia" w:ascii="宋体" w:hAnsi="宋体" w:eastAsia="方正仿宋_GBK" w:cs="方正仿宋_GBK"/>
          <w:b w:val="0"/>
          <w:color w:val="auto"/>
          <w:kern w:val="0"/>
          <w:sz w:val="32"/>
          <w:szCs w:val="32"/>
          <w:lang w:val="en-US" w:eastAsia="zh-CN" w:bidi="zh-CN"/>
        </w:rPr>
        <w:t>与省级同步实施食品生产经营者智慧监管。推进大数据、云计算、物联网、人工智能、区块链等技术在食品安全监管领域的应用，配合建立数据库群和数据连接，严格落实生产经营者的主体责任，加强网络食品监管以及推进食品安全信用监管系统完善。</w:t>
      </w:r>
    </w:p>
    <w:p w14:paraId="38CE0AA6">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0" w:firstLineChars="0"/>
        <w:jc w:val="left"/>
        <w:textAlignment w:val="auto"/>
        <w:outlineLvl w:val="9"/>
        <w:rPr>
          <w:rFonts w:hint="eastAsia"/>
          <w:color w:val="auto"/>
          <w:lang w:val="en-US"/>
        </w:rPr>
      </w:pP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E7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22" w:type="dxa"/>
          </w:tcPr>
          <w:p w14:paraId="290314B2">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方正仿宋_GBK" w:cs="方正仿宋_GBK"/>
                <w:color w:val="auto"/>
                <w:sz w:val="32"/>
                <w:szCs w:val="32"/>
                <w:vertAlign w:val="baseline"/>
                <w:lang w:val="en-US" w:bidi="ar-SA"/>
              </w:rPr>
            </w:pPr>
            <w:r>
              <w:rPr>
                <w:rFonts w:hint="eastAsia" w:ascii="宋体" w:hAnsi="宋体" w:eastAsia="方正黑体_GBK" w:cs="方正黑体_GBK"/>
                <w:bCs/>
                <w:color w:val="auto"/>
                <w:kern w:val="2"/>
                <w:sz w:val="28"/>
                <w:szCs w:val="28"/>
              </w:rPr>
              <w:t>重点工程专栏</w:t>
            </w:r>
            <w:r>
              <w:rPr>
                <w:rFonts w:hint="eastAsia" w:ascii="宋体" w:hAnsi="宋体" w:eastAsia="方正黑体_GBK" w:cs="方正黑体_GBK"/>
                <w:bCs/>
                <w:color w:val="auto"/>
                <w:kern w:val="2"/>
                <w:sz w:val="28"/>
                <w:szCs w:val="28"/>
                <w:lang w:val="en-US"/>
              </w:rPr>
              <w:t>4</w:t>
            </w:r>
            <w:r>
              <w:rPr>
                <w:rFonts w:hint="eastAsia" w:ascii="宋体" w:hAnsi="宋体" w:eastAsia="方正黑体_GBK" w:cs="方正黑体_GBK"/>
                <w:bCs/>
                <w:color w:val="auto"/>
                <w:kern w:val="2"/>
                <w:sz w:val="28"/>
                <w:szCs w:val="28"/>
              </w:rPr>
              <w:t>：实施</w:t>
            </w:r>
            <w:r>
              <w:rPr>
                <w:rFonts w:hint="eastAsia" w:ascii="宋体" w:hAnsi="宋体" w:eastAsia="方正黑体_GBK" w:cs="方正黑体_GBK"/>
                <w:bCs/>
                <w:color w:val="auto"/>
                <w:kern w:val="2"/>
                <w:sz w:val="28"/>
                <w:szCs w:val="28"/>
                <w:lang w:val="en-US"/>
              </w:rPr>
              <w:t>食品安全智慧监管工程</w:t>
            </w:r>
          </w:p>
        </w:tc>
      </w:tr>
      <w:tr w14:paraId="7BFF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3951CD02">
            <w:pPr>
              <w:pStyle w:val="13"/>
              <w:keepNext w:val="0"/>
              <w:keepLines w:val="0"/>
              <w:pageBreakBefore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eastAsia="zh-CN"/>
              </w:rPr>
              <w:t>1</w:t>
            </w:r>
            <w:r>
              <w:rPr>
                <w:rFonts w:hint="default" w:ascii="Times New Roman" w:hAnsi="Times New Roman" w:eastAsia="方正楷体_GBK" w:cs="Times New Roman"/>
                <w:bCs/>
                <w:color w:val="auto"/>
                <w:kern w:val="2"/>
                <w:sz w:val="24"/>
                <w:szCs w:val="24"/>
                <w:lang w:val="en-US"/>
              </w:rPr>
              <w:t>.</w:t>
            </w:r>
            <w:r>
              <w:rPr>
                <w:rFonts w:hint="default" w:ascii="Times New Roman" w:hAnsi="Times New Roman" w:eastAsia="方正楷体_GBK" w:cs="Times New Roman"/>
                <w:bCs/>
                <w:color w:val="auto"/>
                <w:kern w:val="2"/>
                <w:sz w:val="24"/>
                <w:szCs w:val="24"/>
                <w:lang w:eastAsia="zh-CN"/>
              </w:rPr>
              <w:t>配合</w:t>
            </w:r>
            <w:r>
              <w:rPr>
                <w:rFonts w:hint="default" w:ascii="Times New Roman" w:hAnsi="Times New Roman" w:eastAsia="方正楷体_GBK" w:cs="Times New Roman"/>
                <w:bCs/>
                <w:color w:val="auto"/>
                <w:kern w:val="2"/>
                <w:sz w:val="24"/>
                <w:szCs w:val="24"/>
              </w:rPr>
              <w:t>建设全省统一的食品安全综合监管系统。</w:t>
            </w:r>
            <w:r>
              <w:rPr>
                <w:rFonts w:hint="default" w:ascii="Times New Roman" w:hAnsi="Times New Roman" w:eastAsia="方正仿宋_GBK" w:cs="Times New Roman"/>
                <w:bCs/>
                <w:color w:val="auto"/>
                <w:kern w:val="2"/>
                <w:sz w:val="24"/>
                <w:szCs w:val="24"/>
              </w:rPr>
              <w:t>包括食品安全风险预警系统、云南省食品安全协同系统、食品安全抽样检验二级站系统升级改造、网络餐饮服务食品安全监管系统、农贸市场监管系统、“餐饮安心码”、“集市放心码”、食品生产企业“明厂亮线”、食品销售“阳光店商”、食品安全互联网监测系统、食品安全社会评价系统以及食品安全从业人员培训考核系统等。</w:t>
            </w:r>
            <w:r>
              <w:rPr>
                <w:rFonts w:hint="default" w:ascii="Times New Roman" w:hAnsi="Times New Roman" w:eastAsia="方正仿宋_GBK" w:cs="Times New Roman"/>
                <w:bCs/>
                <w:color w:val="auto"/>
                <w:kern w:val="2"/>
                <w:sz w:val="24"/>
                <w:szCs w:val="24"/>
                <w:lang w:val="en-US"/>
              </w:rPr>
              <w:t>到2025年</w:t>
            </w:r>
            <w:r>
              <w:rPr>
                <w:rFonts w:hint="default" w:ascii="Times New Roman" w:hAnsi="Times New Roman" w:eastAsia="方正仿宋_GBK" w:cs="Times New Roman"/>
                <w:bCs/>
                <w:color w:val="auto"/>
                <w:kern w:val="2"/>
                <w:sz w:val="24"/>
                <w:szCs w:val="24"/>
              </w:rPr>
              <w:t>，实现全省食品安全监管业务网上办理。</w:t>
            </w:r>
          </w:p>
          <w:p w14:paraId="0BCEF5C6">
            <w:pPr>
              <w:keepNext w:val="0"/>
              <w:keepLines w:val="0"/>
              <w:pageBreakBefore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eastAsia="zh-CN"/>
              </w:rPr>
              <w:t>2</w:t>
            </w:r>
            <w:r>
              <w:rPr>
                <w:rFonts w:hint="default" w:ascii="Times New Roman" w:hAnsi="Times New Roman" w:eastAsia="方正楷体_GBK" w:cs="Times New Roman"/>
                <w:bCs/>
                <w:color w:val="auto"/>
                <w:kern w:val="2"/>
                <w:sz w:val="24"/>
                <w:szCs w:val="24"/>
                <w:lang w:val="en-US"/>
              </w:rPr>
              <w:t>.推动数据交换与共享。</w:t>
            </w:r>
            <w:r>
              <w:rPr>
                <w:rFonts w:hint="default" w:ascii="Times New Roman" w:hAnsi="Times New Roman" w:eastAsia="方正仿宋_GBK" w:cs="Times New Roman"/>
                <w:bCs/>
                <w:color w:val="auto"/>
                <w:kern w:val="2"/>
                <w:sz w:val="24"/>
                <w:szCs w:val="24"/>
                <w:lang w:val="en-US" w:eastAsia="zh-CN"/>
              </w:rPr>
              <w:t>配合</w:t>
            </w:r>
            <w:r>
              <w:rPr>
                <w:rFonts w:hint="default" w:ascii="Times New Roman" w:hAnsi="Times New Roman" w:eastAsia="方正仿宋_GBK" w:cs="Times New Roman"/>
                <w:bCs/>
                <w:color w:val="auto"/>
                <w:kern w:val="2"/>
                <w:sz w:val="24"/>
                <w:szCs w:val="24"/>
              </w:rPr>
              <w:t>完善食品安全信息监管综合平台与省政府行政权力公开平台对接，逐步实现企业信息化追溯体系与政府部门监管平台、重要产品追溯管理平台对接，接受政府监督，互通互享信息。完善数据开放机制，制定数据共享开放目录，推进部门间关联业务数据开放衔接，促进跨部门、跨区域信息共享，推动与</w:t>
            </w:r>
            <w:r>
              <w:rPr>
                <w:rFonts w:hint="default" w:ascii="Times New Roman" w:hAnsi="Times New Roman" w:eastAsia="方正仿宋_GBK" w:cs="Times New Roman"/>
                <w:bCs/>
                <w:color w:val="auto"/>
                <w:kern w:val="2"/>
                <w:sz w:val="24"/>
                <w:szCs w:val="24"/>
                <w:lang w:val="en-US" w:eastAsia="zh-CN"/>
              </w:rPr>
              <w:t>省市场监管局</w:t>
            </w:r>
            <w:r>
              <w:rPr>
                <w:rFonts w:hint="default" w:ascii="Times New Roman" w:hAnsi="Times New Roman" w:eastAsia="方正仿宋_GBK" w:cs="Times New Roman"/>
                <w:bCs/>
                <w:color w:val="auto"/>
                <w:kern w:val="2"/>
                <w:sz w:val="24"/>
                <w:szCs w:val="24"/>
              </w:rPr>
              <w:t>及食品安全相关部门数据交换与共享。</w:t>
            </w:r>
          </w:p>
          <w:p w14:paraId="1E148DF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宋体" w:hAnsi="宋体" w:eastAsia="方正仿宋_GBK" w:cs="方正仿宋_GBK"/>
                <w:color w:val="auto"/>
                <w:sz w:val="32"/>
                <w:szCs w:val="32"/>
                <w:vertAlign w:val="baseline"/>
                <w:lang w:val="en-US" w:bidi="ar-SA"/>
              </w:rPr>
            </w:pPr>
            <w:r>
              <w:rPr>
                <w:rFonts w:hint="default" w:ascii="Times New Roman" w:hAnsi="Times New Roman" w:eastAsia="方正楷体_GBK" w:cs="Times New Roman"/>
                <w:bCs/>
                <w:color w:val="auto"/>
                <w:kern w:val="2"/>
                <w:sz w:val="24"/>
                <w:szCs w:val="24"/>
                <w:lang w:val="en-US" w:eastAsia="zh-CN"/>
              </w:rPr>
              <w:t>3.实施</w:t>
            </w:r>
            <w:r>
              <w:rPr>
                <w:rFonts w:hint="default" w:ascii="Times New Roman" w:hAnsi="Times New Roman" w:eastAsia="方正楷体_GBK" w:cs="Times New Roman"/>
                <w:bCs/>
                <w:color w:val="auto"/>
                <w:kern w:val="2"/>
                <w:sz w:val="24"/>
                <w:szCs w:val="24"/>
                <w:lang w:val="en-US"/>
              </w:rPr>
              <w:t>食用农产品智慧监管。</w:t>
            </w:r>
            <w:r>
              <w:rPr>
                <w:rFonts w:hint="default" w:ascii="Times New Roman" w:hAnsi="Times New Roman" w:eastAsia="方正仿宋_GBK" w:cs="Times New Roman"/>
                <w:bCs/>
                <w:color w:val="auto"/>
                <w:kern w:val="2"/>
                <w:sz w:val="24"/>
                <w:szCs w:val="24"/>
              </w:rPr>
              <w:t>运用大数据、物联网、区块链等现代信息技术推动监管方式创新，逐步将农药兽药等农业投入品经营、食用农产品质量安全监测结果等数据纳入信息化监管，探索推动全程质量安全控制。</w:t>
            </w:r>
          </w:p>
        </w:tc>
      </w:tr>
    </w:tbl>
    <w:p w14:paraId="2DCC2A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黑体_GBK" w:hAnsi="方正黑体_GBK" w:eastAsia="方正黑体_GBK" w:cs="方正黑体_GBK"/>
          <w:color w:val="auto"/>
          <w:sz w:val="32"/>
          <w:szCs w:val="32"/>
        </w:rPr>
      </w:pPr>
      <w:bookmarkStart w:id="338" w:name="_Toc29347"/>
      <w:bookmarkStart w:id="339" w:name="_Toc18849"/>
      <w:bookmarkStart w:id="340" w:name="_Toc66917152"/>
      <w:bookmarkStart w:id="341" w:name="_Toc3041"/>
      <w:bookmarkStart w:id="342" w:name="_Toc1105"/>
      <w:bookmarkStart w:id="343" w:name="_Toc24077"/>
      <w:bookmarkStart w:id="344" w:name="_Toc66134858"/>
      <w:bookmarkStart w:id="345" w:name="_Toc20440"/>
      <w:bookmarkStart w:id="346" w:name="_Toc5319"/>
      <w:bookmarkStart w:id="347" w:name="_Toc6905"/>
      <w:bookmarkStart w:id="348" w:name="_Toc29543"/>
      <w:bookmarkStart w:id="349" w:name="_Toc797"/>
      <w:r>
        <w:rPr>
          <w:rFonts w:hint="eastAsia" w:ascii="方正黑体_GBK" w:hAnsi="方正黑体_GBK" w:eastAsia="方正黑体_GBK" w:cs="方正黑体_GBK"/>
          <w:color w:val="auto"/>
          <w:sz w:val="32"/>
          <w:szCs w:val="32"/>
          <w:lang w:eastAsia="zh-CN"/>
        </w:rPr>
        <w:t>第九节</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提高食品安全风险防控能力</w:t>
      </w:r>
      <w:bookmarkEnd w:id="338"/>
      <w:bookmarkEnd w:id="339"/>
      <w:bookmarkEnd w:id="340"/>
      <w:bookmarkEnd w:id="341"/>
      <w:bookmarkEnd w:id="342"/>
      <w:bookmarkEnd w:id="343"/>
      <w:bookmarkEnd w:id="344"/>
      <w:bookmarkEnd w:id="345"/>
      <w:bookmarkEnd w:id="346"/>
      <w:bookmarkEnd w:id="347"/>
      <w:bookmarkEnd w:id="348"/>
      <w:bookmarkEnd w:id="349"/>
    </w:p>
    <w:p w14:paraId="683E16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方正仿宋_GBK" w:cs="方正仿宋_GBK"/>
          <w:b/>
          <w:bCs/>
          <w:color w:val="auto"/>
          <w:sz w:val="32"/>
          <w:szCs w:val="32"/>
          <w:lang w:val="en-US"/>
        </w:rPr>
      </w:pPr>
      <w:bookmarkStart w:id="350" w:name="_Toc10747"/>
      <w:bookmarkStart w:id="351" w:name="_Toc22331"/>
      <w:bookmarkStart w:id="352" w:name="_Toc20289"/>
      <w:bookmarkStart w:id="353" w:name="_Toc66917153"/>
      <w:bookmarkStart w:id="354" w:name="_Toc13673"/>
      <w:bookmarkStart w:id="355" w:name="_Toc3464"/>
      <w:bookmarkStart w:id="356" w:name="_Toc32417"/>
      <w:bookmarkStart w:id="357" w:name="_Toc27342"/>
      <w:bookmarkStart w:id="358" w:name="_Toc25015"/>
      <w:bookmarkStart w:id="359" w:name="_Toc25101"/>
      <w:bookmarkStart w:id="360" w:name="_Toc66134859"/>
      <w:bookmarkStart w:id="361" w:name="_Toc6553"/>
    </w:p>
    <w:p w14:paraId="274870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lang w:val="en-US"/>
        </w:rPr>
        <w:t>加强检验检测能力建设</w:t>
      </w:r>
      <w:bookmarkEnd w:id="350"/>
      <w:bookmarkEnd w:id="351"/>
      <w:bookmarkEnd w:id="352"/>
      <w:bookmarkEnd w:id="353"/>
      <w:bookmarkEnd w:id="354"/>
      <w:bookmarkEnd w:id="355"/>
      <w:bookmarkEnd w:id="356"/>
      <w:bookmarkEnd w:id="357"/>
      <w:bookmarkEnd w:id="358"/>
      <w:bookmarkEnd w:id="359"/>
      <w:bookmarkEnd w:id="360"/>
      <w:bookmarkEnd w:id="361"/>
    </w:p>
    <w:p w14:paraId="11B4CA3B">
      <w:pPr>
        <w:keepNext w:val="0"/>
        <w:keepLines w:val="0"/>
        <w:pageBreakBefore w:val="0"/>
        <w:widowControl/>
        <w:shd w:val="clear" w:color="auto" w:fill="FFFFFF"/>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积极推进检验检测资源整合及重大项目建设,建立以州级检验检测机构为骨干，县市检验检测机构为基础,第三方检验检测机构和企业自检为补充的检验检测体系。积极争取中央、省重点项目建设，提升检验检测能力，开展食品监管部门重点实验室建设。推动各级食品检验检测能力建设,加快县市级食品药品检验检测机构建设，力争通过实验室资质认定。落实各级食品和农产品检验机构能力和装备配备标准，严格检验机构资质认定管理，建立健全实验室能力验证、跟踪评价和检验人员培训等机制。建立和提高州、县、乡三级快速检测能力，保障快检车及快检设备正常运转经费，强化快检技术培训，提高快速筛查能力。</w:t>
      </w:r>
    </w:p>
    <w:p w14:paraId="55E535BD">
      <w:pPr>
        <w:pStyle w:val="6"/>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firstLine="0" w:firstLineChars="0"/>
        <w:jc w:val="left"/>
        <w:textAlignment w:val="auto"/>
        <w:outlineLvl w:val="9"/>
        <w:rPr>
          <w:rFonts w:hint="eastAsia"/>
          <w:color w:val="auto"/>
        </w:rPr>
      </w:pPr>
    </w:p>
    <w:tbl>
      <w:tblPr>
        <w:tblStyle w:val="15"/>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219A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14:paraId="6C11B563">
            <w:pPr>
              <w:pStyle w:val="13"/>
              <w:spacing w:after="0" w:line="360" w:lineRule="exact"/>
              <w:jc w:val="both"/>
              <w:rPr>
                <w:rFonts w:ascii="宋体" w:hAnsi="宋体" w:eastAsia="仿宋" w:cs="仿宋"/>
                <w:color w:val="auto"/>
                <w:kern w:val="2"/>
                <w:sz w:val="30"/>
                <w:szCs w:val="30"/>
              </w:rPr>
            </w:pPr>
            <w:r>
              <w:rPr>
                <w:rFonts w:hint="eastAsia" w:ascii="宋体" w:hAnsi="宋体" w:eastAsia="仿宋" w:cs="仿宋"/>
                <w:b/>
                <w:color w:val="auto"/>
                <w:kern w:val="2"/>
                <w:sz w:val="28"/>
                <w:szCs w:val="28"/>
              </w:rPr>
              <w:t>重点工程专栏</w:t>
            </w:r>
            <w:r>
              <w:rPr>
                <w:rFonts w:hint="eastAsia" w:ascii="宋体" w:hAnsi="宋体" w:eastAsia="仿宋" w:cs="仿宋"/>
                <w:b/>
                <w:color w:val="auto"/>
                <w:kern w:val="2"/>
                <w:sz w:val="28"/>
                <w:szCs w:val="28"/>
                <w:lang w:val="en-US" w:eastAsia="zh-CN"/>
              </w:rPr>
              <w:t>5</w:t>
            </w:r>
            <w:r>
              <w:rPr>
                <w:rFonts w:hint="eastAsia" w:ascii="宋体" w:hAnsi="宋体" w:eastAsia="仿宋" w:cs="仿宋"/>
                <w:b/>
                <w:color w:val="auto"/>
                <w:kern w:val="2"/>
                <w:sz w:val="28"/>
                <w:szCs w:val="28"/>
              </w:rPr>
              <w:t>：实施检验检测能力提升工程</w:t>
            </w:r>
          </w:p>
        </w:tc>
      </w:tr>
      <w:tr w14:paraId="1A6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14:paraId="7A8ED401">
            <w:pPr>
              <w:keepNext w:val="0"/>
              <w:keepLines w:val="0"/>
              <w:pageBreakBefore w:val="0"/>
              <w:widowControl/>
              <w:kinsoku/>
              <w:wordWrap/>
              <w:overflowPunct/>
              <w:topLinePunct w:val="0"/>
              <w:autoSpaceDE w:val="0"/>
              <w:autoSpaceDN w:val="0"/>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 w:val="0"/>
                <w:bCs w:val="0"/>
                <w:color w:val="auto"/>
                <w:sz w:val="24"/>
                <w:szCs w:val="24"/>
              </w:rPr>
            </w:pPr>
            <w:r>
              <w:rPr>
                <w:rFonts w:hint="default" w:ascii="Times New Roman" w:hAnsi="Times New Roman" w:eastAsia="方正楷体_GBK" w:cs="Times New Roman"/>
                <w:color w:val="auto"/>
                <w:sz w:val="24"/>
                <w:szCs w:val="24"/>
                <w:lang w:val="en-US" w:eastAsia="zh-CN" w:bidi="zh-CN"/>
              </w:rPr>
              <w:t>1.实验室资质复评审。</w:t>
            </w:r>
            <w:r>
              <w:rPr>
                <w:rFonts w:hint="default" w:ascii="Times New Roman" w:hAnsi="Times New Roman" w:eastAsia="方正仿宋_GBK" w:cs="Times New Roman"/>
                <w:b w:val="0"/>
                <w:bCs w:val="0"/>
                <w:color w:val="auto"/>
                <w:sz w:val="24"/>
                <w:szCs w:val="24"/>
              </w:rPr>
              <w:t>德宏州食品药品检验所通过实验室资质复评审和2-3次扩项工作，有针对性的使食品（含保健食品）检验资质上升至1000余项。</w:t>
            </w:r>
          </w:p>
          <w:p w14:paraId="33F79322">
            <w:pPr>
              <w:pStyle w:val="13"/>
              <w:keepNext w:val="0"/>
              <w:keepLines w:val="0"/>
              <w:pageBreakBefore w:val="0"/>
              <w:kinsoku/>
              <w:wordWrap/>
              <w:overflowPunct/>
              <w:topLinePunct w:val="0"/>
              <w:autoSpaceDE w:val="0"/>
              <w:autoSpaceDN w:val="0"/>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b w:val="0"/>
                <w:bCs w:val="0"/>
                <w:color w:val="auto"/>
                <w:sz w:val="24"/>
                <w:szCs w:val="24"/>
              </w:rPr>
            </w:pPr>
            <w:r>
              <w:rPr>
                <w:rFonts w:hint="default" w:ascii="Times New Roman" w:hAnsi="Times New Roman" w:eastAsia="方正楷体_GBK" w:cs="Times New Roman"/>
                <w:color w:val="auto"/>
                <w:sz w:val="24"/>
                <w:szCs w:val="24"/>
                <w:lang w:val="en-US" w:eastAsia="zh-CN" w:bidi="zh-CN"/>
              </w:rPr>
              <w:t>2.工作制度规范标准化。</w:t>
            </w:r>
            <w:r>
              <w:rPr>
                <w:rFonts w:hint="default" w:ascii="Times New Roman" w:hAnsi="Times New Roman" w:eastAsia="方正仿宋_GBK" w:cs="Times New Roman"/>
                <w:b w:val="0"/>
                <w:bCs w:val="0"/>
                <w:color w:val="auto"/>
                <w:sz w:val="24"/>
                <w:szCs w:val="24"/>
              </w:rPr>
              <w:t>科学设置检测机构工作职责，统一制定并实施相关管理工作制度，推动检验检测工作规范化、程序化。</w:t>
            </w:r>
          </w:p>
          <w:p w14:paraId="1A148037">
            <w:pPr>
              <w:pStyle w:val="13"/>
              <w:keepNext w:val="0"/>
              <w:keepLines w:val="0"/>
              <w:pageBreakBefore w:val="0"/>
              <w:kinsoku/>
              <w:wordWrap/>
              <w:overflowPunct/>
              <w:topLinePunct w:val="0"/>
              <w:autoSpaceDE w:val="0"/>
              <w:autoSpaceDN w:val="0"/>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b w:val="0"/>
                <w:bCs w:val="0"/>
                <w:color w:val="auto"/>
                <w:sz w:val="24"/>
                <w:szCs w:val="24"/>
                <w:lang w:val="en-US"/>
              </w:rPr>
            </w:pPr>
            <w:r>
              <w:rPr>
                <w:rFonts w:hint="default" w:ascii="Times New Roman" w:hAnsi="Times New Roman" w:eastAsia="方正楷体_GBK" w:cs="Times New Roman"/>
                <w:color w:val="auto"/>
                <w:sz w:val="24"/>
                <w:szCs w:val="24"/>
                <w:lang w:val="en-US" w:eastAsia="zh-CN" w:bidi="zh-CN"/>
              </w:rPr>
              <w:t>3.加强检验检测队伍建设。</w:t>
            </w:r>
            <w:r>
              <w:rPr>
                <w:rFonts w:hint="default" w:ascii="Times New Roman" w:hAnsi="Times New Roman" w:eastAsia="方正仿宋_GBK" w:cs="Times New Roman"/>
                <w:b w:val="0"/>
                <w:bCs w:val="0"/>
                <w:color w:val="auto"/>
                <w:sz w:val="24"/>
                <w:szCs w:val="24"/>
                <w:lang w:val="en-US"/>
              </w:rPr>
              <w:t>建立一支与食品安全检验检测实际相适应的检验检测队伍。根据工作需要实施人才引进，加强培训，提高工作能力。</w:t>
            </w:r>
          </w:p>
        </w:tc>
      </w:tr>
    </w:tbl>
    <w:p w14:paraId="6897A305">
      <w:pPr>
        <w:pStyle w:val="6"/>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firstLine="0" w:firstLineChars="0"/>
        <w:jc w:val="left"/>
        <w:textAlignment w:val="auto"/>
        <w:outlineLvl w:val="9"/>
        <w:rPr>
          <w:color w:val="auto"/>
        </w:rPr>
      </w:pPr>
    </w:p>
    <w:p w14:paraId="5EFAED58">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bookmarkStart w:id="362" w:name="_Toc10040"/>
      <w:bookmarkStart w:id="363" w:name="_Toc10912"/>
      <w:bookmarkStart w:id="364" w:name="_Toc52"/>
      <w:bookmarkStart w:id="365" w:name="_Toc22961"/>
      <w:bookmarkStart w:id="366" w:name="_Toc66917154"/>
      <w:bookmarkStart w:id="367" w:name="_Toc31535"/>
      <w:bookmarkStart w:id="368" w:name="_Toc5049"/>
      <w:bookmarkStart w:id="369" w:name="_Toc30851"/>
      <w:bookmarkStart w:id="370" w:name="_Toc29063"/>
      <w:bookmarkStart w:id="371" w:name="_Toc16060"/>
      <w:bookmarkStart w:id="372" w:name="_Toc66134860"/>
      <w:bookmarkStart w:id="373" w:name="_Toc20710"/>
      <w:r>
        <w:rPr>
          <w:rFonts w:hint="eastAsia" w:ascii="方正黑体_GBK" w:hAnsi="方正黑体_GBK" w:eastAsia="方正黑体_GBK" w:cs="方正黑体_GBK"/>
          <w:b w:val="0"/>
          <w:bCs w:val="0"/>
          <w:color w:val="auto"/>
          <w:lang w:val="en-US" w:eastAsia="zh-CN"/>
        </w:rPr>
        <w:t>二、</w:t>
      </w:r>
      <w:r>
        <w:rPr>
          <w:rFonts w:hint="eastAsia" w:ascii="方正黑体_GBK" w:hAnsi="方正黑体_GBK" w:eastAsia="方正黑体_GBK" w:cs="方正黑体_GBK"/>
          <w:b w:val="0"/>
          <w:bCs w:val="0"/>
          <w:color w:val="auto"/>
          <w:lang w:val="en-US"/>
        </w:rPr>
        <w:t>强化风险监测预警</w:t>
      </w:r>
      <w:bookmarkEnd w:id="362"/>
      <w:bookmarkEnd w:id="363"/>
      <w:bookmarkEnd w:id="364"/>
      <w:bookmarkEnd w:id="365"/>
      <w:bookmarkEnd w:id="366"/>
      <w:bookmarkEnd w:id="367"/>
      <w:bookmarkEnd w:id="368"/>
      <w:bookmarkEnd w:id="369"/>
      <w:bookmarkEnd w:id="370"/>
      <w:bookmarkEnd w:id="371"/>
      <w:bookmarkEnd w:id="372"/>
      <w:bookmarkEnd w:id="373"/>
    </w:p>
    <w:p w14:paraId="2FEB96EE">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完善食品安全风险监测网络，强化基层工作体系和队伍建设，加强示范创建，推进基层食品安全风险防控能力建设。加强对新业态、新技术、新原料以及流通领域的食用农产品和食品的风险监测，建立基于大数据的风险分析模型，强化监测预警信息共享。加强风险交流学科建设，强化公众风险感知研究，为有效交流提供技术支持。</w:t>
      </w:r>
    </w:p>
    <w:p w14:paraId="388120BB">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rPr>
      </w:pPr>
      <w:bookmarkStart w:id="374" w:name="_Toc6541"/>
      <w:bookmarkStart w:id="375" w:name="_Toc10062"/>
      <w:bookmarkStart w:id="376" w:name="_Toc26677"/>
      <w:bookmarkStart w:id="377" w:name="_Toc66917155"/>
      <w:bookmarkStart w:id="378" w:name="_Toc6180"/>
      <w:bookmarkStart w:id="379" w:name="_Toc24924"/>
      <w:bookmarkStart w:id="380" w:name="_Toc66134861"/>
      <w:bookmarkStart w:id="381" w:name="_Toc1599"/>
      <w:bookmarkStart w:id="382" w:name="_Toc12012"/>
      <w:bookmarkStart w:id="383" w:name="_Toc1918"/>
      <w:bookmarkStart w:id="384" w:name="_Toc27971"/>
      <w:bookmarkStart w:id="385" w:name="_Toc591"/>
      <w:r>
        <w:rPr>
          <w:rFonts w:hint="eastAsia" w:ascii="方正黑体_GBK" w:hAnsi="方正黑体_GBK" w:eastAsia="方正黑体_GBK" w:cs="方正黑体_GBK"/>
          <w:b w:val="0"/>
          <w:bCs w:val="0"/>
          <w:color w:val="auto"/>
          <w:lang w:val="en-US" w:eastAsia="zh-CN"/>
        </w:rPr>
        <w:t>三、</w:t>
      </w:r>
      <w:r>
        <w:rPr>
          <w:rFonts w:hint="eastAsia" w:ascii="方正黑体_GBK" w:hAnsi="方正黑体_GBK" w:eastAsia="方正黑体_GBK" w:cs="方正黑体_GBK"/>
          <w:b w:val="0"/>
          <w:bCs w:val="0"/>
          <w:color w:val="auto"/>
          <w:lang w:val="en-US"/>
        </w:rPr>
        <w:t>改革完善抽检机制</w:t>
      </w:r>
      <w:bookmarkEnd w:id="374"/>
      <w:bookmarkEnd w:id="375"/>
      <w:bookmarkEnd w:id="376"/>
      <w:bookmarkEnd w:id="377"/>
      <w:bookmarkEnd w:id="378"/>
      <w:bookmarkEnd w:id="379"/>
      <w:bookmarkEnd w:id="380"/>
      <w:bookmarkEnd w:id="381"/>
      <w:bookmarkEnd w:id="382"/>
      <w:bookmarkEnd w:id="383"/>
      <w:bookmarkEnd w:id="384"/>
      <w:bookmarkEnd w:id="385"/>
    </w:p>
    <w:p w14:paraId="2EDD40F5">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shd w:val="clear" w:color="auto" w:fill="auto"/>
        </w:rPr>
      </w:pPr>
      <w:r>
        <w:rPr>
          <w:rFonts w:hint="eastAsia" w:ascii="宋体" w:hAnsi="宋体" w:eastAsia="方正仿宋_GBK" w:cs="方正仿宋_GBK"/>
          <w:color w:val="auto"/>
          <w:sz w:val="32"/>
          <w:szCs w:val="32"/>
          <w:shd w:val="clear" w:color="auto" w:fill="auto"/>
        </w:rPr>
        <w:t>统筹全</w:t>
      </w:r>
      <w:r>
        <w:rPr>
          <w:rFonts w:hint="eastAsia" w:ascii="宋体" w:hAnsi="宋体" w:eastAsia="方正仿宋_GBK" w:cs="方正仿宋_GBK"/>
          <w:color w:val="auto"/>
          <w:sz w:val="32"/>
          <w:szCs w:val="32"/>
          <w:shd w:val="clear" w:color="auto" w:fill="auto"/>
          <w:lang w:eastAsia="zh-CN"/>
        </w:rPr>
        <w:t>州</w:t>
      </w:r>
      <w:r>
        <w:rPr>
          <w:rFonts w:hint="eastAsia" w:ascii="宋体" w:hAnsi="宋体" w:eastAsia="方正仿宋_GBK" w:cs="方正仿宋_GBK"/>
          <w:color w:val="auto"/>
          <w:sz w:val="32"/>
          <w:szCs w:val="32"/>
          <w:shd w:val="clear" w:color="auto" w:fill="auto"/>
        </w:rPr>
        <w:t>食品安全抽检监测工作，力争抽检样品覆盖到所有农产品和食品企业、品种、项目。严格落实《食品安全抽样检验管理办法》和《食用农产品抽样检验和核查处置规定》，进一步规范食品安全抽样检验工作。完善食品安全抽检监测机制，进一步推进“抽检分离”，提升抽检监测工作质量。加大对食品生产经营企业的监督检查和抽检监测力度，</w:t>
      </w:r>
      <w:r>
        <w:rPr>
          <w:rFonts w:hint="eastAsia" w:ascii="宋体" w:hAnsi="宋体" w:eastAsia="方正仿宋_GBK" w:cs="方正仿宋_GBK"/>
          <w:color w:val="auto"/>
          <w:sz w:val="32"/>
          <w:szCs w:val="32"/>
          <w:shd w:val="clear" w:color="auto" w:fill="auto"/>
          <w:lang w:val="zh-CN"/>
        </w:rPr>
        <w:t>实现监督抽检、风险监测和评价性抽检分离</w:t>
      </w:r>
      <w:r>
        <w:rPr>
          <w:rFonts w:hint="eastAsia" w:ascii="宋体" w:hAnsi="宋体" w:eastAsia="方正仿宋_GBK" w:cs="方正仿宋_GBK"/>
          <w:color w:val="auto"/>
          <w:sz w:val="32"/>
          <w:szCs w:val="32"/>
          <w:shd w:val="clear" w:color="auto" w:fill="auto"/>
        </w:rPr>
        <w:t>，提高抽检靶向性、有效性、科学性和系统性。加强抽检数据分析研判，对食品安全风险隐患做到及早发现、科学研判、提前预警。</w:t>
      </w:r>
      <w:r>
        <w:rPr>
          <w:rFonts w:hint="eastAsia" w:ascii="宋体" w:hAnsi="宋体" w:eastAsia="方正仿宋_GBK" w:cs="方正仿宋_GBK"/>
          <w:color w:val="auto"/>
          <w:sz w:val="32"/>
          <w:szCs w:val="32"/>
          <w:shd w:val="clear" w:color="auto" w:fill="auto"/>
          <w:lang w:val="zh-CN"/>
        </w:rPr>
        <w:t>加大快速检测在食品安全日常监管、应急处置中的应用，及时</w:t>
      </w:r>
      <w:r>
        <w:rPr>
          <w:rFonts w:hint="eastAsia" w:ascii="宋体" w:hAnsi="宋体" w:eastAsia="方正仿宋_GBK" w:cs="方正仿宋_GBK"/>
          <w:color w:val="auto"/>
          <w:sz w:val="32"/>
          <w:szCs w:val="32"/>
          <w:shd w:val="clear" w:color="auto" w:fill="auto"/>
        </w:rPr>
        <w:t>筛查潜在隐患与风险。开展食品相关产品质量安全监督抽查，加强食品相关产品质量安全风险监测。加强核查处置，确保抽检不合格产品风险控制、原因排查、整改落实、行政处罚和信息公开“五个到位”。</w:t>
      </w:r>
    </w:p>
    <w:p w14:paraId="582B56C7">
      <w:pPr>
        <w:pStyle w:val="4"/>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lang w:val="en-US" w:bidi="ar"/>
        </w:rPr>
      </w:pPr>
      <w:bookmarkStart w:id="386" w:name="_Toc3565"/>
      <w:bookmarkStart w:id="387" w:name="_Toc11622"/>
      <w:bookmarkStart w:id="388" w:name="_Toc29723"/>
      <w:bookmarkStart w:id="389" w:name="_Toc30706"/>
      <w:bookmarkStart w:id="390" w:name="_Toc66134862"/>
      <w:bookmarkStart w:id="391" w:name="_Toc15621"/>
      <w:bookmarkStart w:id="392" w:name="_Toc66917156"/>
      <w:bookmarkStart w:id="393" w:name="_Toc22828"/>
      <w:bookmarkStart w:id="394" w:name="_Toc7482"/>
      <w:bookmarkStart w:id="395" w:name="_Toc11863"/>
      <w:bookmarkStart w:id="396" w:name="_Toc15433"/>
      <w:bookmarkStart w:id="397" w:name="_Toc12464"/>
      <w:r>
        <w:rPr>
          <w:rFonts w:hint="eastAsia" w:ascii="方正黑体_GBK" w:hAnsi="方正黑体_GBK" w:eastAsia="方正黑体_GBK" w:cs="方正黑体_GBK"/>
          <w:b w:val="0"/>
          <w:bCs w:val="0"/>
          <w:color w:val="auto"/>
          <w:lang w:val="en-US" w:eastAsia="zh-CN" w:bidi="ar"/>
        </w:rPr>
        <w:t>四、</w:t>
      </w:r>
      <w:r>
        <w:rPr>
          <w:rFonts w:hint="eastAsia" w:ascii="方正黑体_GBK" w:hAnsi="方正黑体_GBK" w:eastAsia="方正黑体_GBK" w:cs="方正黑体_GBK"/>
          <w:b w:val="0"/>
          <w:bCs w:val="0"/>
          <w:color w:val="auto"/>
          <w:lang w:val="en-US" w:bidi="ar"/>
        </w:rPr>
        <w:t>加强应急处置能力建设</w:t>
      </w:r>
      <w:bookmarkEnd w:id="386"/>
      <w:bookmarkEnd w:id="387"/>
      <w:bookmarkEnd w:id="388"/>
      <w:bookmarkEnd w:id="389"/>
      <w:bookmarkEnd w:id="390"/>
      <w:bookmarkEnd w:id="391"/>
      <w:bookmarkEnd w:id="392"/>
      <w:bookmarkEnd w:id="393"/>
      <w:bookmarkEnd w:id="394"/>
      <w:bookmarkEnd w:id="395"/>
      <w:bookmarkEnd w:id="396"/>
      <w:bookmarkEnd w:id="397"/>
    </w:p>
    <w:p w14:paraId="481B5F72">
      <w:pPr>
        <w:pStyle w:val="6"/>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方正仿宋_GBK" w:cs="方正仿宋_GBK"/>
          <w:bCs/>
          <w:color w:val="auto"/>
          <w:kern w:val="2"/>
          <w:sz w:val="32"/>
          <w:szCs w:val="32"/>
          <w:lang w:bidi="ar"/>
        </w:rPr>
      </w:pPr>
      <w:r>
        <w:rPr>
          <w:rFonts w:hint="eastAsia" w:ascii="宋体" w:hAnsi="宋体" w:eastAsia="方正仿宋_GBK" w:cs="方正仿宋_GBK"/>
          <w:bCs/>
          <w:color w:val="auto"/>
          <w:kern w:val="2"/>
          <w:sz w:val="32"/>
          <w:szCs w:val="32"/>
          <w:lang w:bidi="ar"/>
        </w:rPr>
        <w:t>建立专业应急处置队伍，完善应急预案，健全突发事件信息通报和部门联动处置机制，建立专家应急决策咨询制度。加强食品安全突发事件实战化应急演练，强化突发事件应急处置能力建设。建立应急检验检测“绿色通道”。建立重大突发公共事件生活必需食品供应保障机制。建</w:t>
      </w:r>
      <w:r>
        <w:rPr>
          <w:rFonts w:hint="eastAsia" w:ascii="宋体" w:hAnsi="宋体" w:eastAsia="方正仿宋_GBK" w:cs="方正仿宋_GBK"/>
          <w:bCs/>
          <w:color w:val="auto"/>
          <w:kern w:val="2"/>
          <w:sz w:val="32"/>
          <w:szCs w:val="32"/>
          <w:lang w:val="en-US" w:bidi="ar"/>
        </w:rPr>
        <w:t>立农村食物中毒等突发事件中涉及贫困、低收入、孤残病老等弱势群体有生命危险的急、危重患者的社会救助机制。</w:t>
      </w:r>
      <w:r>
        <w:rPr>
          <w:rFonts w:hint="eastAsia" w:ascii="宋体" w:hAnsi="宋体" w:eastAsia="方正仿宋_GBK" w:cs="方正仿宋_GBK"/>
          <w:bCs/>
          <w:color w:val="auto"/>
          <w:kern w:val="2"/>
          <w:sz w:val="32"/>
          <w:szCs w:val="32"/>
          <w:lang w:bidi="ar"/>
        </w:rPr>
        <w:t>密切关注食品安全舆情热点，加强舆情信息分析研判，及时精准做好舆情应对，主动回应社会关切，合理引导公众舆情。</w:t>
      </w:r>
    </w:p>
    <w:tbl>
      <w:tblPr>
        <w:tblStyle w:val="15"/>
        <w:tblpPr w:leftFromText="181" w:rightFromText="181" w:vertAnchor="text" w:horzAnchor="page" w:tblpXSpec="center" w:tblpY="1"/>
        <w:tblOverlap w:val="never"/>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7"/>
      </w:tblGrid>
      <w:tr w14:paraId="7DC8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7" w:type="dxa"/>
            <w:vAlign w:val="top"/>
          </w:tcPr>
          <w:p w14:paraId="2229119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ascii="宋体" w:hAnsi="宋体" w:eastAsia="方正仿宋_GBK" w:cs="方正仿宋_GBK"/>
                <w:b/>
                <w:color w:val="auto"/>
                <w:sz w:val="30"/>
                <w:szCs w:val="30"/>
              </w:rPr>
            </w:pPr>
            <w:r>
              <w:rPr>
                <w:rFonts w:hint="eastAsia" w:ascii="宋体" w:hAnsi="宋体" w:eastAsia="方正黑体_GBK" w:cs="方正黑体_GBK"/>
                <w:bCs/>
                <w:color w:val="auto"/>
                <w:sz w:val="28"/>
                <w:szCs w:val="28"/>
              </w:rPr>
              <w:t>重点行动专栏9：实施风险监测评估专项行动</w:t>
            </w:r>
          </w:p>
        </w:tc>
      </w:tr>
      <w:tr w14:paraId="6B8C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7" w:type="dxa"/>
            <w:vAlign w:val="top"/>
          </w:tcPr>
          <w:p w14:paraId="384F37A9">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1.加强</w:t>
            </w:r>
            <w:r>
              <w:rPr>
                <w:rFonts w:hint="default" w:ascii="Times New Roman" w:hAnsi="Times New Roman" w:eastAsia="方正楷体_GBK" w:cs="Times New Roman"/>
                <w:color w:val="auto"/>
              </w:rPr>
              <w:t>食源性疾病监测。</w:t>
            </w:r>
            <w:r>
              <w:rPr>
                <w:rFonts w:hint="default" w:ascii="Times New Roman" w:hAnsi="Times New Roman" w:eastAsia="方正仿宋_GBK" w:cs="Times New Roman"/>
                <w:color w:val="auto"/>
              </w:rPr>
              <w:t>扩大监测哨点医院数量，</w:t>
            </w:r>
            <w:r>
              <w:rPr>
                <w:rFonts w:hint="default" w:ascii="Times New Roman" w:hAnsi="Times New Roman" w:eastAsia="方正仿宋_GBK" w:cs="Times New Roman"/>
                <w:color w:val="auto"/>
                <w:lang w:val="en-US"/>
              </w:rPr>
              <w:t>设立</w:t>
            </w:r>
            <w:r>
              <w:rPr>
                <w:rFonts w:hint="default" w:ascii="Times New Roman" w:hAnsi="Times New Roman" w:eastAsia="方正仿宋_GBK" w:cs="Times New Roman"/>
                <w:color w:val="auto"/>
                <w:lang w:val="en-US" w:eastAsia="zh-CN"/>
              </w:rPr>
              <w:t>2</w:t>
            </w:r>
            <w:r>
              <w:rPr>
                <w:rFonts w:hint="default" w:ascii="Times New Roman" w:hAnsi="Times New Roman" w:eastAsia="方正仿宋_GBK" w:cs="Times New Roman"/>
                <w:color w:val="auto"/>
                <w:lang w:val="en-US"/>
              </w:rPr>
              <w:t>家食源性疾病监测示范医疗机构</w:t>
            </w:r>
            <w:r>
              <w:rPr>
                <w:rFonts w:hint="eastAsia" w:ascii="Times New Roman" w:hAnsi="Times New Roman" w:eastAsia="方正仿宋_GBK" w:cs="Times New Roman"/>
                <w:color w:val="auto"/>
                <w:lang w:val="en-US" w:eastAsia="zh-CN"/>
              </w:rPr>
              <w:t>，</w:t>
            </w:r>
            <w:r>
              <w:rPr>
                <w:rFonts w:hint="default" w:ascii="Times New Roman" w:hAnsi="Times New Roman" w:eastAsia="方正仿宋_GBK" w:cs="Times New Roman"/>
                <w:color w:val="auto"/>
                <w:lang w:val="en-US"/>
              </w:rPr>
              <w:t>食源性疾病监测医院乡镇</w:t>
            </w:r>
            <w:r>
              <w:rPr>
                <w:rFonts w:hint="default" w:ascii="Times New Roman" w:hAnsi="Times New Roman" w:eastAsia="方正仿宋_GBK" w:cs="Times New Roman"/>
                <w:color w:val="auto"/>
                <w:lang w:val="en-US" w:eastAsia="zh-CN"/>
              </w:rPr>
              <w:t>（街道）</w:t>
            </w:r>
            <w:r>
              <w:rPr>
                <w:rFonts w:hint="default" w:ascii="Times New Roman" w:hAnsi="Times New Roman" w:eastAsia="方正仿宋_GBK" w:cs="Times New Roman"/>
                <w:color w:val="auto"/>
                <w:lang w:val="en-US"/>
              </w:rPr>
              <w:t>覆盖率达100%</w:t>
            </w:r>
            <w:r>
              <w:rPr>
                <w:rFonts w:hint="default" w:ascii="Times New Roman" w:hAnsi="Times New Roman" w:eastAsia="方正仿宋_GBK" w:cs="Times New Roman"/>
                <w:color w:val="auto"/>
              </w:rPr>
              <w:t>。</w:t>
            </w:r>
          </w:p>
          <w:p w14:paraId="5E4ED9C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56" w:firstLineChars="19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2.加强食品污染物和有害因素监测。</w:t>
            </w:r>
            <w:r>
              <w:rPr>
                <w:rFonts w:hint="default" w:ascii="Times New Roman" w:hAnsi="Times New Roman" w:eastAsia="方正仿宋_GBK" w:cs="Times New Roman"/>
                <w:color w:val="auto"/>
              </w:rPr>
              <w:t>拓宽风险监测覆盖面，科学划分食品安全风险等级，建立覆盖所有县级行政区域并延伸到乡村的风险监测体系。加强对污染量大、健康危害严重的毒性物质的系统检测，掌握重点地区特异性污染状况。</w:t>
            </w:r>
          </w:p>
          <w:p w14:paraId="4708EC90">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56" w:firstLineChars="190"/>
              <w:jc w:val="both"/>
              <w:textAlignment w:val="auto"/>
              <w:outlineLvl w:val="9"/>
              <w:rPr>
                <w:rFonts w:hint="default" w:ascii="Times New Roman" w:hAnsi="Times New Roman" w:eastAsia="方正仿宋_GBK" w:cs="Times New Roman"/>
                <w:color w:val="auto"/>
              </w:rPr>
            </w:pPr>
            <w:r>
              <w:rPr>
                <w:rFonts w:hint="default" w:ascii="Times New Roman" w:hAnsi="Times New Roman" w:eastAsia="方正楷体_GBK" w:cs="Times New Roman"/>
                <w:color w:val="auto"/>
                <w:lang w:val="en-US"/>
              </w:rPr>
              <w:t>3.加强重点食品和有害因素风险评估。</w:t>
            </w:r>
            <w:r>
              <w:rPr>
                <w:rFonts w:hint="default" w:ascii="Times New Roman" w:hAnsi="Times New Roman" w:eastAsia="方正仿宋_GBK" w:cs="Times New Roman"/>
                <w:color w:val="auto"/>
                <w:lang w:val="en-US"/>
              </w:rPr>
              <w:t>开展危害评估、风险监测、膳食暴露所需要数据的采集，完善评估数据库</w:t>
            </w:r>
            <w:r>
              <w:rPr>
                <w:rFonts w:hint="default" w:ascii="Times New Roman" w:hAnsi="Times New Roman" w:eastAsia="方正仿宋_GBK" w:cs="Times New Roman"/>
                <w:color w:val="auto"/>
              </w:rPr>
              <w:t>，积极利用“互联网+”、大数据技术和风险监测数据等信息，开展食品安全风险评估技术研究，掌握重点食品主要污染物和危害因素的分布和来源。</w:t>
            </w:r>
          </w:p>
          <w:p w14:paraId="263E067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56" w:firstLineChars="190"/>
              <w:jc w:val="both"/>
              <w:textAlignment w:val="auto"/>
              <w:outlineLvl w:val="9"/>
              <w:rPr>
                <w:rFonts w:ascii="宋体" w:hAnsi="宋体" w:eastAsia="方正仿宋_GBK" w:cs="方正仿宋_GBK"/>
                <w:color w:val="auto"/>
                <w:lang w:val="en-US"/>
              </w:rPr>
            </w:pPr>
            <w:r>
              <w:rPr>
                <w:rFonts w:hint="default" w:ascii="Times New Roman" w:hAnsi="Times New Roman" w:eastAsia="方正楷体_GBK" w:cs="Times New Roman"/>
                <w:color w:val="auto"/>
                <w:lang w:val="en-US"/>
              </w:rPr>
              <w:t>4.提升各级疾控机构食品安全风险监测能力。</w:t>
            </w:r>
            <w:r>
              <w:rPr>
                <w:rFonts w:hint="default" w:ascii="Times New Roman" w:hAnsi="Times New Roman" w:eastAsia="方正仿宋_GBK" w:cs="Times New Roman"/>
                <w:color w:val="auto"/>
                <w:lang w:val="en-US"/>
              </w:rPr>
              <w:t>州级食品安全风险监测实验室具备检测能力不少于300项</w:t>
            </w:r>
            <w:r>
              <w:rPr>
                <w:rFonts w:hint="eastAsia" w:ascii="Times New Roman" w:hAnsi="Times New Roman" w:eastAsia="方正仿宋_GBK" w:cs="Times New Roman"/>
                <w:color w:val="auto"/>
                <w:lang w:val="en-US" w:eastAsia="zh-CN"/>
              </w:rPr>
              <w:t>，</w:t>
            </w:r>
            <w:r>
              <w:rPr>
                <w:rFonts w:hint="default" w:ascii="Times New Roman" w:hAnsi="Times New Roman" w:eastAsia="方正仿宋_GBK" w:cs="Times New Roman"/>
                <w:color w:val="auto"/>
                <w:lang w:val="en-US"/>
              </w:rPr>
              <w:t>县级食品安全风险监测实验室具备检测能力不少于70项。</w:t>
            </w:r>
          </w:p>
        </w:tc>
      </w:tr>
    </w:tbl>
    <w:p w14:paraId="6E5B852B">
      <w:pPr>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firstLine="0" w:firstLineChars="0"/>
        <w:jc w:val="left"/>
        <w:textAlignment w:val="auto"/>
        <w:outlineLvl w:val="9"/>
        <w:rPr>
          <w:rFonts w:hint="eastAsia" w:ascii="宋体" w:hAnsi="宋体" w:eastAsia="方正仿宋_GBK" w:cs="方正仿宋_GBK"/>
          <w:bCs/>
          <w:color w:val="auto"/>
          <w:kern w:val="2"/>
          <w:sz w:val="32"/>
          <w:szCs w:val="32"/>
          <w:lang w:val="zh-CN" w:eastAsia="zh-CN" w:bidi="ar"/>
        </w:rPr>
      </w:pPr>
    </w:p>
    <w:tbl>
      <w:tblPr>
        <w:tblStyle w:val="16"/>
        <w:tblpPr w:leftFromText="181" w:rightFromText="181" w:vertAnchor="text" w:horzAnchor="page" w:tblpXSpec="center" w:tblpY="1"/>
        <w:tblOverlap w:val="never"/>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0"/>
      </w:tblGrid>
      <w:tr w14:paraId="4CBD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0" w:type="dxa"/>
            <w:vAlign w:val="top"/>
          </w:tcPr>
          <w:p w14:paraId="7177731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宋体" w:hAnsi="宋体"/>
                <w:color w:val="auto"/>
                <w:vertAlign w:val="baseline"/>
              </w:rPr>
            </w:pPr>
            <w:r>
              <w:rPr>
                <w:rFonts w:hint="eastAsia" w:ascii="宋体" w:hAnsi="宋体" w:eastAsia="方正黑体_GBK" w:cs="方正黑体_GBK"/>
                <w:bCs/>
                <w:color w:val="auto"/>
                <w:kern w:val="2"/>
                <w:sz w:val="28"/>
                <w:szCs w:val="28"/>
              </w:rPr>
              <w:t>重点工程专栏</w:t>
            </w:r>
            <w:r>
              <w:rPr>
                <w:rFonts w:hint="eastAsia" w:ascii="宋体" w:hAnsi="宋体" w:eastAsia="方正黑体_GBK" w:cs="方正黑体_GBK"/>
                <w:bCs/>
                <w:color w:val="auto"/>
                <w:kern w:val="2"/>
                <w:sz w:val="28"/>
                <w:szCs w:val="28"/>
                <w:lang w:val="en-US" w:eastAsia="zh-CN"/>
              </w:rPr>
              <w:t>6</w:t>
            </w:r>
            <w:r>
              <w:rPr>
                <w:rFonts w:hint="eastAsia" w:ascii="宋体" w:hAnsi="宋体" w:eastAsia="方正黑体_GBK" w:cs="方正黑体_GBK"/>
                <w:bCs/>
                <w:color w:val="auto"/>
                <w:kern w:val="2"/>
                <w:sz w:val="28"/>
                <w:szCs w:val="28"/>
              </w:rPr>
              <w:t>：实施食品安全风险预警系统建设工程</w:t>
            </w:r>
          </w:p>
        </w:tc>
      </w:tr>
      <w:tr w14:paraId="0ED6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jc w:val="center"/>
        </w:trPr>
        <w:tc>
          <w:tcPr>
            <w:tcW w:w="8550" w:type="dxa"/>
            <w:vAlign w:val="top"/>
          </w:tcPr>
          <w:p w14:paraId="51216E6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rPr>
              <w:t>1.</w:t>
            </w:r>
            <w:r>
              <w:rPr>
                <w:rFonts w:hint="default" w:ascii="Times New Roman" w:hAnsi="Times New Roman" w:eastAsia="方正楷体_GBK" w:cs="Times New Roman"/>
                <w:bCs/>
                <w:color w:val="auto"/>
                <w:kern w:val="2"/>
                <w:sz w:val="24"/>
                <w:szCs w:val="24"/>
              </w:rPr>
              <w:t>建立食品安全风险预警交流专门机制。</w:t>
            </w:r>
            <w:r>
              <w:rPr>
                <w:rFonts w:hint="default" w:ascii="Times New Roman" w:hAnsi="Times New Roman" w:eastAsia="方正仿宋_GBK" w:cs="Times New Roman"/>
                <w:bCs/>
                <w:color w:val="auto"/>
                <w:kern w:val="2"/>
                <w:sz w:val="24"/>
                <w:szCs w:val="24"/>
              </w:rPr>
              <w:t>根据我</w:t>
            </w:r>
            <w:r>
              <w:rPr>
                <w:rFonts w:hint="default" w:ascii="Times New Roman" w:hAnsi="Times New Roman" w:eastAsia="方正仿宋_GBK" w:cs="Times New Roman"/>
                <w:bCs/>
                <w:color w:val="auto"/>
                <w:kern w:val="2"/>
                <w:sz w:val="24"/>
                <w:szCs w:val="24"/>
                <w:lang w:eastAsia="zh-CN"/>
              </w:rPr>
              <w:t>州</w:t>
            </w:r>
            <w:r>
              <w:rPr>
                <w:rFonts w:hint="default" w:ascii="Times New Roman" w:hAnsi="Times New Roman" w:eastAsia="方正仿宋_GBK" w:cs="Times New Roman"/>
                <w:bCs/>
                <w:color w:val="auto"/>
                <w:kern w:val="2"/>
                <w:sz w:val="24"/>
                <w:szCs w:val="24"/>
              </w:rPr>
              <w:t>产业特点、消费特点，建立重点食品风险预警交流</w:t>
            </w:r>
            <w:r>
              <w:rPr>
                <w:rFonts w:hint="default" w:ascii="Times New Roman" w:hAnsi="Times New Roman" w:eastAsia="方正仿宋_GBK" w:cs="Times New Roman"/>
                <w:bCs/>
                <w:color w:val="auto"/>
                <w:kern w:val="2"/>
                <w:sz w:val="24"/>
                <w:szCs w:val="24"/>
                <w:lang w:val="en-US" w:eastAsia="zh-CN"/>
              </w:rPr>
              <w:t>机制</w:t>
            </w:r>
            <w:r>
              <w:rPr>
                <w:rFonts w:hint="default" w:ascii="Times New Roman" w:hAnsi="Times New Roman" w:eastAsia="方正仿宋_GBK" w:cs="Times New Roman"/>
                <w:bCs/>
                <w:color w:val="auto"/>
                <w:kern w:val="2"/>
                <w:sz w:val="24"/>
                <w:szCs w:val="24"/>
              </w:rPr>
              <w:t>，建立完善全链条、全环节食品安全风险信息收集、研判、会商、交流、处置工作机制，为食品安全监管提供强有力专业支撑。</w:t>
            </w:r>
          </w:p>
          <w:p w14:paraId="01C88D5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方正仿宋_GBK" w:cs="Times New Roman"/>
                <w:bCs/>
                <w:color w:val="auto"/>
                <w:kern w:val="2"/>
                <w:sz w:val="24"/>
                <w:szCs w:val="24"/>
              </w:rPr>
            </w:pPr>
            <w:r>
              <w:rPr>
                <w:rFonts w:hint="default" w:ascii="Times New Roman" w:hAnsi="Times New Roman" w:eastAsia="方正楷体_GBK" w:cs="Times New Roman"/>
                <w:bCs/>
                <w:color w:val="auto"/>
                <w:kern w:val="2"/>
                <w:sz w:val="24"/>
                <w:szCs w:val="24"/>
                <w:lang w:val="en-US"/>
              </w:rPr>
              <w:t>2.</w:t>
            </w:r>
            <w:r>
              <w:rPr>
                <w:rFonts w:hint="default" w:ascii="Times New Roman" w:hAnsi="Times New Roman" w:eastAsia="方正楷体_GBK" w:cs="Times New Roman"/>
                <w:bCs/>
                <w:color w:val="auto"/>
                <w:kern w:val="2"/>
                <w:sz w:val="24"/>
                <w:szCs w:val="24"/>
                <w:lang w:val="en-US" w:eastAsia="zh-CN"/>
              </w:rPr>
              <w:t>配合省级</w:t>
            </w:r>
            <w:r>
              <w:rPr>
                <w:rFonts w:hint="default" w:ascii="Times New Roman" w:hAnsi="Times New Roman" w:eastAsia="方正楷体_GBK" w:cs="Times New Roman"/>
                <w:bCs/>
                <w:color w:val="auto"/>
                <w:kern w:val="2"/>
                <w:sz w:val="24"/>
                <w:szCs w:val="24"/>
                <w:lang w:val="en-US"/>
              </w:rPr>
              <w:t>建设涉食信息（事件）统一采集、直报、处置系统。</w:t>
            </w:r>
            <w:r>
              <w:rPr>
                <w:rFonts w:hint="default" w:ascii="Times New Roman" w:hAnsi="Times New Roman" w:eastAsia="方正仿宋_GBK" w:cs="Times New Roman"/>
                <w:bCs/>
                <w:color w:val="auto"/>
                <w:kern w:val="2"/>
                <w:sz w:val="24"/>
                <w:szCs w:val="24"/>
              </w:rPr>
              <w:t>依托州、县</w:t>
            </w:r>
            <w:r>
              <w:rPr>
                <w:rFonts w:hint="default" w:ascii="Times New Roman" w:hAnsi="Times New Roman" w:eastAsia="方正仿宋_GBK" w:cs="Times New Roman"/>
                <w:bCs/>
                <w:color w:val="auto"/>
                <w:kern w:val="2"/>
                <w:sz w:val="24"/>
                <w:szCs w:val="24"/>
                <w:lang w:eastAsia="zh-CN"/>
              </w:rPr>
              <w:t>市</w:t>
            </w:r>
            <w:r>
              <w:rPr>
                <w:rFonts w:hint="default" w:ascii="Times New Roman" w:hAnsi="Times New Roman" w:eastAsia="方正仿宋_GBK" w:cs="Times New Roman"/>
                <w:bCs/>
                <w:color w:val="auto"/>
                <w:kern w:val="2"/>
                <w:sz w:val="24"/>
                <w:szCs w:val="24"/>
              </w:rPr>
              <w:t>、</w:t>
            </w:r>
            <w:r>
              <w:rPr>
                <w:rFonts w:hint="default" w:ascii="Times New Roman" w:hAnsi="Times New Roman" w:eastAsia="方正仿宋_GBK" w:cs="Times New Roman"/>
                <w:color w:val="auto"/>
                <w:sz w:val="24"/>
                <w:szCs w:val="24"/>
              </w:rPr>
              <w:t>乡镇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街道</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bCs/>
                <w:color w:val="auto"/>
                <w:kern w:val="2"/>
                <w:sz w:val="24"/>
                <w:szCs w:val="24"/>
              </w:rPr>
              <w:t>三级网格，</w:t>
            </w:r>
            <w:r>
              <w:rPr>
                <w:rFonts w:hint="default" w:ascii="Times New Roman" w:hAnsi="Times New Roman" w:eastAsia="方正仿宋_GBK" w:cs="Times New Roman"/>
                <w:bCs/>
                <w:color w:val="auto"/>
                <w:kern w:val="2"/>
                <w:sz w:val="24"/>
                <w:szCs w:val="24"/>
                <w:lang w:eastAsia="zh-CN"/>
              </w:rPr>
              <w:t>配合省级</w:t>
            </w:r>
            <w:r>
              <w:rPr>
                <w:rFonts w:hint="default" w:ascii="Times New Roman" w:hAnsi="Times New Roman" w:eastAsia="方正仿宋_GBK" w:cs="Times New Roman"/>
                <w:bCs/>
                <w:color w:val="auto"/>
                <w:kern w:val="2"/>
                <w:sz w:val="24"/>
                <w:szCs w:val="24"/>
              </w:rPr>
              <w:t>建立涉食信息（事件）统一规范的数字化采集、直报、处置系统，提高食品安全突发事件的监测预警能力和快速反应能力。</w:t>
            </w:r>
          </w:p>
          <w:p w14:paraId="2F911B28">
            <w:pPr>
              <w:keepNext w:val="0"/>
              <w:keepLines w:val="0"/>
              <w:pageBreakBefore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宋体" w:hAnsi="宋体"/>
                <w:color w:val="auto"/>
                <w:vertAlign w:val="baseline"/>
              </w:rPr>
            </w:pPr>
            <w:r>
              <w:rPr>
                <w:rFonts w:hint="default" w:ascii="Times New Roman" w:hAnsi="Times New Roman" w:eastAsia="方正楷体_GBK" w:cs="Times New Roman"/>
                <w:bCs/>
                <w:color w:val="auto"/>
                <w:kern w:val="2"/>
                <w:sz w:val="24"/>
                <w:szCs w:val="24"/>
                <w:lang w:val="en-US"/>
              </w:rPr>
              <w:t>3.</w:t>
            </w:r>
            <w:r>
              <w:rPr>
                <w:rFonts w:hint="default" w:ascii="Times New Roman" w:hAnsi="Times New Roman" w:eastAsia="方正楷体_GBK" w:cs="Times New Roman"/>
                <w:bCs/>
                <w:color w:val="auto"/>
                <w:kern w:val="2"/>
                <w:sz w:val="24"/>
                <w:szCs w:val="24"/>
                <w:lang w:val="en-US" w:eastAsia="zh-CN"/>
              </w:rPr>
              <w:t>配合</w:t>
            </w:r>
            <w:r>
              <w:rPr>
                <w:rFonts w:hint="default" w:ascii="Times New Roman" w:hAnsi="Times New Roman" w:eastAsia="方正楷体_GBK" w:cs="Times New Roman"/>
                <w:bCs/>
                <w:color w:val="auto"/>
                <w:kern w:val="2"/>
                <w:sz w:val="24"/>
                <w:szCs w:val="24"/>
                <w:lang w:val="en-US"/>
              </w:rPr>
              <w:t>省级建设食品安全风险管理信息平台。</w:t>
            </w:r>
            <w:r>
              <w:rPr>
                <w:rFonts w:hint="default" w:ascii="Times New Roman" w:hAnsi="Times New Roman" w:eastAsia="方正仿宋_GBK" w:cs="Times New Roman"/>
                <w:bCs/>
                <w:color w:val="auto"/>
                <w:kern w:val="2"/>
                <w:sz w:val="24"/>
                <w:szCs w:val="24"/>
              </w:rPr>
              <w:t>推进食源性疾病报告、风险监测与监督抽检系统</w:t>
            </w:r>
            <w:r>
              <w:rPr>
                <w:rFonts w:hint="default" w:ascii="Times New Roman" w:hAnsi="Times New Roman" w:eastAsia="方正仿宋_GBK" w:cs="Times New Roman"/>
                <w:bCs/>
                <w:color w:val="auto"/>
                <w:kern w:val="2"/>
                <w:sz w:val="24"/>
                <w:szCs w:val="24"/>
                <w:lang w:val="en-US"/>
              </w:rPr>
              <w:t>共享</w:t>
            </w:r>
            <w:r>
              <w:rPr>
                <w:rFonts w:hint="default" w:ascii="Times New Roman" w:hAnsi="Times New Roman" w:eastAsia="方正仿宋_GBK" w:cs="Times New Roman"/>
                <w:bCs/>
                <w:color w:val="auto"/>
                <w:kern w:val="2"/>
                <w:sz w:val="24"/>
                <w:szCs w:val="24"/>
              </w:rPr>
              <w:t>，整合包括食品生产经营、日常监管、执法等数据资源，实现企业主体、产品、检验检测、风险监测、信用等关键数据的</w:t>
            </w:r>
            <w:r>
              <w:rPr>
                <w:rFonts w:hint="default" w:ascii="Times New Roman" w:hAnsi="Times New Roman" w:eastAsia="方正仿宋_GBK" w:cs="Times New Roman"/>
                <w:bCs/>
                <w:color w:val="auto"/>
                <w:kern w:val="2"/>
                <w:sz w:val="24"/>
                <w:szCs w:val="24"/>
                <w:lang w:val="en-US"/>
              </w:rPr>
              <w:t>整合</w:t>
            </w:r>
            <w:r>
              <w:rPr>
                <w:rFonts w:hint="default" w:ascii="Times New Roman" w:hAnsi="Times New Roman" w:eastAsia="方正仿宋_GBK" w:cs="Times New Roman"/>
                <w:bCs/>
                <w:color w:val="auto"/>
                <w:kern w:val="2"/>
                <w:sz w:val="24"/>
                <w:szCs w:val="24"/>
              </w:rPr>
              <w:t>，深化跨部门信息应用。</w:t>
            </w:r>
          </w:p>
        </w:tc>
      </w:tr>
    </w:tbl>
    <w:p w14:paraId="68069308">
      <w:pPr>
        <w:pStyle w:val="6"/>
        <w:keepNext w:val="0"/>
        <w:keepLines w:val="0"/>
        <w:pageBreakBefore w:val="0"/>
        <w:kinsoku/>
        <w:wordWrap/>
        <w:overflowPunct/>
        <w:topLinePunct w:val="0"/>
        <w:bidi w:val="0"/>
        <w:adjustRightInd/>
        <w:snapToGrid/>
        <w:spacing w:line="480" w:lineRule="exact"/>
        <w:ind w:left="0" w:leftChars="0" w:right="0" w:rightChars="0"/>
        <w:textAlignment w:val="auto"/>
        <w:rPr>
          <w:rFonts w:hint="eastAsia"/>
          <w:color w:val="auto"/>
        </w:rPr>
      </w:pPr>
    </w:p>
    <w:tbl>
      <w:tblPr>
        <w:tblStyle w:val="16"/>
        <w:tblpPr w:leftFromText="181" w:rightFromText="181" w:vertAnchor="text" w:horzAnchor="page"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CDF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522" w:type="dxa"/>
            <w:vAlign w:val="top"/>
          </w:tcPr>
          <w:p w14:paraId="746B48FB">
            <w:pPr>
              <w:pStyle w:val="10"/>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0" w:firstLineChars="0"/>
              <w:jc w:val="both"/>
              <w:textAlignment w:val="auto"/>
              <w:rPr>
                <w:rFonts w:hint="eastAsia" w:ascii="宋体" w:hAnsi="宋体"/>
                <w:color w:val="auto"/>
                <w:vertAlign w:val="baseline"/>
              </w:rPr>
            </w:pPr>
            <w:bookmarkStart w:id="398" w:name="_Toc24182"/>
            <w:bookmarkStart w:id="399" w:name="_Toc3797"/>
            <w:bookmarkStart w:id="400" w:name="_Toc31732"/>
            <w:bookmarkStart w:id="401" w:name="_Toc30689"/>
            <w:bookmarkStart w:id="402" w:name="_Toc66134864"/>
            <w:bookmarkStart w:id="403" w:name="_Toc24719"/>
            <w:bookmarkStart w:id="404" w:name="_Toc11826"/>
            <w:bookmarkStart w:id="405" w:name="_Toc66917158"/>
            <w:bookmarkStart w:id="406" w:name="_Toc8506"/>
            <w:bookmarkStart w:id="407" w:name="_Toc6971"/>
            <w:bookmarkStart w:id="408" w:name="_Toc4347"/>
            <w:bookmarkStart w:id="409" w:name="_Toc8091"/>
            <w:r>
              <w:rPr>
                <w:rFonts w:hint="eastAsia" w:ascii="宋体" w:hAnsi="宋体" w:eastAsia="方正黑体_GBK" w:cs="方正黑体_GBK"/>
                <w:bCs/>
                <w:color w:val="auto"/>
                <w:sz w:val="28"/>
                <w:szCs w:val="28"/>
              </w:rPr>
              <w:t>重点工程专栏</w:t>
            </w:r>
            <w:r>
              <w:rPr>
                <w:rFonts w:hint="eastAsia" w:ascii="宋体" w:hAnsi="宋体" w:eastAsia="方正黑体_GBK" w:cs="方正黑体_GBK"/>
                <w:bCs/>
                <w:color w:val="auto"/>
                <w:sz w:val="28"/>
                <w:szCs w:val="28"/>
                <w:lang w:val="en-US" w:eastAsia="zh-CN"/>
              </w:rPr>
              <w:t>7</w:t>
            </w:r>
            <w:r>
              <w:rPr>
                <w:rFonts w:hint="eastAsia" w:ascii="宋体" w:hAnsi="宋体" w:eastAsia="方正黑体_GBK" w:cs="方正黑体_GBK"/>
                <w:bCs/>
                <w:color w:val="auto"/>
                <w:sz w:val="28"/>
                <w:szCs w:val="28"/>
              </w:rPr>
              <w:t>：实施应急管理能力提升工程</w:t>
            </w:r>
          </w:p>
        </w:tc>
      </w:tr>
      <w:tr w14:paraId="7251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0020EDC6">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rPr>
            </w:pPr>
            <w:r>
              <w:rPr>
                <w:rFonts w:hint="eastAsia" w:ascii="方正楷体_GBK" w:hAnsi="方正楷体_GBK" w:eastAsia="方正楷体_GBK" w:cs="方正楷体_GBK"/>
                <w:color w:val="auto"/>
                <w:sz w:val="24"/>
                <w:szCs w:val="24"/>
                <w:lang w:val="en-US"/>
              </w:rPr>
              <w:t>1.加强</w:t>
            </w:r>
            <w:r>
              <w:rPr>
                <w:rFonts w:hint="eastAsia" w:ascii="方正楷体_GBK" w:hAnsi="方正楷体_GBK" w:eastAsia="方正楷体_GBK" w:cs="方正楷体_GBK"/>
                <w:color w:val="auto"/>
                <w:sz w:val="24"/>
                <w:szCs w:val="24"/>
              </w:rPr>
              <w:t>应急队伍及装备建设。</w:t>
            </w:r>
            <w:r>
              <w:rPr>
                <w:rFonts w:hint="default" w:ascii="Times New Roman" w:hAnsi="Times New Roman" w:eastAsia="方正仿宋_GBK" w:cs="Times New Roman"/>
                <w:color w:val="auto"/>
                <w:sz w:val="24"/>
                <w:szCs w:val="24"/>
              </w:rPr>
              <w:t>加强州、县市</w:t>
            </w:r>
            <w:r>
              <w:rPr>
                <w:rFonts w:hint="eastAsia" w:ascii="Times New Roman" w:hAnsi="Times New Roman" w:eastAsia="方正仿宋_GBK" w:cs="Times New Roman"/>
                <w:color w:val="auto"/>
                <w:sz w:val="24"/>
                <w:szCs w:val="24"/>
                <w:lang w:eastAsia="zh-CN"/>
              </w:rPr>
              <w:t>两</w:t>
            </w:r>
            <w:r>
              <w:rPr>
                <w:rFonts w:hint="default" w:ascii="Times New Roman" w:hAnsi="Times New Roman" w:eastAsia="方正仿宋_GBK" w:cs="Times New Roman"/>
                <w:color w:val="auto"/>
                <w:sz w:val="24"/>
                <w:szCs w:val="24"/>
              </w:rPr>
              <w:t>级骨干机动应急队伍和应急装备建设及食品安全战术单元建设。组建应急专家队伍参与检验检测、医疗救治、流行病学调查、事件处置等。主要用于食品安全事故现场指挥调查处置、重大活动食品安全保障指挥调度、重大灾害食品安全应急救援（疫情、地震等）。</w:t>
            </w:r>
          </w:p>
          <w:p w14:paraId="5DE31360">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rPr>
            </w:pPr>
            <w:r>
              <w:rPr>
                <w:rFonts w:hint="eastAsia" w:ascii="方正楷体_GBK" w:hAnsi="方正楷体_GBK" w:eastAsia="方正楷体_GBK" w:cs="方正楷体_GBK"/>
                <w:color w:val="auto"/>
                <w:sz w:val="24"/>
                <w:szCs w:val="24"/>
                <w:lang w:val="en-US"/>
              </w:rPr>
              <w:t>2.加强应急平台体系建设。</w:t>
            </w:r>
            <w:r>
              <w:rPr>
                <w:rFonts w:hint="eastAsia" w:ascii="方正楷体_GBK" w:hAnsi="方正楷体_GBK" w:eastAsia="方正楷体_GBK" w:cs="方正楷体_GBK"/>
                <w:color w:val="auto"/>
                <w:sz w:val="24"/>
                <w:szCs w:val="24"/>
                <w:lang w:val="en-US" w:eastAsia="zh-CN"/>
              </w:rPr>
              <w:t>配合省级</w:t>
            </w:r>
            <w:r>
              <w:rPr>
                <w:rFonts w:hint="default" w:ascii="Times New Roman" w:hAnsi="Times New Roman" w:eastAsia="方正仿宋_GBK" w:cs="Times New Roman"/>
                <w:color w:val="auto"/>
                <w:sz w:val="24"/>
                <w:szCs w:val="24"/>
              </w:rPr>
              <w:t>建设食品安全应急信息平台。建设覆盖州、县</w:t>
            </w:r>
            <w:r>
              <w:rPr>
                <w:rFonts w:hint="default" w:ascii="Times New Roman" w:hAnsi="Times New Roman" w:eastAsia="方正仿宋_GBK" w:cs="Times New Roman"/>
                <w:color w:val="auto"/>
                <w:sz w:val="24"/>
                <w:szCs w:val="24"/>
                <w:lang w:val="en-US"/>
              </w:rPr>
              <w:t>市</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辐射乡镇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街道</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的食品安全突发事件信息网络。</w:t>
            </w:r>
          </w:p>
          <w:p w14:paraId="2CF25AD0">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rPr>
            </w:pPr>
            <w:r>
              <w:rPr>
                <w:rFonts w:hint="default" w:ascii="方正楷体_GBK" w:hAnsi="方正楷体_GBK" w:eastAsia="方正楷体_GBK" w:cs="方正楷体_GBK"/>
                <w:color w:val="auto"/>
                <w:sz w:val="24"/>
                <w:szCs w:val="24"/>
                <w:lang w:val="en-US"/>
              </w:rPr>
              <w:t>3.加强应急技术能力建设。</w:t>
            </w:r>
            <w:r>
              <w:rPr>
                <w:rFonts w:hint="default" w:ascii="Times New Roman" w:hAnsi="Times New Roman" w:eastAsia="方正仿宋_GBK" w:cs="Times New Roman"/>
                <w:color w:val="auto"/>
                <w:sz w:val="24"/>
                <w:szCs w:val="24"/>
              </w:rPr>
              <w:t>建立应急处置技术标准和程序。建立应急检验物资储备制度。</w:t>
            </w:r>
          </w:p>
          <w:p w14:paraId="4D5F287F">
            <w:pPr>
              <w:pStyle w:val="13"/>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lang w:val="en-US"/>
              </w:rPr>
            </w:pPr>
            <w:r>
              <w:rPr>
                <w:rFonts w:hint="default" w:ascii="方正楷体_GBK" w:hAnsi="方正楷体_GBK" w:eastAsia="方正楷体_GBK" w:cs="方正楷体_GBK"/>
                <w:color w:val="auto"/>
                <w:sz w:val="24"/>
                <w:szCs w:val="24"/>
                <w:lang w:val="en-US"/>
              </w:rPr>
              <w:t>4.加强食品安全舆情监测网络建设。</w:t>
            </w:r>
            <w:r>
              <w:rPr>
                <w:rFonts w:hint="default" w:ascii="Times New Roman" w:hAnsi="Times New Roman" w:eastAsia="方正仿宋_GBK" w:cs="Times New Roman"/>
                <w:color w:val="auto"/>
                <w:sz w:val="24"/>
                <w:szCs w:val="24"/>
                <w:lang w:val="en-US"/>
              </w:rPr>
              <w:t>建立重大舆情收集、分析研判和快速响应机制。</w:t>
            </w:r>
            <w:r>
              <w:rPr>
                <w:rFonts w:hint="default" w:ascii="Times New Roman" w:hAnsi="Times New Roman" w:eastAsia="方正仿宋_GBK" w:cs="Times New Roman"/>
                <w:color w:val="auto"/>
                <w:sz w:val="24"/>
                <w:szCs w:val="24"/>
              </w:rPr>
              <w:t xml:space="preserve">到 </w:t>
            </w:r>
            <w:r>
              <w:rPr>
                <w:rFonts w:hint="default" w:ascii="Times New Roman" w:hAnsi="Times New Roman" w:eastAsia="方正仿宋_GBK" w:cs="Times New Roman"/>
                <w:color w:val="auto"/>
                <w:sz w:val="24"/>
                <w:szCs w:val="24"/>
                <w:lang w:val="en-US"/>
              </w:rPr>
              <w:t>2025年</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舆情监测网络县</w:t>
            </w:r>
            <w:r>
              <w:rPr>
                <w:rFonts w:hint="default" w:ascii="Times New Roman" w:hAnsi="Times New Roman" w:eastAsia="方正仿宋_GBK" w:cs="Times New Roman"/>
                <w:color w:val="auto"/>
                <w:sz w:val="24"/>
                <w:szCs w:val="24"/>
                <w:lang w:val="en-US"/>
              </w:rPr>
              <w:t>市</w:t>
            </w:r>
            <w:r>
              <w:rPr>
                <w:rFonts w:hint="default" w:ascii="Times New Roman" w:hAnsi="Times New Roman" w:eastAsia="方正仿宋_GBK" w:cs="Times New Roman"/>
                <w:color w:val="auto"/>
                <w:sz w:val="24"/>
                <w:szCs w:val="24"/>
              </w:rPr>
              <w:t>覆盖率达到 80%</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乡镇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街道</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覆盖率达到</w:t>
            </w:r>
            <w:r>
              <w:rPr>
                <w:rFonts w:hint="default" w:ascii="Times New Roman" w:hAnsi="Times New Roman" w:eastAsia="方正仿宋_GBK" w:cs="Times New Roman"/>
                <w:color w:val="auto"/>
                <w:sz w:val="24"/>
                <w:szCs w:val="24"/>
                <w:lang w:val="en-US"/>
              </w:rPr>
              <w:t>70%。</w:t>
            </w:r>
          </w:p>
          <w:p w14:paraId="510CE8E8">
            <w:pPr>
              <w:pStyle w:val="10"/>
              <w:keepNext w:val="0"/>
              <w:keepLines w:val="0"/>
              <w:pageBreakBefore w:val="0"/>
              <w:widowControl w:val="0"/>
              <w:kinsoku/>
              <w:wordWrap/>
              <w:overflowPunct/>
              <w:topLinePunct w:val="0"/>
              <w:autoSpaceDE/>
              <w:autoSpaceDN/>
              <w:bidi w:val="0"/>
              <w:adjustRightInd/>
              <w:snapToGrid/>
              <w:spacing w:after="0" w:afterLines="0" w:line="320" w:lineRule="exact"/>
              <w:ind w:left="0" w:leftChars="0" w:right="0" w:rightChars="0" w:firstLine="480" w:firstLineChars="200"/>
              <w:jc w:val="both"/>
              <w:textAlignment w:val="auto"/>
              <w:outlineLvl w:val="9"/>
              <w:rPr>
                <w:rFonts w:hint="eastAsia" w:ascii="宋体" w:hAnsi="宋体"/>
                <w:color w:val="auto"/>
                <w:vertAlign w:val="baseline"/>
              </w:rPr>
            </w:pPr>
            <w:r>
              <w:rPr>
                <w:rFonts w:hint="default" w:ascii="方正楷体_GBK" w:hAnsi="方正楷体_GBK" w:eastAsia="方正楷体_GBK" w:cs="方正楷体_GBK"/>
                <w:color w:val="auto"/>
                <w:sz w:val="24"/>
                <w:szCs w:val="24"/>
                <w:lang w:val="en-US"/>
              </w:rPr>
              <w:t>5.</w:t>
            </w:r>
            <w:r>
              <w:rPr>
                <w:rFonts w:hint="default" w:ascii="方正楷体_GBK" w:hAnsi="方正楷体_GBK" w:eastAsia="方正楷体_GBK" w:cs="方正楷体_GBK"/>
                <w:color w:val="auto"/>
                <w:sz w:val="24"/>
                <w:szCs w:val="24"/>
                <w:lang w:val="en-US" w:eastAsia="zh-CN" w:bidi="zh-CN"/>
              </w:rPr>
              <w:t>加强应急指挥中心建设。</w:t>
            </w:r>
            <w:r>
              <w:rPr>
                <w:rFonts w:hint="default" w:ascii="Times New Roman" w:hAnsi="Times New Roman" w:eastAsia="方正仿宋_GBK" w:cs="Times New Roman"/>
                <w:color w:val="auto"/>
                <w:sz w:val="24"/>
                <w:szCs w:val="24"/>
              </w:rPr>
              <w:t>建成食品应急指挥中心</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配备应急车辆、通信平台、应急装备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形成州、县市</w:t>
            </w:r>
            <w:r>
              <w:rPr>
                <w:rFonts w:hint="eastAsia" w:ascii="Times New Roman" w:hAnsi="Times New Roman" w:eastAsia="方正仿宋_GBK" w:cs="Times New Roman"/>
                <w:color w:val="auto"/>
                <w:sz w:val="24"/>
                <w:szCs w:val="24"/>
                <w:lang w:eastAsia="zh-CN"/>
              </w:rPr>
              <w:t>两</w:t>
            </w:r>
            <w:r>
              <w:rPr>
                <w:rFonts w:hint="default" w:ascii="Times New Roman" w:hAnsi="Times New Roman" w:eastAsia="方正仿宋_GBK" w:cs="Times New Roman"/>
                <w:color w:val="auto"/>
                <w:sz w:val="24"/>
                <w:szCs w:val="24"/>
              </w:rPr>
              <w:t>级应急网络指挥体系。</w:t>
            </w:r>
          </w:p>
        </w:tc>
      </w:tr>
    </w:tbl>
    <w:p w14:paraId="371162F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643" w:firstLineChars="200"/>
        <w:jc w:val="both"/>
        <w:textAlignment w:val="auto"/>
        <w:outlineLvl w:val="9"/>
        <w:rPr>
          <w:rFonts w:hint="eastAsia" w:ascii="宋体" w:hAnsi="宋体" w:eastAsia="方正仿宋_GBK" w:cs="方正仿宋_GBK"/>
          <w:b/>
          <w:bCs/>
          <w:color w:val="auto"/>
          <w:sz w:val="32"/>
          <w:szCs w:val="32"/>
          <w:lang w:val="en-US"/>
        </w:rPr>
      </w:pPr>
    </w:p>
    <w:p w14:paraId="1C981EE3">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b/>
          <w:bCs/>
          <w:color w:val="auto"/>
          <w:sz w:val="32"/>
          <w:szCs w:val="32"/>
          <w:lang w:val="en-US"/>
        </w:rPr>
      </w:pPr>
      <w:r>
        <w:rPr>
          <w:rFonts w:hint="eastAsia" w:ascii="方正黑体_GBK" w:hAnsi="方正黑体_GBK" w:eastAsia="方正黑体_GBK" w:cs="方正黑体_GBK"/>
          <w:b w:val="0"/>
          <w:bCs w:val="0"/>
          <w:color w:val="auto"/>
          <w:sz w:val="32"/>
          <w:szCs w:val="32"/>
          <w:lang w:val="en-US"/>
        </w:rPr>
        <w:fldChar w:fldCharType="begin"/>
      </w:r>
      <w:r>
        <w:rPr>
          <w:rFonts w:hint="eastAsia" w:ascii="方正黑体_GBK" w:hAnsi="方正黑体_GBK" w:eastAsia="方正黑体_GBK" w:cs="方正黑体_GBK"/>
          <w:b w:val="0"/>
          <w:bCs w:val="0"/>
          <w:color w:val="auto"/>
          <w:sz w:val="32"/>
          <w:szCs w:val="32"/>
          <w:lang w:val="en-US"/>
        </w:rPr>
        <w:instrText xml:space="preserve"> HYPERLINK \l _Toc9553 </w:instrText>
      </w:r>
      <w:r>
        <w:rPr>
          <w:rFonts w:hint="eastAsia" w:ascii="方正黑体_GBK" w:hAnsi="方正黑体_GBK" w:eastAsia="方正黑体_GBK" w:cs="方正黑体_GBK"/>
          <w:b w:val="0"/>
          <w:bCs w:val="0"/>
          <w:color w:val="auto"/>
          <w:sz w:val="32"/>
          <w:szCs w:val="32"/>
          <w:lang w:val="en-US"/>
        </w:rPr>
        <w:fldChar w:fldCharType="separate"/>
      </w:r>
      <w:r>
        <w:rPr>
          <w:rFonts w:hint="eastAsia" w:ascii="方正黑体_GBK" w:hAnsi="方正黑体_GBK" w:eastAsia="方正黑体_GBK" w:cs="方正黑体_GBK"/>
          <w:b w:val="0"/>
          <w:bCs w:val="0"/>
          <w:color w:val="auto"/>
          <w:sz w:val="32"/>
          <w:szCs w:val="32"/>
          <w:lang w:val="en-US" w:eastAsia="zh-CN"/>
        </w:rPr>
        <w:t xml:space="preserve">第十节 </w:t>
      </w:r>
      <w:r>
        <w:rPr>
          <w:rFonts w:hint="eastAsia" w:ascii="方正黑体_GBK" w:hAnsi="方正黑体_GBK" w:eastAsia="方正黑体_GBK" w:cs="方正黑体_GBK"/>
          <w:b w:val="0"/>
          <w:bCs w:val="0"/>
          <w:color w:val="auto"/>
          <w:sz w:val="32"/>
          <w:szCs w:val="32"/>
          <w:lang w:val="en-US"/>
        </w:rPr>
        <w:t>推动食品产业高质量发展</w:t>
      </w:r>
      <w:r>
        <w:rPr>
          <w:rFonts w:hint="eastAsia" w:ascii="方正黑体_GBK" w:hAnsi="方正黑体_GBK" w:eastAsia="方正黑体_GBK" w:cs="方正黑体_GBK"/>
          <w:b w:val="0"/>
          <w:bCs w:val="0"/>
          <w:color w:val="auto"/>
          <w:sz w:val="32"/>
          <w:szCs w:val="32"/>
          <w:lang w:val="en-US"/>
        </w:rPr>
        <w:fldChar w:fldCharType="end"/>
      </w:r>
    </w:p>
    <w:p w14:paraId="23EB9B95">
      <w:pPr>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宋体" w:hAnsi="宋体" w:eastAsia="方正仿宋_GBK" w:cs="方正仿宋_GBK"/>
          <w:b/>
          <w:bCs/>
          <w:color w:val="auto"/>
          <w:sz w:val="32"/>
          <w:szCs w:val="32"/>
          <w:lang w:val="en-US" w:eastAsia="zh-CN"/>
        </w:rPr>
      </w:pPr>
    </w:p>
    <w:p w14:paraId="6A480028">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lang w:val="en-US"/>
        </w:rPr>
        <w:t>深化许可认证改革</w:t>
      </w:r>
      <w:bookmarkEnd w:id="398"/>
      <w:bookmarkEnd w:id="399"/>
      <w:bookmarkEnd w:id="400"/>
      <w:bookmarkEnd w:id="401"/>
      <w:bookmarkEnd w:id="402"/>
      <w:bookmarkEnd w:id="403"/>
      <w:bookmarkEnd w:id="404"/>
      <w:bookmarkEnd w:id="405"/>
      <w:bookmarkEnd w:id="406"/>
      <w:bookmarkEnd w:id="407"/>
      <w:bookmarkEnd w:id="408"/>
      <w:bookmarkEnd w:id="409"/>
    </w:p>
    <w:p w14:paraId="79A998ED">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宋体" w:hAnsi="宋体" w:eastAsia="方正仿宋_GBK" w:cs="方正仿宋_GBK"/>
          <w:color w:val="auto"/>
          <w:sz w:val="32"/>
          <w:szCs w:val="32"/>
        </w:rPr>
      </w:pPr>
      <w:r>
        <w:rPr>
          <w:rFonts w:hint="eastAsia" w:ascii="宋体" w:hAnsi="宋体" w:eastAsia="方正仿宋_GBK" w:cs="方正仿宋_GBK"/>
          <w:b w:val="0"/>
          <w:bCs w:val="0"/>
          <w:color w:val="auto"/>
          <w:sz w:val="32"/>
          <w:szCs w:val="32"/>
          <w:lang w:val="en-US"/>
        </w:rPr>
        <w:t>坚持“放管服”相结合，减少制度性交易成本。推进农产品认证制度改革，</w:t>
      </w:r>
      <w:r>
        <w:rPr>
          <w:rFonts w:hint="eastAsia" w:ascii="宋体" w:hAnsi="宋体" w:eastAsia="方正仿宋_GBK" w:cs="方正仿宋_GBK"/>
          <w:b w:val="0"/>
          <w:bCs w:val="0"/>
          <w:color w:val="auto"/>
          <w:sz w:val="32"/>
          <w:szCs w:val="32"/>
          <w:lang w:val="en-US" w:eastAsia="zh-CN"/>
        </w:rPr>
        <w:t>全面试行农产品达标合格证制度。</w:t>
      </w:r>
      <w:r>
        <w:rPr>
          <w:rFonts w:hint="eastAsia" w:ascii="宋体" w:hAnsi="宋体" w:eastAsia="方正仿宋_GBK" w:cs="方正仿宋_GBK"/>
          <w:color w:val="auto"/>
          <w:sz w:val="32"/>
          <w:szCs w:val="32"/>
        </w:rPr>
        <w:t>深化食品生产经营许可改革，优化许可程序，实现全程电子化。</w:t>
      </w:r>
      <w:r>
        <w:rPr>
          <w:rFonts w:hint="eastAsia" w:ascii="宋体" w:hAnsi="宋体" w:eastAsia="方正仿宋_GBK" w:cs="方正仿宋_GBK"/>
          <w:color w:val="auto"/>
          <w:sz w:val="32"/>
          <w:szCs w:val="32"/>
          <w:lang w:val="en-US"/>
        </w:rPr>
        <w:t>加强食品集中交易市场监管，强化农产品产地准出和市场准入衔接。探索对食品添加剂经营实行备案管理。</w:t>
      </w:r>
      <w:r>
        <w:rPr>
          <w:rFonts w:hint="eastAsia" w:ascii="宋体" w:hAnsi="宋体" w:eastAsia="方正仿宋_GBK" w:cs="方正仿宋_GBK"/>
          <w:color w:val="auto"/>
          <w:sz w:val="32"/>
          <w:szCs w:val="32"/>
        </w:rPr>
        <w:t>制定完善食品新业态、新技术、新模式监管制度。利用现有相关信息系统，实现全省范围内食品生产经营许可信息可查询。认真贯彻执行国家关于保健食品注册和备案双轨运行的制度。</w:t>
      </w:r>
    </w:p>
    <w:p w14:paraId="4B20C282">
      <w:pPr>
        <w:pStyle w:val="4"/>
        <w:pageBreakBefore w:val="0"/>
        <w:widowControl w:val="0"/>
        <w:kinsoku/>
        <w:wordWrap/>
        <w:overflowPunct/>
        <w:topLinePunct w:val="0"/>
        <w:autoSpaceDE/>
        <w:autoSpaceDN/>
        <w:bidi w:val="0"/>
        <w:adjustRightInd/>
        <w:snapToGrid/>
        <w:spacing w:line="560" w:lineRule="exact"/>
        <w:ind w:left="0" w:leftChars="0" w:right="0" w:rightChars="0" w:firstLine="643"/>
        <w:jc w:val="both"/>
        <w:textAlignment w:val="auto"/>
        <w:rPr>
          <w:rStyle w:val="19"/>
          <w:rFonts w:hint="eastAsia" w:ascii="方正黑体_GBK" w:hAnsi="方正黑体_GBK" w:eastAsia="方正黑体_GBK" w:cs="方正黑体_GBK"/>
          <w:b w:val="0"/>
          <w:bCs w:val="0"/>
          <w:color w:val="auto"/>
          <w:lang w:val="en-US" w:bidi="ar"/>
        </w:rPr>
      </w:pPr>
      <w:bookmarkStart w:id="410" w:name="_Toc4018"/>
      <w:bookmarkStart w:id="411" w:name="_Toc4755"/>
      <w:bookmarkStart w:id="412" w:name="_Toc66134865"/>
      <w:bookmarkStart w:id="413" w:name="_Toc31764"/>
      <w:bookmarkStart w:id="414" w:name="_Toc3798"/>
      <w:bookmarkStart w:id="415" w:name="_Toc29022"/>
      <w:bookmarkStart w:id="416" w:name="_Toc29691"/>
      <w:bookmarkStart w:id="417" w:name="_Toc9801"/>
      <w:bookmarkStart w:id="418" w:name="_Toc66917159"/>
      <w:bookmarkStart w:id="419" w:name="_Toc3818"/>
      <w:bookmarkStart w:id="420" w:name="_Toc25189"/>
      <w:bookmarkStart w:id="421" w:name="_Toc31734"/>
      <w:r>
        <w:rPr>
          <w:rStyle w:val="19"/>
          <w:rFonts w:hint="eastAsia" w:ascii="方正黑体_GBK" w:hAnsi="方正黑体_GBK" w:eastAsia="方正黑体_GBK" w:cs="方正黑体_GBK"/>
          <w:b w:val="0"/>
          <w:bCs w:val="0"/>
          <w:color w:val="auto"/>
          <w:lang w:val="en-US" w:eastAsia="zh-CN" w:bidi="ar"/>
        </w:rPr>
        <w:t>二、</w:t>
      </w:r>
      <w:r>
        <w:rPr>
          <w:rStyle w:val="19"/>
          <w:rFonts w:hint="eastAsia" w:ascii="方正黑体_GBK" w:hAnsi="方正黑体_GBK" w:eastAsia="方正黑体_GBK" w:cs="方正黑体_GBK"/>
          <w:b w:val="0"/>
          <w:bCs w:val="0"/>
          <w:color w:val="auto"/>
          <w:lang w:val="en-US" w:bidi="ar"/>
        </w:rPr>
        <w:t>实施质量兴农计划</w:t>
      </w:r>
      <w:bookmarkEnd w:id="410"/>
      <w:bookmarkEnd w:id="411"/>
      <w:bookmarkEnd w:id="412"/>
      <w:bookmarkEnd w:id="413"/>
      <w:bookmarkEnd w:id="414"/>
      <w:bookmarkEnd w:id="415"/>
      <w:bookmarkEnd w:id="416"/>
      <w:bookmarkEnd w:id="417"/>
      <w:bookmarkEnd w:id="418"/>
      <w:bookmarkEnd w:id="419"/>
      <w:bookmarkEnd w:id="420"/>
      <w:bookmarkEnd w:id="421"/>
    </w:p>
    <w:p w14:paraId="796E8C99">
      <w:pPr>
        <w:pStyle w:val="6"/>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eastAsia="zh-CN" w:bidi="ar-SA"/>
        </w:rPr>
      </w:pPr>
      <w:r>
        <w:rPr>
          <w:rFonts w:hint="eastAsia" w:ascii="宋体" w:hAnsi="宋体" w:eastAsia="方正仿宋_GBK" w:cs="方正仿宋_GBK"/>
          <w:color w:val="auto"/>
          <w:sz w:val="32"/>
          <w:szCs w:val="32"/>
        </w:rPr>
        <w:t>以乡村振兴战略为引领，以优质安全、绿色发展为目标，推动农业由增产导向转向提质导向。</w:t>
      </w:r>
      <w:r>
        <w:rPr>
          <w:rFonts w:hint="eastAsia" w:ascii="宋体" w:hAnsi="宋体" w:eastAsia="方正仿宋_GBK" w:cs="方正仿宋_GBK"/>
          <w:color w:val="auto"/>
          <w:sz w:val="32"/>
          <w:szCs w:val="32"/>
          <w:lang w:val="en-US" w:bidi="ar-SA"/>
        </w:rPr>
        <w:t>聚焦打造世界一流“绿色食品牌”、加快推进农业现代化为总要求，加快推进农业生产设施化、有机化、数字化，围绕特色产业大力提升设施化水平，聚焦产业和区域推动农业绿色有机发展，推动数字技术与农业产业融合。抓好乡村振兴示范园、田园综合体、农产品地理标志登记保护等工作，强化示范引领。</w:t>
      </w:r>
      <w:r>
        <w:rPr>
          <w:rFonts w:hint="eastAsia" w:ascii="宋体" w:hAnsi="宋体" w:eastAsia="方正仿宋_GBK" w:cs="方正仿宋_GBK"/>
          <w:color w:val="auto"/>
          <w:sz w:val="32"/>
          <w:szCs w:val="32"/>
          <w:lang w:val="en-US" w:eastAsia="zh-CN" w:bidi="ar-SA"/>
        </w:rPr>
        <w:t>推行良好农业规范，创建农业标准化示范区。</w:t>
      </w:r>
      <w:r>
        <w:rPr>
          <w:rFonts w:hint="eastAsia" w:ascii="宋体" w:hAnsi="宋体" w:eastAsia="方正仿宋_GBK" w:cs="方正仿宋_GBK"/>
          <w:color w:val="auto"/>
          <w:sz w:val="32"/>
          <w:szCs w:val="32"/>
          <w:lang w:val="en-US" w:bidi="ar-SA"/>
        </w:rPr>
        <w:t>积极开展标准化种植、养殖示范，探索智慧种植、养殖模式，推广绿色标准生产技术，规范种植、养殖产业发展。</w:t>
      </w:r>
      <w:r>
        <w:rPr>
          <w:rFonts w:hint="eastAsia" w:ascii="宋体" w:hAnsi="宋体" w:eastAsia="方正仿宋_GBK" w:cs="方正仿宋_GBK"/>
          <w:color w:val="auto"/>
          <w:sz w:val="32"/>
          <w:szCs w:val="32"/>
          <w:lang w:val="en-US" w:eastAsia="zh-CN" w:bidi="ar-SA"/>
        </w:rPr>
        <w:t>发展</w:t>
      </w:r>
      <w:r>
        <w:rPr>
          <w:rFonts w:hint="eastAsia" w:ascii="宋体" w:hAnsi="宋体" w:eastAsia="方正仿宋_GBK" w:cs="方正仿宋_GBK"/>
          <w:color w:val="auto"/>
          <w:sz w:val="32"/>
          <w:szCs w:val="32"/>
          <w:lang w:val="en-US" w:bidi="ar-SA"/>
        </w:rPr>
        <w:t>绿色食品、有机食品、</w:t>
      </w:r>
      <w:r>
        <w:rPr>
          <w:rFonts w:hint="eastAsia" w:ascii="宋体" w:hAnsi="宋体" w:eastAsia="方正仿宋_GBK" w:cs="方正仿宋_GBK"/>
          <w:color w:val="auto"/>
          <w:sz w:val="32"/>
          <w:szCs w:val="32"/>
          <w:lang w:val="en-US" w:eastAsia="zh-CN" w:bidi="ar-SA"/>
        </w:rPr>
        <w:t>和地理标志农产品。</w:t>
      </w:r>
    </w:p>
    <w:p w14:paraId="6F8F026D">
      <w:pPr>
        <w:pStyle w:val="4"/>
        <w:pageBreakBefore w:val="0"/>
        <w:widowControl w:val="0"/>
        <w:kinsoku/>
        <w:wordWrap/>
        <w:overflowPunct/>
        <w:topLinePunct w:val="0"/>
        <w:autoSpaceDE/>
        <w:autoSpaceDN/>
        <w:bidi w:val="0"/>
        <w:adjustRightInd/>
        <w:snapToGrid/>
        <w:spacing w:line="560" w:lineRule="exact"/>
        <w:ind w:left="0" w:leftChars="0" w:right="0" w:rightChars="0" w:firstLine="643"/>
        <w:jc w:val="both"/>
        <w:textAlignment w:val="auto"/>
        <w:rPr>
          <w:rStyle w:val="19"/>
          <w:rFonts w:hint="eastAsia" w:ascii="方正黑体_GBK" w:hAnsi="方正黑体_GBK" w:eastAsia="方正黑体_GBK" w:cs="方正黑体_GBK"/>
          <w:b w:val="0"/>
          <w:bCs w:val="0"/>
          <w:color w:val="auto"/>
          <w:lang w:val="en-US" w:bidi="ar"/>
        </w:rPr>
      </w:pPr>
      <w:bookmarkStart w:id="422" w:name="_Toc20160"/>
      <w:bookmarkStart w:id="423" w:name="_Toc8951"/>
      <w:bookmarkStart w:id="424" w:name="_Toc66134866"/>
      <w:bookmarkStart w:id="425" w:name="_Toc5115"/>
      <w:bookmarkStart w:id="426" w:name="_Toc28755"/>
      <w:bookmarkStart w:id="427" w:name="_Toc32754"/>
      <w:bookmarkStart w:id="428" w:name="_Toc13709"/>
      <w:bookmarkStart w:id="429" w:name="_Toc21073"/>
      <w:bookmarkStart w:id="430" w:name="_Toc13775"/>
      <w:bookmarkStart w:id="431" w:name="_Toc31291"/>
      <w:bookmarkStart w:id="432" w:name="_Toc66917160"/>
      <w:bookmarkStart w:id="433" w:name="_Toc22673"/>
      <w:r>
        <w:rPr>
          <w:rStyle w:val="19"/>
          <w:rFonts w:hint="eastAsia" w:ascii="方正黑体_GBK" w:hAnsi="方正黑体_GBK" w:eastAsia="方正黑体_GBK" w:cs="方正黑体_GBK"/>
          <w:b w:val="0"/>
          <w:bCs w:val="0"/>
          <w:color w:val="auto"/>
          <w:lang w:val="en-US" w:eastAsia="zh-CN" w:bidi="ar"/>
        </w:rPr>
        <w:t>三、</w:t>
      </w:r>
      <w:r>
        <w:rPr>
          <w:rStyle w:val="19"/>
          <w:rFonts w:hint="eastAsia" w:ascii="方正黑体_GBK" w:hAnsi="方正黑体_GBK" w:eastAsia="方正黑体_GBK" w:cs="方正黑体_GBK"/>
          <w:b w:val="0"/>
          <w:bCs w:val="0"/>
          <w:color w:val="auto"/>
          <w:lang w:val="en-US" w:bidi="ar"/>
        </w:rPr>
        <w:t>推动食品产业转型升级</w:t>
      </w:r>
      <w:bookmarkEnd w:id="422"/>
      <w:bookmarkEnd w:id="423"/>
      <w:bookmarkEnd w:id="424"/>
      <w:bookmarkEnd w:id="425"/>
      <w:bookmarkEnd w:id="426"/>
      <w:bookmarkEnd w:id="427"/>
      <w:bookmarkEnd w:id="428"/>
      <w:bookmarkEnd w:id="429"/>
      <w:bookmarkEnd w:id="430"/>
      <w:bookmarkEnd w:id="431"/>
      <w:bookmarkEnd w:id="432"/>
      <w:bookmarkEnd w:id="433"/>
    </w:p>
    <w:p w14:paraId="4884BF4C">
      <w:pPr>
        <w:pStyle w:val="6"/>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调整优化食品产业布局，鼓励企业获得认证认可，实施增品种、提品质、创品牌行动，提高获证产品品牌的知名度及竞争力。坚持园区化、集聚化、设施化发展方向，着力推动食品加工业向优势产区集中布局。引进有品牌、有实力、有市场的食品加工龙头企业，推进新产品、新技术、新成果的推广应用。引导食品企业延伸产业链条，建立优质原料生产基地及配套设施，加强与电商平台深度融合，鼓励支持有品控保障的电子商务平台和获得“三品一标”认证的企业对接“一部手机云品荟”电子商务平台和直供店。培育和发展一批实力较强的冷链物流企业，保障生鲜食品流通环节质量安全。支持加快特医食品技术研究和产业发展。</w:t>
      </w:r>
      <w:bookmarkStart w:id="434" w:name="_Toc66134867"/>
      <w:bookmarkStart w:id="435" w:name="_Toc66917161"/>
      <w:bookmarkStart w:id="436" w:name="_Toc6408"/>
      <w:bookmarkStart w:id="437" w:name="_Toc30917"/>
      <w:bookmarkStart w:id="438" w:name="_Toc231"/>
    </w:p>
    <w:p w14:paraId="287BC5BC">
      <w:pPr>
        <w:pStyle w:val="4"/>
        <w:pageBreakBefore w:val="0"/>
        <w:widowControl w:val="0"/>
        <w:kinsoku/>
        <w:wordWrap/>
        <w:overflowPunct/>
        <w:topLinePunct w:val="0"/>
        <w:autoSpaceDE/>
        <w:autoSpaceDN/>
        <w:bidi w:val="0"/>
        <w:adjustRightInd/>
        <w:snapToGrid/>
        <w:spacing w:line="560" w:lineRule="exact"/>
        <w:ind w:left="0" w:leftChars="0" w:right="0" w:rightChars="0" w:firstLine="643"/>
        <w:jc w:val="both"/>
        <w:textAlignment w:val="auto"/>
        <w:rPr>
          <w:rStyle w:val="19"/>
          <w:rFonts w:hint="eastAsia" w:ascii="方正黑体_GBK" w:hAnsi="方正黑体_GBK" w:eastAsia="方正黑体_GBK" w:cs="方正黑体_GBK"/>
          <w:b w:val="0"/>
          <w:bCs w:val="0"/>
          <w:color w:val="auto"/>
          <w:lang w:val="en-US" w:bidi="ar"/>
        </w:rPr>
      </w:pPr>
      <w:bookmarkStart w:id="439" w:name="_Toc15984"/>
      <w:bookmarkStart w:id="440" w:name="_Toc15641"/>
      <w:bookmarkStart w:id="441" w:name="_Toc7791"/>
      <w:bookmarkStart w:id="442" w:name="_Toc7303"/>
      <w:bookmarkStart w:id="443" w:name="_Toc20974"/>
      <w:bookmarkStart w:id="444" w:name="_Toc27215"/>
      <w:bookmarkStart w:id="445" w:name="_Toc11902"/>
      <w:r>
        <w:rPr>
          <w:rStyle w:val="19"/>
          <w:rFonts w:hint="eastAsia" w:ascii="方正黑体_GBK" w:hAnsi="方正黑体_GBK" w:eastAsia="方正黑体_GBK" w:cs="方正黑体_GBK"/>
          <w:b w:val="0"/>
          <w:bCs w:val="0"/>
          <w:color w:val="auto"/>
          <w:lang w:val="en-US" w:eastAsia="zh-CN" w:bidi="ar"/>
        </w:rPr>
        <w:t>四、</w:t>
      </w:r>
      <w:r>
        <w:rPr>
          <w:rStyle w:val="19"/>
          <w:rFonts w:hint="eastAsia" w:ascii="方正黑体_GBK" w:hAnsi="方正黑体_GBK" w:eastAsia="方正黑体_GBK" w:cs="方正黑体_GBK"/>
          <w:b w:val="0"/>
          <w:bCs w:val="0"/>
          <w:color w:val="auto"/>
          <w:lang w:val="en-US" w:bidi="ar"/>
        </w:rPr>
        <w:t>加快食品安全科技创新</w:t>
      </w:r>
      <w:bookmarkEnd w:id="434"/>
      <w:bookmarkEnd w:id="435"/>
      <w:bookmarkEnd w:id="436"/>
      <w:bookmarkEnd w:id="437"/>
      <w:bookmarkEnd w:id="438"/>
      <w:bookmarkEnd w:id="439"/>
      <w:bookmarkEnd w:id="440"/>
      <w:bookmarkEnd w:id="441"/>
      <w:bookmarkEnd w:id="442"/>
      <w:bookmarkEnd w:id="443"/>
      <w:bookmarkEnd w:id="444"/>
      <w:bookmarkEnd w:id="445"/>
    </w:p>
    <w:p w14:paraId="3F88EA61">
      <w:pPr>
        <w:pStyle w:val="9"/>
        <w:pageBreakBefore w:val="0"/>
        <w:widowControl w:val="0"/>
        <w:kinsoku/>
        <w:wordWrap/>
        <w:overflowPunct/>
        <w:topLinePunct w:val="0"/>
        <w:bidi w:val="0"/>
        <w:adjustRightInd/>
        <w:snapToGrid/>
        <w:spacing w:line="560" w:lineRule="exact"/>
        <w:ind w:left="0" w:leftChars="0" w:right="0" w:rightChars="0" w:firstLine="640" w:firstLineChars="200"/>
        <w:textAlignment w:val="auto"/>
        <w:rPr>
          <w:rFonts w:hint="eastAsia" w:ascii="宋体" w:hAnsi="宋体" w:eastAsia="方正仿宋_GBK" w:cs="方正仿宋_GBK"/>
          <w:color w:val="auto"/>
          <w:sz w:val="32"/>
          <w:szCs w:val="32"/>
          <w:lang w:val="en-US" w:eastAsia="zh-CN" w:bidi="ar-SA"/>
        </w:rPr>
      </w:pPr>
      <w:r>
        <w:rPr>
          <w:rFonts w:hint="eastAsia" w:ascii="宋体" w:hAnsi="宋体" w:eastAsia="方正仿宋_GBK" w:cs="方正仿宋_GBK"/>
          <w:color w:val="auto"/>
          <w:sz w:val="32"/>
          <w:szCs w:val="32"/>
          <w:lang w:val="en-US" w:eastAsia="zh-CN" w:bidi="ar-SA"/>
        </w:rPr>
        <w:t>将食品安全纳入德宏科技创新规划及科技计划，引导高校、科研院所和企业推进食品质量与安全技术研究及装备开发，促进科技成果应用示范；持续加强食品安全领域创新基地（平台）建设；推动食品安全领域的技术和人才资源整合，提升食品安全科技服务能力和水平。实施食品安全科技创新行动，强化食品全链条科技研究，支持开展创新性研究和技术攻关，解决食品安全领域基础性、前瞻性的重大技术问题。强化食品安全检验检测方法及补充检验方法研究。</w:t>
      </w:r>
    </w:p>
    <w:p w14:paraId="12FEAC7E">
      <w:pPr>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firstLine="0" w:firstLineChars="0"/>
        <w:jc w:val="left"/>
        <w:textAlignment w:val="auto"/>
        <w:outlineLvl w:val="9"/>
        <w:rPr>
          <w:rFonts w:hint="eastAsia"/>
          <w:color w:val="auto"/>
          <w:lang w:val="en-US" w:eastAsia="zh-CN"/>
        </w:rPr>
      </w:pPr>
    </w:p>
    <w:tbl>
      <w:tblPr>
        <w:tblStyle w:val="15"/>
        <w:tblpPr w:leftFromText="181" w:rightFromText="181" w:vertAnchor="text" w:tblpXSpec="center" w:tblpY="1"/>
        <w:tblOverlap w:val="never"/>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3"/>
      </w:tblGrid>
      <w:tr w14:paraId="527D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773" w:type="dxa"/>
            <w:vAlign w:val="top"/>
          </w:tcPr>
          <w:p w14:paraId="01F34CF1">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ascii="宋体" w:hAnsi="宋体" w:eastAsia="方正仿宋_GBK" w:cs="方正仿宋_GBK"/>
                <w:b/>
                <w:color w:val="auto"/>
                <w:sz w:val="30"/>
                <w:szCs w:val="30"/>
              </w:rPr>
            </w:pPr>
            <w:bookmarkStart w:id="446" w:name="_Toc3865"/>
            <w:r>
              <w:rPr>
                <w:rFonts w:hint="eastAsia" w:ascii="宋体" w:hAnsi="宋体" w:eastAsia="方正黑体_GBK" w:cs="方正黑体_GBK"/>
                <w:bCs/>
                <w:color w:val="auto"/>
                <w:sz w:val="28"/>
                <w:szCs w:val="28"/>
              </w:rPr>
              <w:t>重点工程专栏</w:t>
            </w:r>
            <w:r>
              <w:rPr>
                <w:rFonts w:hint="eastAsia" w:eastAsia="方正黑体_GBK" w:cs="方正黑体_GBK"/>
                <w:bCs/>
                <w:color w:val="auto"/>
                <w:sz w:val="28"/>
                <w:szCs w:val="28"/>
                <w:lang w:val="en-US" w:eastAsia="zh-CN"/>
              </w:rPr>
              <w:t>8</w:t>
            </w:r>
            <w:r>
              <w:rPr>
                <w:rFonts w:hint="eastAsia" w:ascii="宋体" w:hAnsi="宋体" w:eastAsia="方正黑体_GBK" w:cs="方正黑体_GBK"/>
                <w:bCs/>
                <w:color w:val="auto"/>
                <w:sz w:val="28"/>
                <w:szCs w:val="28"/>
              </w:rPr>
              <w:t>：实施打造世界一流“绿色食品牌”助力工程</w:t>
            </w:r>
          </w:p>
        </w:tc>
      </w:tr>
      <w:tr w14:paraId="2B63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3" w:type="dxa"/>
            <w:vAlign w:val="top"/>
          </w:tcPr>
          <w:p w14:paraId="5E04B7E9">
            <w:pPr>
              <w:keepNext w:val="0"/>
              <w:keepLines w:val="0"/>
              <w:pageBreakBefore w:val="0"/>
              <w:widowControl/>
              <w:numPr>
                <w:ilvl w:val="0"/>
                <w:numId w:val="3"/>
              </w:numPr>
              <w:kinsoku/>
              <w:wordWrap/>
              <w:overflowPunct/>
              <w:topLinePunct w:val="0"/>
              <w:autoSpaceDE/>
              <w:autoSpaceDN/>
              <w:bidi w:val="0"/>
              <w:adjustRightInd/>
              <w:snapToGrid/>
              <w:spacing w:line="320" w:lineRule="exact"/>
              <w:ind w:left="0" w:leftChars="0" w:right="0" w:rightChars="0" w:firstLine="482" w:firstLineChars="0"/>
              <w:jc w:val="both"/>
              <w:textAlignment w:val="auto"/>
              <w:outlineLvl w:val="9"/>
              <w:rPr>
                <w:rFonts w:hint="default" w:ascii="Times New Roman" w:hAnsi="Times New Roman" w:eastAsia="方正仿宋_GBK" w:cs="Times New Roman"/>
                <w:color w:val="auto"/>
                <w:sz w:val="24"/>
                <w:szCs w:val="24"/>
                <w:lang w:val="en-US" w:bidi="ar-SA"/>
              </w:rPr>
            </w:pPr>
            <w:r>
              <w:rPr>
                <w:rFonts w:hint="default" w:ascii="Times New Roman" w:hAnsi="Times New Roman" w:eastAsia="方正楷体_GBK" w:cs="Times New Roman"/>
                <w:color w:val="auto"/>
                <w:sz w:val="24"/>
                <w:szCs w:val="24"/>
                <w:lang w:val="en-US" w:bidi="ar-SA"/>
              </w:rPr>
              <w:t>食品生产企业质量控制认证体系建设。</w:t>
            </w:r>
            <w:r>
              <w:rPr>
                <w:rFonts w:hint="default" w:ascii="Times New Roman" w:hAnsi="Times New Roman" w:eastAsia="方正仿宋_GBK" w:cs="Times New Roman"/>
                <w:color w:val="auto"/>
                <w:sz w:val="24"/>
                <w:szCs w:val="24"/>
                <w:lang w:val="en-US" w:bidi="ar-SA"/>
              </w:rPr>
              <w:t>加快构建“传统产业+支柱产业+新兴产业”迭代产业体系，为经济高质量发展注入新动能。推动规模以上食品生产企业实施危害分析与关键控制点体系（HACCP）或食品安全管理体系（ISO 22000）相关标准。</w:t>
            </w:r>
          </w:p>
          <w:p w14:paraId="0E41FC5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2" w:firstLineChars="0"/>
              <w:jc w:val="both"/>
              <w:textAlignment w:val="auto"/>
              <w:outlineLvl w:val="9"/>
              <w:rPr>
                <w:rFonts w:hint="default" w:ascii="Times New Roman" w:hAnsi="Times New Roman" w:eastAsia="方正仿宋_GBK" w:cs="Times New Roman"/>
                <w:color w:val="auto"/>
                <w:sz w:val="24"/>
                <w:szCs w:val="24"/>
                <w:lang w:val="en-US" w:bidi="ar-SA"/>
              </w:rPr>
            </w:pPr>
            <w:r>
              <w:rPr>
                <w:rFonts w:hint="default" w:ascii="Times New Roman" w:hAnsi="Times New Roman" w:eastAsia="方正楷体_GBK" w:cs="Times New Roman"/>
                <w:color w:val="auto"/>
                <w:sz w:val="24"/>
                <w:szCs w:val="24"/>
                <w:lang w:val="en-US" w:eastAsia="zh-CN" w:bidi="ar-SA"/>
              </w:rPr>
              <w:t>2</w:t>
            </w:r>
            <w:r>
              <w:rPr>
                <w:rFonts w:hint="default" w:ascii="Times New Roman" w:hAnsi="Times New Roman" w:eastAsia="方正楷体_GBK" w:cs="Times New Roman"/>
                <w:color w:val="auto"/>
                <w:sz w:val="24"/>
                <w:szCs w:val="24"/>
                <w:lang w:val="en-US" w:bidi="ar-SA"/>
              </w:rPr>
              <w:t>.加大绿色食品科技创新。</w:t>
            </w:r>
            <w:r>
              <w:rPr>
                <w:rFonts w:hint="default" w:ascii="Times New Roman" w:hAnsi="Times New Roman" w:eastAsia="方正仿宋_GBK" w:cs="Times New Roman"/>
                <w:color w:val="auto"/>
                <w:sz w:val="24"/>
                <w:szCs w:val="24"/>
                <w:lang w:val="en-US" w:bidi="ar-SA"/>
              </w:rPr>
              <w:t>鼓励和支持开展与食品安全有关的基础研究、关键技术研发和新技术示范应用, 加大对基础研究支持力度；加强食品安全快速检测与控制技术领域的重点实验室建设，遴选食品安全与加工领域产业领军人才、中青年学术和技术带头人后备人才，以及</w:t>
            </w:r>
            <w:r>
              <w:rPr>
                <w:rFonts w:hint="default" w:ascii="Times New Roman" w:hAnsi="Times New Roman" w:eastAsia="方正仿宋_GBK" w:cs="Times New Roman"/>
                <w:color w:val="auto"/>
                <w:sz w:val="24"/>
                <w:szCs w:val="24"/>
                <w:lang w:val="en-US" w:eastAsia="zh-CN" w:bidi="ar-SA"/>
              </w:rPr>
              <w:t>州</w:t>
            </w:r>
            <w:r>
              <w:rPr>
                <w:rFonts w:hint="default" w:ascii="Times New Roman" w:hAnsi="Times New Roman" w:eastAsia="方正仿宋_GBK" w:cs="Times New Roman"/>
                <w:color w:val="auto"/>
                <w:sz w:val="24"/>
                <w:szCs w:val="24"/>
                <w:lang w:val="en-US" w:bidi="ar-SA"/>
              </w:rPr>
              <w:t>技术创新人才培养对象。加强食品安全与加工领域</w:t>
            </w:r>
            <w:r>
              <w:rPr>
                <w:rFonts w:hint="default" w:ascii="Times New Roman" w:hAnsi="Times New Roman" w:eastAsia="方正仿宋_GBK" w:cs="Times New Roman"/>
                <w:color w:val="auto"/>
                <w:sz w:val="24"/>
                <w:szCs w:val="24"/>
                <w:lang w:val="en-US" w:eastAsia="zh-CN" w:bidi="ar-SA"/>
              </w:rPr>
              <w:t>州</w:t>
            </w:r>
            <w:r>
              <w:rPr>
                <w:rFonts w:hint="default" w:ascii="Times New Roman" w:hAnsi="Times New Roman" w:eastAsia="方正仿宋_GBK" w:cs="Times New Roman"/>
                <w:color w:val="auto"/>
                <w:sz w:val="24"/>
                <w:szCs w:val="24"/>
                <w:lang w:val="en-US" w:bidi="ar-SA"/>
              </w:rPr>
              <w:t>级创新团队培养，推动</w:t>
            </w:r>
            <w:r>
              <w:rPr>
                <w:rFonts w:hint="default" w:ascii="Times New Roman" w:hAnsi="Times New Roman" w:eastAsia="方正仿宋_GBK" w:cs="Times New Roman"/>
                <w:color w:val="auto"/>
                <w:sz w:val="24"/>
                <w:szCs w:val="24"/>
                <w:lang w:val="en-US" w:eastAsia="zh-CN" w:bidi="ar-SA"/>
              </w:rPr>
              <w:t>德宏</w:t>
            </w:r>
            <w:r>
              <w:rPr>
                <w:rFonts w:hint="default" w:ascii="Times New Roman" w:hAnsi="Times New Roman" w:eastAsia="方正仿宋_GBK" w:cs="Times New Roman"/>
                <w:color w:val="auto"/>
                <w:sz w:val="24"/>
                <w:szCs w:val="24"/>
                <w:lang w:val="en-US" w:bidi="ar-SA"/>
              </w:rPr>
              <w:t>食品安全与加工领域科技人才队伍建设取得实质性进展。到2025年，培育1-2家绿色食品加工、食品安全研究以及食品检验检测重点实验室和工程技术研究中心</w:t>
            </w:r>
          </w:p>
          <w:p w14:paraId="564ECF7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82" w:firstLineChars="0"/>
              <w:jc w:val="both"/>
              <w:textAlignment w:val="auto"/>
              <w:outlineLvl w:val="9"/>
              <w:rPr>
                <w:rFonts w:ascii="宋体" w:hAnsi="宋体" w:eastAsia="方正仿宋_GBK" w:cs="方正仿宋_GBK"/>
                <w:color w:val="auto"/>
                <w:lang w:val="en-US" w:bidi="ar-SA"/>
              </w:rPr>
            </w:pPr>
            <w:r>
              <w:rPr>
                <w:rFonts w:hint="default" w:ascii="Times New Roman" w:hAnsi="Times New Roman" w:eastAsia="方正楷体_GBK" w:cs="Times New Roman"/>
                <w:color w:val="auto"/>
                <w:sz w:val="24"/>
                <w:szCs w:val="24"/>
                <w:lang w:val="en-US" w:eastAsia="zh-CN" w:bidi="ar-SA"/>
              </w:rPr>
              <w:t>3.助力绿色食品的品牌升级和价值提升。</w:t>
            </w:r>
            <w:r>
              <w:rPr>
                <w:rFonts w:hint="default" w:ascii="Times New Roman" w:hAnsi="Times New Roman" w:eastAsia="方正仿宋_GBK" w:cs="Times New Roman"/>
                <w:color w:val="auto"/>
                <w:sz w:val="24"/>
                <w:szCs w:val="24"/>
                <w:lang w:val="en-US" w:bidi="ar-SA"/>
              </w:rPr>
              <w:t xml:space="preserve">围绕绿色食品重点产业，根据食品安全风险状况，选择重点企业、重点品种、重点环节，采取“小切口”突破，实现追溯信息在重点绿色食品生产经营“全链条”的场景化应用。 </w:t>
            </w:r>
          </w:p>
        </w:tc>
      </w:tr>
    </w:tbl>
    <w:p w14:paraId="6FA5ADE7">
      <w:pPr>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宋体" w:hAnsi="宋体" w:eastAsia="方正楷体_GBK" w:cs="方正楷体_GBK"/>
          <w:color w:val="auto"/>
          <w:sz w:val="32"/>
          <w:szCs w:val="32"/>
          <w:lang w:val="en-US"/>
        </w:rPr>
      </w:pPr>
      <w:bookmarkStart w:id="447" w:name="_Toc6398"/>
      <w:bookmarkStart w:id="448" w:name="_Toc2426"/>
      <w:bookmarkStart w:id="449" w:name="_Toc9493"/>
      <w:bookmarkStart w:id="450" w:name="_Toc3694"/>
      <w:bookmarkStart w:id="451" w:name="_Toc6720"/>
      <w:bookmarkStart w:id="452" w:name="_Toc24558"/>
      <w:bookmarkStart w:id="453" w:name="_Toc26102"/>
      <w:bookmarkStart w:id="454" w:name="_Toc778"/>
      <w:bookmarkStart w:id="455" w:name="_Toc28960"/>
    </w:p>
    <w:p w14:paraId="3F94F2D8">
      <w:pPr>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sz w:val="32"/>
          <w:szCs w:val="32"/>
          <w:lang w:val="en-US"/>
        </w:rPr>
        <w:fldChar w:fldCharType="begin"/>
      </w:r>
      <w:r>
        <w:rPr>
          <w:rFonts w:hint="eastAsia" w:ascii="方正黑体_GBK" w:hAnsi="方正黑体_GBK" w:eastAsia="方正黑体_GBK" w:cs="方正黑体_GBK"/>
          <w:color w:val="auto"/>
          <w:sz w:val="32"/>
          <w:szCs w:val="32"/>
          <w:lang w:val="en-US"/>
        </w:rPr>
        <w:instrText xml:space="preserve"> HYPERLINK \l _Toc14956 </w:instrText>
      </w:r>
      <w:r>
        <w:rPr>
          <w:rFonts w:hint="eastAsia" w:ascii="方正黑体_GBK" w:hAnsi="方正黑体_GBK" w:eastAsia="方正黑体_GBK" w:cs="方正黑体_GBK"/>
          <w:color w:val="auto"/>
          <w:sz w:val="32"/>
          <w:szCs w:val="32"/>
          <w:lang w:val="en-US"/>
        </w:rPr>
        <w:fldChar w:fldCharType="separate"/>
      </w:r>
      <w:bookmarkStart w:id="456" w:name="_Toc66134868"/>
      <w:bookmarkStart w:id="457" w:name="_Toc66917162"/>
      <w:r>
        <w:rPr>
          <w:rFonts w:hint="eastAsia" w:ascii="方正黑体_GBK" w:hAnsi="方正黑体_GBK" w:eastAsia="方正黑体_GBK" w:cs="方正黑体_GBK"/>
          <w:color w:val="auto"/>
          <w:sz w:val="32"/>
          <w:szCs w:val="32"/>
          <w:lang w:val="en-US" w:eastAsia="zh-CN"/>
        </w:rPr>
        <w:t xml:space="preserve">第十一节 </w:t>
      </w:r>
      <w:r>
        <w:rPr>
          <w:rFonts w:hint="eastAsia" w:ascii="方正黑体_GBK" w:hAnsi="方正黑体_GBK" w:eastAsia="方正黑体_GBK" w:cs="方正黑体_GBK"/>
          <w:color w:val="auto"/>
          <w:sz w:val="32"/>
          <w:szCs w:val="32"/>
          <w:lang w:val="en-US"/>
        </w:rPr>
        <w:t>推进食品安全社会共治</w:t>
      </w:r>
      <w:bookmarkEnd w:id="456"/>
      <w:bookmarkEnd w:id="457"/>
      <w:r>
        <w:rPr>
          <w:rFonts w:hint="eastAsia" w:ascii="方正黑体_GBK" w:hAnsi="方正黑体_GBK" w:eastAsia="方正黑体_GBK" w:cs="方正黑体_GBK"/>
          <w:color w:val="auto"/>
          <w:sz w:val="32"/>
          <w:szCs w:val="32"/>
          <w:lang w:val="en-US"/>
        </w:rPr>
        <w:fldChar w:fldCharType="end"/>
      </w:r>
      <w:bookmarkEnd w:id="446"/>
      <w:bookmarkEnd w:id="447"/>
      <w:bookmarkEnd w:id="448"/>
      <w:bookmarkEnd w:id="449"/>
      <w:bookmarkEnd w:id="450"/>
      <w:bookmarkEnd w:id="451"/>
      <w:bookmarkEnd w:id="452"/>
      <w:bookmarkEnd w:id="453"/>
      <w:bookmarkEnd w:id="454"/>
      <w:bookmarkEnd w:id="455"/>
    </w:p>
    <w:p w14:paraId="3BA9BC07">
      <w:pPr>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宋体" w:hAnsi="宋体" w:eastAsia="方正仿宋_GBK" w:cs="方正仿宋_GBK"/>
          <w:b/>
          <w:bCs/>
          <w:color w:val="auto"/>
          <w:sz w:val="32"/>
          <w:szCs w:val="32"/>
          <w:lang w:val="en-US"/>
        </w:rPr>
      </w:pPr>
      <w:bookmarkStart w:id="458" w:name="_Toc32621"/>
      <w:bookmarkStart w:id="459" w:name="_Toc16362"/>
      <w:bookmarkStart w:id="460" w:name="_Toc11695"/>
      <w:bookmarkStart w:id="461" w:name="_Toc15770"/>
      <w:bookmarkStart w:id="462" w:name="_Toc18307"/>
      <w:bookmarkStart w:id="463" w:name="_Toc21793"/>
      <w:bookmarkStart w:id="464" w:name="_Toc66917163"/>
      <w:bookmarkStart w:id="465" w:name="_Toc2462"/>
      <w:bookmarkStart w:id="466" w:name="_Toc15131"/>
      <w:bookmarkStart w:id="467" w:name="_Toc5048"/>
      <w:bookmarkStart w:id="468" w:name="_Toc66134869"/>
      <w:bookmarkStart w:id="469" w:name="_Toc29360"/>
    </w:p>
    <w:p w14:paraId="3B9863AF">
      <w:pPr>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eastAsia="zh-CN"/>
        </w:rPr>
        <w:t>一、</w:t>
      </w:r>
      <w:r>
        <w:rPr>
          <w:rFonts w:hint="eastAsia" w:ascii="方正黑体_GBK" w:hAnsi="方正黑体_GBK" w:eastAsia="方正黑体_GBK" w:cs="方正黑体_GBK"/>
          <w:b w:val="0"/>
          <w:bCs w:val="0"/>
          <w:color w:val="auto"/>
          <w:sz w:val="32"/>
          <w:szCs w:val="32"/>
          <w:lang w:val="en-US"/>
        </w:rPr>
        <w:t>开展食品安全风险交流</w:t>
      </w:r>
      <w:bookmarkEnd w:id="458"/>
      <w:bookmarkEnd w:id="459"/>
      <w:bookmarkEnd w:id="460"/>
      <w:bookmarkEnd w:id="461"/>
      <w:bookmarkEnd w:id="462"/>
      <w:bookmarkEnd w:id="463"/>
      <w:bookmarkEnd w:id="464"/>
      <w:bookmarkEnd w:id="465"/>
      <w:bookmarkEnd w:id="466"/>
      <w:bookmarkEnd w:id="467"/>
      <w:bookmarkEnd w:id="468"/>
      <w:bookmarkEnd w:id="469"/>
    </w:p>
    <w:p w14:paraId="3F4B5C53">
      <w:pPr>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val="en-US"/>
        </w:rPr>
        <w:t>规范食品安全信息发布，主动公开权威信息，及时开展风险科普解读，鼓励高校、科研机构、行业学会与协会、媒体参与食品安全风险交流，科学解疑释惑。鼓励企业通过新闻媒体、网络平台等方式直接回应消费者咨询。建立谣言抓取、识别、分析、处置智能化平台，依法坚决打击造谣传谣、欺诈和虚假宣传行为。</w:t>
      </w:r>
    </w:p>
    <w:p w14:paraId="189D91AE">
      <w:pPr>
        <w:pStyle w:val="4"/>
        <w:pageBreakBefore w:val="0"/>
        <w:kinsoku/>
        <w:wordWrap/>
        <w:overflowPunct/>
        <w:topLinePunct w:val="0"/>
        <w:autoSpaceDE/>
        <w:autoSpaceDN/>
        <w:bidi w:val="0"/>
        <w:adjustRightInd/>
        <w:snapToGrid/>
        <w:spacing w:line="560" w:lineRule="exact"/>
        <w:ind w:left="0" w:leftChars="0" w:right="0" w:rightChars="0" w:firstLine="643"/>
        <w:textAlignment w:val="auto"/>
        <w:rPr>
          <w:rFonts w:hint="eastAsia" w:ascii="方正黑体_GBK" w:hAnsi="方正黑体_GBK" w:eastAsia="方正黑体_GBK" w:cs="方正黑体_GBK"/>
          <w:b w:val="0"/>
          <w:bCs w:val="0"/>
          <w:color w:val="auto"/>
        </w:rPr>
      </w:pPr>
      <w:bookmarkStart w:id="470" w:name="_Toc66917164"/>
      <w:bookmarkStart w:id="471" w:name="_Toc13712"/>
      <w:bookmarkStart w:id="472" w:name="_Toc27925"/>
      <w:bookmarkStart w:id="473" w:name="_Toc22572"/>
      <w:bookmarkStart w:id="474" w:name="_Toc66134870"/>
      <w:bookmarkStart w:id="475" w:name="_Toc29363"/>
      <w:bookmarkStart w:id="476" w:name="_Toc19283"/>
      <w:bookmarkStart w:id="477" w:name="_Toc13523"/>
      <w:bookmarkStart w:id="478" w:name="_Toc22287"/>
      <w:bookmarkStart w:id="479" w:name="_Toc4204"/>
      <w:bookmarkStart w:id="480" w:name="_Toc7124"/>
      <w:bookmarkStart w:id="481" w:name="_Toc8414"/>
      <w:r>
        <w:rPr>
          <w:rFonts w:hint="eastAsia" w:ascii="方正黑体_GBK" w:hAnsi="方正黑体_GBK" w:eastAsia="方正黑体_GBK" w:cs="方正黑体_GBK"/>
          <w:b w:val="0"/>
          <w:bCs w:val="0"/>
          <w:color w:val="auto"/>
          <w:lang w:val="en-US" w:eastAsia="zh-CN"/>
        </w:rPr>
        <w:t>二、</w:t>
      </w:r>
      <w:r>
        <w:rPr>
          <w:rFonts w:hint="eastAsia" w:ascii="方正黑体_GBK" w:hAnsi="方正黑体_GBK" w:eastAsia="方正黑体_GBK" w:cs="方正黑体_GBK"/>
          <w:b w:val="0"/>
          <w:bCs w:val="0"/>
          <w:color w:val="auto"/>
        </w:rPr>
        <w:t>拓宽社会监督渠道</w:t>
      </w:r>
      <w:bookmarkEnd w:id="470"/>
      <w:bookmarkEnd w:id="471"/>
      <w:bookmarkEnd w:id="472"/>
      <w:bookmarkEnd w:id="473"/>
      <w:bookmarkEnd w:id="474"/>
      <w:bookmarkEnd w:id="475"/>
      <w:bookmarkEnd w:id="476"/>
      <w:bookmarkEnd w:id="477"/>
      <w:bookmarkEnd w:id="478"/>
      <w:bookmarkEnd w:id="479"/>
      <w:bookmarkEnd w:id="480"/>
      <w:bookmarkEnd w:id="481"/>
    </w:p>
    <w:p w14:paraId="31D9325B">
      <w:pPr>
        <w:pStyle w:val="14"/>
        <w:keepNext/>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textAlignment w:val="auto"/>
        <w:rPr>
          <w:rFonts w:hint="eastAsia" w:ascii="宋体" w:hAnsi="宋体" w:eastAsia="方正仿宋_GBK" w:cs="方正仿宋_GBK"/>
          <w:color w:val="auto"/>
          <w:sz w:val="32"/>
          <w:szCs w:val="32"/>
          <w:lang w:val="en-US"/>
        </w:rPr>
      </w:pPr>
      <w:r>
        <w:rPr>
          <w:rFonts w:hint="eastAsia" w:ascii="宋体" w:hAnsi="宋体" w:eastAsia="方正仿宋_GBK" w:cs="方正仿宋_GBK"/>
          <w:color w:val="auto"/>
          <w:sz w:val="32"/>
          <w:szCs w:val="32"/>
          <w:lang w:val="en-US"/>
        </w:rPr>
        <w:t>支持行业协会建立行规行约和奖惩机制，强化行业自律。鼓励新闻媒体准确客观报道食品安全问题，支持新闻媒体开展舆论监督，营造理性看待食品安全风险的舆论环境。支持引入高等学校、研究机构、检测机构、专家智库等第三方服务机构参与治理。注重加强各类专家库建设，发动专家深度参与食品安全工作。完善人大代表、政协委员定期交流机制。组织开展满意度调查</w:t>
      </w:r>
      <w:r>
        <w:rPr>
          <w:rFonts w:hint="eastAsia" w:ascii="宋体" w:hAnsi="宋体" w:eastAsia="方正仿宋_GBK" w:cs="方正仿宋_GBK"/>
          <w:color w:val="auto"/>
          <w:sz w:val="32"/>
          <w:szCs w:val="32"/>
          <w:lang w:val="en-US" w:eastAsia="zh-CN"/>
        </w:rPr>
        <w:t>。</w:t>
      </w:r>
      <w:r>
        <w:rPr>
          <w:rFonts w:hint="eastAsia" w:ascii="宋体" w:hAnsi="宋体" w:eastAsia="方正仿宋_GBK" w:cs="方正仿宋_GBK"/>
          <w:color w:val="auto"/>
          <w:sz w:val="32"/>
          <w:szCs w:val="32"/>
          <w:lang w:val="en-US"/>
        </w:rPr>
        <w:t>全面推行行政执法公示制度</w:t>
      </w:r>
      <w:r>
        <w:rPr>
          <w:rFonts w:hint="eastAsia" w:ascii="宋体" w:hAnsi="宋体" w:eastAsia="方正仿宋_GBK" w:cs="方正仿宋_GBK"/>
          <w:color w:val="auto"/>
          <w:sz w:val="32"/>
          <w:szCs w:val="32"/>
          <w:lang w:val="en-US" w:eastAsia="zh-CN"/>
        </w:rPr>
        <w:t>。</w:t>
      </w:r>
      <w:bookmarkStart w:id="482" w:name="_Toc15605"/>
      <w:bookmarkStart w:id="483" w:name="_Toc721"/>
      <w:bookmarkStart w:id="484" w:name="_Toc22891"/>
      <w:bookmarkStart w:id="485" w:name="_Toc28729"/>
      <w:bookmarkStart w:id="486" w:name="_Toc27141"/>
      <w:bookmarkStart w:id="487" w:name="_Toc4446"/>
      <w:bookmarkStart w:id="488" w:name="_Toc66917165"/>
      <w:bookmarkStart w:id="489" w:name="_Toc9803"/>
      <w:bookmarkStart w:id="490" w:name="_Toc66134871"/>
      <w:bookmarkStart w:id="491" w:name="_Toc15241"/>
      <w:bookmarkStart w:id="492" w:name="_Toc18087"/>
      <w:bookmarkStart w:id="493" w:name="_Toc29981"/>
    </w:p>
    <w:p w14:paraId="3539E1DA">
      <w:pPr>
        <w:pStyle w:val="14"/>
        <w:keepNext/>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textAlignment w:val="auto"/>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eastAsia="zh-CN"/>
        </w:rPr>
        <w:t>三、</w:t>
      </w:r>
      <w:r>
        <w:rPr>
          <w:rFonts w:hint="eastAsia" w:ascii="方正黑体_GBK" w:hAnsi="方正黑体_GBK" w:eastAsia="方正黑体_GBK" w:cs="方正黑体_GBK"/>
          <w:b w:val="0"/>
          <w:bCs w:val="0"/>
          <w:color w:val="auto"/>
          <w:sz w:val="32"/>
          <w:szCs w:val="32"/>
          <w:lang w:val="en-US"/>
        </w:rPr>
        <w:t>广泛开展科普宣传教育</w:t>
      </w:r>
      <w:bookmarkEnd w:id="482"/>
      <w:bookmarkEnd w:id="483"/>
      <w:bookmarkEnd w:id="484"/>
      <w:bookmarkEnd w:id="485"/>
      <w:bookmarkEnd w:id="486"/>
      <w:bookmarkEnd w:id="487"/>
      <w:bookmarkEnd w:id="488"/>
      <w:bookmarkEnd w:id="489"/>
      <w:bookmarkEnd w:id="490"/>
      <w:bookmarkEnd w:id="491"/>
      <w:bookmarkEnd w:id="492"/>
      <w:bookmarkEnd w:id="493"/>
    </w:p>
    <w:p w14:paraId="4A2B1FA4">
      <w:pPr>
        <w:pStyle w:val="6"/>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宋体" w:hAnsi="宋体" w:eastAsia="方正仿宋_GBK" w:cs="方正仿宋_GBK"/>
          <w:color w:val="auto"/>
          <w:sz w:val="32"/>
          <w:szCs w:val="32"/>
          <w:lang w:val="en-US"/>
        </w:rPr>
      </w:pPr>
      <w:r>
        <w:rPr>
          <w:rFonts w:hint="default" w:ascii="Times New Roman" w:hAnsi="Times New Roman" w:eastAsia="方正仿宋_GBK" w:cs="Times New Roman"/>
          <w:color w:val="auto"/>
          <w:sz w:val="32"/>
          <w:szCs w:val="32"/>
          <w:lang w:val="en-US"/>
        </w:rPr>
        <w:t>严格落实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谁执法谁普法</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普法责任制，将食品安全法律法规纳入每年普法工作重点，强化普法和科普宣传，以案释法、以案普法，提高公众法治素养和守法意识。在中小学开展食品安全与营养教育，鼓励有条件的主流媒体开办食品安全栏目，持续开展</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食品安全宣传周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和食品安全进农村、进校园、进企业、进社区等宣传活动，提升公众食品安全素养，改变不洁饮食习俗，防止发生食源性疾病</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重点抓好误食有毒野生菌、草乌（附子）等中毒防控宣传教育。普及健康知识，倡导合理膳食，开展营养均衡配餐示范推广，提倡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减盐、减油、减糖</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。推进《云南省国民营养计划(2018-2030年)》和健康云南合理膳食行动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健全营养专业队伍</w:t>
      </w:r>
      <w:r>
        <w:rPr>
          <w:rFonts w:hint="eastAsia" w:ascii="Times New Roman" w:hAnsi="Times New Roman" w:eastAsia="方正仿宋_GBK" w:cs="Times New Roman"/>
          <w:color w:val="auto"/>
          <w:sz w:val="32"/>
          <w:szCs w:val="32"/>
          <w:lang w:val="en-US" w:eastAsia="zh-CN"/>
        </w:rPr>
        <w:t>，积极</w:t>
      </w:r>
      <w:r>
        <w:rPr>
          <w:rFonts w:hint="default" w:ascii="Times New Roman" w:hAnsi="Times New Roman" w:eastAsia="方正仿宋_GBK" w:cs="Times New Roman"/>
          <w:color w:val="auto"/>
          <w:sz w:val="32"/>
          <w:szCs w:val="32"/>
          <w:lang w:val="en-US"/>
        </w:rPr>
        <w:t>配备营养指导员</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完成营养指导员培训</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积极组织开展营养餐厅、营养健康食堂和营养学校试点示范建设。</w:t>
      </w:r>
      <w:bookmarkStart w:id="494" w:name="_Toc32440"/>
      <w:bookmarkStart w:id="495" w:name="_Toc30560"/>
      <w:bookmarkStart w:id="496" w:name="_Toc66917166"/>
      <w:bookmarkStart w:id="497" w:name="_Toc3104"/>
      <w:bookmarkStart w:id="498" w:name="_Toc27336"/>
      <w:bookmarkStart w:id="499" w:name="_Toc20034"/>
      <w:bookmarkStart w:id="500" w:name="_Toc18300"/>
      <w:bookmarkStart w:id="501" w:name="_Toc16472"/>
      <w:bookmarkStart w:id="502" w:name="_Toc16886"/>
      <w:bookmarkStart w:id="503" w:name="_Toc66134872"/>
      <w:bookmarkStart w:id="504" w:name="_Toc22966"/>
      <w:bookmarkStart w:id="505" w:name="_Toc12666"/>
    </w:p>
    <w:p w14:paraId="5A9A0ECB">
      <w:pPr>
        <w:pStyle w:val="6"/>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eastAsia="zh-CN"/>
        </w:rPr>
        <w:t>四、</w:t>
      </w:r>
      <w:r>
        <w:rPr>
          <w:rFonts w:hint="eastAsia" w:ascii="方正黑体_GBK" w:hAnsi="方正黑体_GBK" w:eastAsia="方正黑体_GBK" w:cs="方正黑体_GBK"/>
          <w:b w:val="0"/>
          <w:bCs w:val="0"/>
          <w:color w:val="auto"/>
          <w:sz w:val="32"/>
          <w:szCs w:val="32"/>
          <w:lang w:val="en-US"/>
        </w:rPr>
        <w:t>完善投诉举报机制</w:t>
      </w:r>
      <w:bookmarkEnd w:id="494"/>
      <w:bookmarkEnd w:id="495"/>
      <w:bookmarkEnd w:id="496"/>
      <w:bookmarkEnd w:id="497"/>
      <w:bookmarkEnd w:id="498"/>
      <w:bookmarkEnd w:id="499"/>
      <w:bookmarkEnd w:id="500"/>
      <w:bookmarkEnd w:id="501"/>
      <w:bookmarkEnd w:id="502"/>
      <w:bookmarkEnd w:id="503"/>
      <w:bookmarkEnd w:id="504"/>
      <w:bookmarkEnd w:id="505"/>
    </w:p>
    <w:p w14:paraId="582CFA05">
      <w:pPr>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方正仿宋_GBK"/>
          <w:color w:val="auto"/>
          <w:sz w:val="32"/>
          <w:szCs w:val="32"/>
          <w:lang w:val="en-US" w:bidi="ar-SA"/>
        </w:rPr>
      </w:pPr>
      <w:r>
        <w:rPr>
          <w:rFonts w:hint="eastAsia" w:ascii="宋体" w:hAnsi="宋体" w:eastAsia="方正仿宋_GBK" w:cs="方正仿宋_GBK"/>
          <w:color w:val="auto"/>
          <w:sz w:val="32"/>
          <w:szCs w:val="32"/>
          <w:lang w:val="en-US" w:bidi="ar-SA"/>
        </w:rPr>
        <w:t>畅通投诉举报渠道，落实举报奖励制度。鼓励企业内部知情人举报食品研发、生产、销售等环节中的违法犯罪行为，经查证属实的，按照有关规定给予奖励。加强对举报人的保护，对打击报复举报人的，要依法严肃查处。对恶意举报非法牟利的行为，要依法严厉打击。</w:t>
      </w:r>
    </w:p>
    <w:p w14:paraId="6A7B44C4">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480" w:lineRule="exact"/>
        <w:ind w:left="0" w:leftChars="0" w:right="0" w:rightChars="0" w:firstLine="0" w:firstLineChars="0"/>
        <w:jc w:val="left"/>
        <w:textAlignment w:val="auto"/>
        <w:outlineLvl w:val="1"/>
        <w:rPr>
          <w:rFonts w:hint="eastAsia" w:ascii="方正仿宋_GBK" w:hAnsi="方正仿宋_GBK" w:eastAsia="方正仿宋_GBK" w:cs="方正仿宋_GBK"/>
          <w:b w:val="0"/>
          <w:bCs/>
          <w:sz w:val="32"/>
          <w:szCs w:val="32"/>
          <w:lang w:val="en-US"/>
        </w:rPr>
      </w:pPr>
    </w:p>
    <w:tbl>
      <w:tblPr>
        <w:tblStyle w:val="15"/>
        <w:tblpPr w:leftFromText="180" w:rightFromText="180" w:vertAnchor="text" w:horzAnchor="page" w:tblpX="1758" w:tblpY="61"/>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5"/>
      </w:tblGrid>
      <w:tr w14:paraId="0880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55" w:type="dxa"/>
            <w:vAlign w:val="top"/>
          </w:tcPr>
          <w:p w14:paraId="06222B0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eastAsia="方正仿宋_GBK" w:cs="方正仿宋_GBK"/>
                <w:color w:val="auto"/>
                <w:sz w:val="28"/>
                <w:szCs w:val="28"/>
                <w:lang w:val="en-US"/>
              </w:rPr>
            </w:pPr>
            <w:r>
              <w:rPr>
                <w:rFonts w:hint="eastAsia" w:ascii="宋体" w:hAnsi="宋体" w:eastAsia="方正黑体_GBK" w:cs="方正黑体_GBK"/>
                <w:bCs/>
                <w:color w:val="auto"/>
                <w:sz w:val="28"/>
                <w:szCs w:val="28"/>
              </w:rPr>
              <w:t>重点工程专栏</w:t>
            </w:r>
            <w:r>
              <w:rPr>
                <w:rFonts w:hint="eastAsia" w:ascii="宋体" w:hAnsi="宋体" w:eastAsia="方正黑体_GBK" w:cs="方正黑体_GBK"/>
                <w:bCs/>
                <w:color w:val="auto"/>
                <w:sz w:val="28"/>
                <w:szCs w:val="28"/>
                <w:lang w:val="en-US" w:eastAsia="zh-CN"/>
              </w:rPr>
              <w:t>9</w:t>
            </w:r>
            <w:r>
              <w:rPr>
                <w:rFonts w:hint="eastAsia" w:ascii="宋体" w:hAnsi="宋体" w:eastAsia="方正黑体_GBK" w:cs="方正黑体_GBK"/>
                <w:bCs/>
                <w:color w:val="auto"/>
                <w:sz w:val="28"/>
                <w:szCs w:val="28"/>
              </w:rPr>
              <w:t>：实施“食安云南”品牌创建工程</w:t>
            </w:r>
          </w:p>
        </w:tc>
      </w:tr>
      <w:tr w14:paraId="45B5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5" w:type="dxa"/>
            <w:vAlign w:val="top"/>
          </w:tcPr>
          <w:p w14:paraId="19141955">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shd w:val="clear" w:color="auto" w:fill="FFFFFF"/>
                <w:lang w:val="en-US" w:bidi="ar-SA"/>
              </w:rPr>
            </w:pPr>
            <w:r>
              <w:rPr>
                <w:rFonts w:hint="default" w:ascii="Times New Roman" w:hAnsi="Times New Roman" w:eastAsia="方正楷体_GBK" w:cs="Times New Roman"/>
                <w:color w:val="auto"/>
                <w:sz w:val="24"/>
                <w:szCs w:val="24"/>
                <w:shd w:val="clear" w:color="auto" w:fill="FFFFFF"/>
                <w:lang w:val="en-US" w:bidi="ar-SA"/>
              </w:rPr>
              <w:t>1.建立“食安云南”品牌创建工作机制。</w:t>
            </w:r>
            <w:r>
              <w:rPr>
                <w:rFonts w:hint="default" w:ascii="Times New Roman" w:hAnsi="Times New Roman" w:eastAsia="方正仿宋_GBK" w:cs="Times New Roman"/>
                <w:color w:val="auto"/>
                <w:sz w:val="24"/>
                <w:szCs w:val="24"/>
                <w:shd w:val="clear" w:color="auto" w:fill="FFFFFF"/>
                <w:lang w:val="en-US" w:bidi="ar-SA"/>
              </w:rPr>
              <w:t>制定工作方案，明确创建内容标准、程序和方法。充分调动行业协会、科研机构、大专院校、消费者组织、新闻媒体等各方力量，形成推进品牌建设合力。</w:t>
            </w:r>
          </w:p>
          <w:p w14:paraId="6CC5901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b/>
                <w:bCs/>
                <w:color w:val="auto"/>
                <w:sz w:val="24"/>
                <w:szCs w:val="24"/>
                <w:shd w:val="clear" w:color="auto" w:fill="FFFFFF"/>
                <w:lang w:val="en-US" w:bidi="ar-SA"/>
              </w:rPr>
            </w:pPr>
            <w:r>
              <w:rPr>
                <w:rFonts w:hint="default" w:ascii="Times New Roman" w:hAnsi="Times New Roman" w:eastAsia="方正楷体_GBK" w:cs="Times New Roman"/>
                <w:color w:val="auto"/>
                <w:sz w:val="24"/>
                <w:szCs w:val="24"/>
                <w:shd w:val="clear" w:color="auto" w:fill="FFFFFF"/>
                <w:lang w:val="en-US" w:bidi="ar-SA"/>
              </w:rPr>
              <w:t>2.开展“食安云南”品牌示范创建行动。</w:t>
            </w:r>
            <w:r>
              <w:rPr>
                <w:rFonts w:hint="default" w:ascii="Times New Roman" w:hAnsi="Times New Roman" w:eastAsia="方正仿宋_GBK" w:cs="Times New Roman"/>
                <w:color w:val="auto"/>
                <w:sz w:val="24"/>
                <w:szCs w:val="24"/>
                <w:shd w:val="clear" w:color="auto" w:fill="FFFFFF"/>
                <w:lang w:val="en-US" w:bidi="ar-SA"/>
              </w:rPr>
              <w:t>在种养殖、生产、销售、餐饮等环节开展“食安云南”示范品牌创建活动，通过分类指导、分级管理，重点培育一批食品生产经营企业（含食用农产品和食品生产加工、流通销售、餐饮服务企业）</w:t>
            </w:r>
            <w:r>
              <w:rPr>
                <w:rFonts w:hint="default" w:ascii="Times New Roman" w:hAnsi="Times New Roman" w:eastAsia="方正仿宋_GBK" w:cs="Times New Roman"/>
                <w:color w:val="auto"/>
                <w:sz w:val="24"/>
                <w:szCs w:val="24"/>
                <w:shd w:val="clear" w:color="auto" w:fill="FFFFFF"/>
                <w:lang w:val="en-US" w:eastAsia="zh-CN" w:bidi="ar-SA"/>
              </w:rPr>
              <w:t>100家</w:t>
            </w:r>
            <w:r>
              <w:rPr>
                <w:rFonts w:hint="default" w:ascii="Times New Roman" w:hAnsi="Times New Roman" w:eastAsia="方正仿宋_GBK" w:cs="Times New Roman"/>
                <w:color w:val="auto"/>
                <w:sz w:val="24"/>
                <w:szCs w:val="24"/>
                <w:shd w:val="clear" w:color="auto" w:fill="FFFFFF"/>
                <w:lang w:val="en-US" w:bidi="ar-SA"/>
              </w:rPr>
              <w:t>、食用农产品和食品生产基地（园区）</w:t>
            </w:r>
            <w:r>
              <w:rPr>
                <w:rFonts w:hint="default" w:ascii="Times New Roman" w:hAnsi="Times New Roman" w:eastAsia="方正仿宋_GBK" w:cs="Times New Roman"/>
                <w:color w:val="auto"/>
                <w:sz w:val="24"/>
                <w:szCs w:val="24"/>
                <w:shd w:val="clear" w:color="auto" w:fill="FFFFFF"/>
                <w:lang w:val="en-US" w:eastAsia="zh-CN" w:bidi="ar-SA"/>
              </w:rPr>
              <w:t>1-2个</w:t>
            </w:r>
            <w:r>
              <w:rPr>
                <w:rFonts w:hint="default" w:ascii="Times New Roman" w:hAnsi="Times New Roman" w:eastAsia="方正仿宋_GBK" w:cs="Times New Roman"/>
                <w:color w:val="auto"/>
                <w:sz w:val="24"/>
                <w:szCs w:val="24"/>
                <w:shd w:val="clear" w:color="auto" w:fill="FFFFFF"/>
                <w:lang w:val="en-US" w:bidi="ar-SA"/>
              </w:rPr>
              <w:t>、食品安全街区（小镇）</w:t>
            </w:r>
            <w:r>
              <w:rPr>
                <w:rFonts w:hint="default" w:ascii="Times New Roman" w:hAnsi="Times New Roman" w:eastAsia="方正仿宋_GBK" w:cs="Times New Roman"/>
                <w:color w:val="auto"/>
                <w:sz w:val="24"/>
                <w:szCs w:val="24"/>
                <w:shd w:val="clear" w:color="auto" w:fill="FFFFFF"/>
                <w:lang w:val="en-US" w:eastAsia="zh-CN" w:bidi="ar-SA"/>
              </w:rPr>
              <w:t>6个</w:t>
            </w:r>
            <w:r>
              <w:rPr>
                <w:rFonts w:hint="default" w:ascii="Times New Roman" w:hAnsi="Times New Roman" w:eastAsia="方正仿宋_GBK" w:cs="Times New Roman"/>
                <w:color w:val="auto"/>
                <w:sz w:val="24"/>
                <w:szCs w:val="24"/>
                <w:shd w:val="clear" w:color="auto" w:fill="FFFFFF"/>
                <w:lang w:val="en-US" w:bidi="ar-SA"/>
              </w:rPr>
              <w:t>。</w:t>
            </w:r>
          </w:p>
          <w:p w14:paraId="62622F96">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hint="default" w:ascii="Times New Roman" w:hAnsi="Times New Roman" w:eastAsia="方正仿宋_GBK" w:cs="Times New Roman"/>
                <w:color w:val="auto"/>
                <w:sz w:val="24"/>
                <w:szCs w:val="24"/>
                <w:shd w:val="clear" w:color="auto" w:fill="FFFFFF"/>
                <w:lang w:val="en-US" w:bidi="ar-SA"/>
              </w:rPr>
            </w:pPr>
            <w:r>
              <w:rPr>
                <w:rFonts w:hint="default" w:ascii="Times New Roman" w:hAnsi="Times New Roman" w:eastAsia="方正楷体_GBK" w:cs="Times New Roman"/>
                <w:color w:val="auto"/>
                <w:sz w:val="24"/>
                <w:szCs w:val="24"/>
                <w:shd w:val="clear" w:color="auto" w:fill="FFFFFF"/>
                <w:lang w:val="en-US" w:bidi="ar-SA"/>
              </w:rPr>
              <w:t>3.建立“食安云南”品牌动态评价机制。</w:t>
            </w:r>
            <w:r>
              <w:rPr>
                <w:rFonts w:hint="default" w:ascii="Times New Roman" w:hAnsi="Times New Roman" w:eastAsia="方正仿宋_GBK" w:cs="Times New Roman"/>
                <w:color w:val="auto"/>
                <w:sz w:val="24"/>
                <w:szCs w:val="24"/>
                <w:shd w:val="clear" w:color="auto" w:fill="FFFFFF"/>
                <w:lang w:val="en-US" w:bidi="ar-SA"/>
              </w:rPr>
              <w:t>借助行业协会、科研院校等第三方机构开展食品品牌创建标准和评价体系研究，完善品牌评价标准，开展品牌价值评价与发布工作，进行动态管理和跟踪评价，出台激励与约束机制；建立“食安云南”品牌评价体系，建立消费者评价机制，提高公众认可度。</w:t>
            </w:r>
          </w:p>
          <w:p w14:paraId="026C46C7">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textAlignment w:val="auto"/>
              <w:outlineLvl w:val="9"/>
              <w:rPr>
                <w:rFonts w:hint="default" w:ascii="Times New Roman" w:hAnsi="Times New Roman" w:eastAsia="方正仿宋_GBK" w:cs="Times New Roman"/>
                <w:color w:val="auto"/>
                <w:sz w:val="24"/>
                <w:szCs w:val="24"/>
                <w:shd w:val="clear" w:color="auto" w:fill="FFFFFF"/>
                <w:lang w:val="en-US" w:bidi="ar-SA"/>
              </w:rPr>
            </w:pPr>
            <w:r>
              <w:rPr>
                <w:rFonts w:hint="default" w:ascii="Times New Roman" w:hAnsi="Times New Roman" w:eastAsia="方正楷体_GBK" w:cs="Times New Roman"/>
                <w:color w:val="auto"/>
                <w:sz w:val="24"/>
                <w:szCs w:val="24"/>
                <w:shd w:val="clear" w:color="auto" w:fill="FFFFFF"/>
                <w:lang w:val="en-US" w:bidi="ar-SA"/>
              </w:rPr>
              <w:t>4.讲好“食安云南”故事。</w:t>
            </w:r>
            <w:r>
              <w:rPr>
                <w:rFonts w:hint="default" w:ascii="Times New Roman" w:hAnsi="Times New Roman" w:eastAsia="方正仿宋_GBK" w:cs="Times New Roman"/>
                <w:color w:val="auto"/>
                <w:sz w:val="24"/>
                <w:szCs w:val="24"/>
                <w:shd w:val="clear" w:color="auto" w:fill="FFFFFF"/>
                <w:lang w:val="en-US" w:bidi="ar-SA"/>
              </w:rPr>
              <w:t>加大“食安云南”品牌宣传力度，全力打造</w:t>
            </w:r>
            <w:r>
              <w:rPr>
                <w:rFonts w:hint="default" w:ascii="Times New Roman" w:hAnsi="Times New Roman" w:eastAsia="方正仿宋_GBK" w:cs="Times New Roman"/>
                <w:color w:val="auto"/>
                <w:sz w:val="24"/>
                <w:szCs w:val="24"/>
                <w:shd w:val="clear" w:color="auto" w:fill="FFFFFF"/>
                <w:lang w:val="en-US" w:eastAsia="zh-CN" w:bidi="ar-SA"/>
              </w:rPr>
              <w:t>德宏</w:t>
            </w:r>
            <w:r>
              <w:rPr>
                <w:rFonts w:hint="default" w:ascii="Times New Roman" w:hAnsi="Times New Roman" w:eastAsia="方正仿宋_GBK" w:cs="Times New Roman"/>
                <w:color w:val="auto"/>
                <w:sz w:val="24"/>
                <w:szCs w:val="24"/>
                <w:shd w:val="clear" w:color="auto" w:fill="FFFFFF"/>
                <w:lang w:val="en-US" w:bidi="ar-SA"/>
              </w:rPr>
              <w:t>食品品牌整体形象。发挥行业协会、社会组织作用，联合举办品牌展示会、</w:t>
            </w:r>
            <w:r>
              <w:rPr>
                <w:rFonts w:hint="default" w:ascii="Times New Roman" w:hAnsi="Times New Roman" w:eastAsia="方正仿宋_GBK" w:cs="Times New Roman"/>
                <w:color w:val="auto"/>
                <w:sz w:val="24"/>
                <w:szCs w:val="24"/>
                <w:shd w:val="clear" w:color="auto" w:fill="FFFFFF"/>
                <w:lang w:val="en-US" w:eastAsia="zh-CN" w:bidi="ar-SA"/>
              </w:rPr>
              <w:t>产品</w:t>
            </w:r>
            <w:r>
              <w:rPr>
                <w:rFonts w:hint="default" w:ascii="Times New Roman" w:hAnsi="Times New Roman" w:eastAsia="方正仿宋_GBK" w:cs="Times New Roman"/>
                <w:color w:val="auto"/>
                <w:sz w:val="24"/>
                <w:szCs w:val="24"/>
                <w:shd w:val="clear" w:color="auto" w:fill="FFFFFF"/>
                <w:lang w:val="en-US" w:bidi="ar-SA"/>
              </w:rPr>
              <w:t>品鉴会等系列活动。</w:t>
            </w:r>
          </w:p>
          <w:p w14:paraId="675B1AE5">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textAlignment w:val="auto"/>
              <w:outlineLvl w:val="9"/>
              <w:rPr>
                <w:rFonts w:ascii="宋体" w:hAnsi="宋体" w:eastAsia="方正仿宋_GBK" w:cs="方正仿宋_GBK"/>
                <w:color w:val="auto"/>
                <w:sz w:val="30"/>
                <w:szCs w:val="30"/>
                <w:lang w:val="en-US" w:bidi="ar-SA"/>
              </w:rPr>
            </w:pPr>
            <w:r>
              <w:rPr>
                <w:rFonts w:hint="default" w:ascii="Times New Roman" w:hAnsi="Times New Roman" w:eastAsia="方正楷体_GBK" w:cs="Times New Roman"/>
                <w:color w:val="auto"/>
                <w:sz w:val="24"/>
                <w:szCs w:val="24"/>
                <w:shd w:val="clear" w:color="auto" w:fill="FFFFFF"/>
                <w:lang w:val="en-US" w:bidi="ar-SA"/>
              </w:rPr>
              <w:t>5.实施食品安全“明白人”工程。</w:t>
            </w:r>
            <w:r>
              <w:rPr>
                <w:rFonts w:hint="default" w:ascii="Times New Roman" w:hAnsi="Times New Roman" w:eastAsia="方正仿宋_GBK" w:cs="Times New Roman"/>
                <w:color w:val="auto"/>
                <w:sz w:val="24"/>
                <w:szCs w:val="24"/>
                <w:lang w:val="en-US" w:bidi="ar-SA"/>
              </w:rPr>
              <w:t xml:space="preserve"> </w:t>
            </w:r>
            <w:r>
              <w:rPr>
                <w:rFonts w:hint="default" w:ascii="Times New Roman" w:hAnsi="Times New Roman" w:eastAsia="方正仿宋_GBK" w:cs="Times New Roman"/>
                <w:color w:val="auto"/>
                <w:sz w:val="24"/>
                <w:szCs w:val="24"/>
                <w:shd w:val="clear" w:color="auto" w:fill="FFFFFF"/>
                <w:lang w:val="en-US" w:bidi="ar-SA"/>
              </w:rPr>
              <w:t>组织开展内容丰富、形式多样的食品安全科普宣传，积极构建人人关心、人人参与、人人维护食品安全的良好氛围。</w:t>
            </w:r>
          </w:p>
        </w:tc>
      </w:tr>
    </w:tbl>
    <w:p w14:paraId="23F28D1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宋体" w:hAnsi="宋体" w:eastAsia="方正黑体_GBK" w:cs="方正黑体_GBK"/>
          <w:b w:val="0"/>
          <w:bCs w:val="0"/>
          <w:color w:val="auto"/>
          <w:sz w:val="32"/>
          <w:szCs w:val="32"/>
          <w:lang w:val="en-US" w:eastAsia="zh-CN"/>
        </w:rPr>
      </w:pPr>
      <w:bookmarkStart w:id="506" w:name="_Toc20481"/>
      <w:bookmarkStart w:id="507" w:name="_Toc3432"/>
      <w:bookmarkStart w:id="508" w:name="_Toc29000"/>
      <w:bookmarkStart w:id="509" w:name="_Toc6614"/>
      <w:bookmarkStart w:id="510" w:name="_Toc16140"/>
      <w:bookmarkStart w:id="511" w:name="_Toc26441"/>
      <w:bookmarkStart w:id="512" w:name="_Toc31097"/>
      <w:bookmarkStart w:id="513" w:name="_Toc3276"/>
      <w:bookmarkStart w:id="514" w:name="_Toc4042"/>
    </w:p>
    <w:bookmarkEnd w:id="506"/>
    <w:bookmarkEnd w:id="507"/>
    <w:bookmarkEnd w:id="508"/>
    <w:bookmarkEnd w:id="509"/>
    <w:bookmarkEnd w:id="510"/>
    <w:bookmarkEnd w:id="511"/>
    <w:bookmarkEnd w:id="512"/>
    <w:bookmarkEnd w:id="513"/>
    <w:bookmarkEnd w:id="514"/>
    <w:tbl>
      <w:tblPr>
        <w:tblStyle w:val="15"/>
        <w:tblpPr w:leftFromText="180" w:rightFromText="180" w:vertAnchor="text" w:horzAnchor="page" w:tblpXSpec="center" w:tblpY="9"/>
        <w:tblOverlap w:val="never"/>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5"/>
      </w:tblGrid>
      <w:tr w14:paraId="0F99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545" w:type="dxa"/>
            <w:vAlign w:val="top"/>
          </w:tcPr>
          <w:p w14:paraId="450BBB8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宋体" w:hAnsi="宋体" w:eastAsia="方正仿宋_GBK" w:cs="方正仿宋_GBK"/>
                <w:b/>
                <w:color w:val="auto"/>
                <w:sz w:val="30"/>
                <w:szCs w:val="30"/>
              </w:rPr>
            </w:pPr>
            <w:r>
              <w:rPr>
                <w:rFonts w:hint="eastAsia" w:ascii="宋体" w:hAnsi="宋体" w:eastAsia="方正黑体_GBK" w:cs="方正黑体_GBK"/>
                <w:bCs/>
                <w:color w:val="auto"/>
                <w:sz w:val="28"/>
                <w:szCs w:val="28"/>
              </w:rPr>
              <w:t>重点行动专栏10：实施“双安双创”示范引领行动</w:t>
            </w:r>
          </w:p>
        </w:tc>
      </w:tr>
      <w:tr w14:paraId="57D6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5" w:type="dxa"/>
            <w:vAlign w:val="top"/>
          </w:tcPr>
          <w:p w14:paraId="79D207D5">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宋体" w:hAnsi="宋体" w:eastAsia="方正仿宋_GBK" w:cs="方正仿宋_GBK"/>
                <w:color w:val="auto"/>
                <w:shd w:val="clear" w:color="auto" w:fill="FFFFFF"/>
                <w:lang w:val="en-US"/>
              </w:rPr>
            </w:pPr>
            <w:r>
              <w:rPr>
                <w:rFonts w:hint="eastAsia" w:eastAsia="方正楷体_GBK" w:cs="方正楷体_GBK"/>
                <w:color w:val="auto"/>
                <w:shd w:val="clear" w:color="auto" w:fill="FFFFFF"/>
                <w:lang w:val="en-US" w:eastAsia="zh-CN"/>
              </w:rPr>
              <w:t>1.</w:t>
            </w:r>
            <w:r>
              <w:rPr>
                <w:rFonts w:hint="eastAsia" w:ascii="宋体" w:hAnsi="宋体" w:eastAsia="方正楷体_GBK" w:cs="方正楷体_GBK"/>
                <w:color w:val="auto"/>
                <w:shd w:val="clear" w:color="auto" w:fill="FFFFFF"/>
                <w:lang w:val="en-US"/>
              </w:rPr>
              <w:t>持续开展食品安全示范城市创建和农产品质量安全县创建活动。</w:t>
            </w:r>
            <w:r>
              <w:rPr>
                <w:rFonts w:hint="eastAsia" w:ascii="宋体" w:hAnsi="宋体" w:eastAsia="方正仿宋_GBK" w:cs="方正仿宋_GBK"/>
                <w:color w:val="auto"/>
                <w:shd w:val="clear" w:color="auto" w:fill="FFFFFF"/>
                <w:lang w:val="en-US"/>
              </w:rPr>
              <w:t>全域推进省级农产品质量安全县和省级食品安全示范县创建活动，进一步优化创建评价体系，加强创建工作动态管理，提升创建工作质量。积极做好</w:t>
            </w:r>
            <w:r>
              <w:rPr>
                <w:rFonts w:hint="eastAsia" w:eastAsia="方正仿宋_GBK" w:cs="方正仿宋_GBK"/>
                <w:color w:val="auto"/>
                <w:shd w:val="clear" w:color="auto" w:fill="FFFFFF"/>
                <w:lang w:val="en-US" w:eastAsia="zh-CN"/>
              </w:rPr>
              <w:t>芒市</w:t>
            </w:r>
            <w:r>
              <w:rPr>
                <w:rFonts w:hint="eastAsia" w:ascii="宋体" w:hAnsi="宋体" w:eastAsia="方正仿宋_GBK" w:cs="方正仿宋_GBK"/>
                <w:color w:val="auto"/>
                <w:shd w:val="clear" w:color="auto" w:fill="FFFFFF"/>
                <w:lang w:val="en-US"/>
              </w:rPr>
              <w:t>创建</w:t>
            </w:r>
            <w:r>
              <w:rPr>
                <w:rFonts w:hint="eastAsia" w:eastAsia="方正仿宋_GBK" w:cs="方正仿宋_GBK"/>
                <w:color w:val="auto"/>
                <w:shd w:val="clear" w:color="auto" w:fill="FFFFFF"/>
                <w:lang w:val="en-US" w:eastAsia="zh-CN"/>
              </w:rPr>
              <w:t>省级</w:t>
            </w:r>
            <w:r>
              <w:rPr>
                <w:rFonts w:hint="eastAsia" w:ascii="宋体" w:hAnsi="宋体" w:eastAsia="方正仿宋_GBK" w:cs="方正仿宋_GBK"/>
                <w:color w:val="auto"/>
                <w:shd w:val="clear" w:color="auto" w:fill="FFFFFF"/>
                <w:lang w:val="en-US"/>
              </w:rPr>
              <w:t>食品安全示范城市的动态管理工作。</w:t>
            </w:r>
          </w:p>
          <w:p w14:paraId="4C6F7F2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leftChars="0" w:right="0" w:rightChars="0" w:firstLine="480" w:firstLineChars="200"/>
              <w:jc w:val="both"/>
              <w:textAlignment w:val="auto"/>
              <w:outlineLvl w:val="9"/>
              <w:rPr>
                <w:rFonts w:ascii="宋体" w:hAnsi="宋体" w:eastAsia="方正仿宋_GBK" w:cs="方正仿宋_GBK"/>
                <w:color w:val="auto"/>
                <w:sz w:val="30"/>
                <w:szCs w:val="30"/>
              </w:rPr>
            </w:pPr>
            <w:r>
              <w:rPr>
                <w:rFonts w:hint="eastAsia" w:ascii="宋体" w:hAnsi="宋体" w:eastAsia="方正仿宋_GBK" w:cs="方正仿宋_GBK"/>
                <w:color w:val="auto"/>
                <w:shd w:val="clear" w:color="auto" w:fill="FFFFFF"/>
                <w:lang w:val="en-US"/>
              </w:rPr>
              <w:t>到2025年，全</w:t>
            </w:r>
            <w:r>
              <w:rPr>
                <w:rFonts w:hint="eastAsia" w:eastAsia="方正仿宋_GBK" w:cs="方正仿宋_GBK"/>
                <w:color w:val="auto"/>
                <w:shd w:val="clear" w:color="auto" w:fill="FFFFFF"/>
                <w:lang w:val="en-US" w:eastAsia="zh-CN"/>
              </w:rPr>
              <w:t>州</w:t>
            </w:r>
            <w:r>
              <w:rPr>
                <w:rFonts w:hint="eastAsia" w:ascii="宋体" w:hAnsi="宋体" w:eastAsia="方正仿宋_GBK" w:cs="方正仿宋_GBK"/>
                <w:color w:val="auto"/>
                <w:shd w:val="clear" w:color="auto" w:fill="FFFFFF"/>
                <w:lang w:val="en-US"/>
              </w:rPr>
              <w:t>完成</w:t>
            </w:r>
            <w:r>
              <w:rPr>
                <w:rFonts w:hint="eastAsia" w:eastAsia="方正仿宋_GBK" w:cs="方正仿宋_GBK"/>
                <w:color w:val="auto"/>
                <w:shd w:val="clear" w:color="auto" w:fill="FFFFFF"/>
                <w:lang w:val="en-US" w:eastAsia="zh-CN"/>
              </w:rPr>
              <w:t>1个</w:t>
            </w:r>
            <w:r>
              <w:rPr>
                <w:rFonts w:hint="eastAsia" w:ascii="宋体" w:hAnsi="宋体" w:eastAsia="方正仿宋_GBK" w:cs="方正仿宋_GBK"/>
                <w:color w:val="auto"/>
                <w:shd w:val="clear" w:color="auto" w:fill="FFFFFF"/>
                <w:lang w:val="en-US"/>
              </w:rPr>
              <w:t>国家农产品质量安全县创建。完成创建</w:t>
            </w:r>
            <w:r>
              <w:rPr>
                <w:rFonts w:hint="eastAsia" w:eastAsia="方正仿宋_GBK" w:cs="方正仿宋_GBK"/>
                <w:color w:val="auto"/>
                <w:shd w:val="clear" w:color="auto" w:fill="FFFFFF"/>
                <w:lang w:val="en-US" w:eastAsia="zh-CN"/>
              </w:rPr>
              <w:t>2个</w:t>
            </w:r>
            <w:r>
              <w:rPr>
                <w:rFonts w:hint="eastAsia" w:ascii="宋体" w:hAnsi="宋体" w:eastAsia="方正仿宋_GBK" w:cs="方正仿宋_GBK"/>
                <w:color w:val="auto"/>
                <w:shd w:val="clear" w:color="auto" w:fill="FFFFFF"/>
                <w:lang w:val="en-US"/>
              </w:rPr>
              <w:t>省级食品安全示范县</w:t>
            </w:r>
            <w:r>
              <w:rPr>
                <w:rFonts w:hint="eastAsia" w:eastAsia="方正仿宋_GBK" w:cs="方正仿宋_GBK"/>
                <w:color w:val="auto"/>
                <w:shd w:val="clear" w:color="auto" w:fill="FFFFFF"/>
                <w:lang w:val="en-US" w:eastAsia="zh-CN"/>
              </w:rPr>
              <w:t>市</w:t>
            </w:r>
            <w:r>
              <w:rPr>
                <w:rFonts w:hint="eastAsia" w:ascii="宋体" w:hAnsi="宋体" w:eastAsia="方正仿宋_GBK" w:cs="方正仿宋_GBK"/>
                <w:color w:val="auto"/>
                <w:shd w:val="clear" w:color="auto" w:fill="FFFFFF"/>
                <w:lang w:val="en-US"/>
              </w:rPr>
              <w:t>和</w:t>
            </w:r>
            <w:r>
              <w:rPr>
                <w:rFonts w:hint="eastAsia" w:eastAsia="方正仿宋_GBK" w:cs="方正仿宋_GBK"/>
                <w:color w:val="auto"/>
                <w:shd w:val="clear" w:color="auto" w:fill="FFFFFF"/>
                <w:lang w:val="en-US" w:eastAsia="zh-CN"/>
              </w:rPr>
              <w:t>2个</w:t>
            </w:r>
            <w:r>
              <w:rPr>
                <w:rFonts w:hint="eastAsia" w:ascii="宋体" w:hAnsi="宋体" w:eastAsia="方正仿宋_GBK" w:cs="方正仿宋_GBK"/>
                <w:color w:val="auto"/>
                <w:shd w:val="clear" w:color="auto" w:fill="FFFFFF"/>
                <w:lang w:val="en-US"/>
              </w:rPr>
              <w:t>省级农产品质量安全县。</w:t>
            </w:r>
          </w:p>
        </w:tc>
      </w:tr>
    </w:tbl>
    <w:p w14:paraId="120BAE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1ED8932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1676F1C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21144C2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0C5A209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348CC9C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0EE9970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298FDED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4F2EB0E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4350D67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5B0D942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1B379D5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765ADAC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5537AB0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659A2EA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490F81B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37A0BC8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34AB2CA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eastAsia="zh-CN"/>
        </w:rPr>
      </w:pPr>
    </w:p>
    <w:p w14:paraId="7128C47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方正黑体_GBK" w:cs="方正黑体_GBK"/>
          <w:b w:val="0"/>
          <w:bCs w:val="0"/>
          <w:color w:val="auto"/>
          <w:sz w:val="32"/>
          <w:szCs w:val="32"/>
          <w:lang w:val="en-US"/>
        </w:rPr>
      </w:pPr>
      <w:r>
        <w:rPr>
          <w:rFonts w:hint="eastAsia" w:ascii="宋体" w:hAnsi="宋体" w:eastAsia="方正黑体_GBK" w:cs="方正黑体_GBK"/>
          <w:b w:val="0"/>
          <w:bCs w:val="0"/>
          <w:color w:val="auto"/>
          <w:sz w:val="32"/>
          <w:szCs w:val="32"/>
          <w:lang w:val="en-US" w:eastAsia="zh-CN"/>
        </w:rPr>
        <w:t xml:space="preserve">第四章  </w:t>
      </w:r>
      <w:r>
        <w:rPr>
          <w:rFonts w:hint="eastAsia" w:ascii="宋体" w:hAnsi="宋体" w:eastAsia="方正黑体_GBK" w:cs="方正黑体_GBK"/>
          <w:b w:val="0"/>
          <w:bCs w:val="0"/>
          <w:color w:val="auto"/>
          <w:sz w:val="32"/>
          <w:szCs w:val="32"/>
          <w:lang w:val="en-US"/>
        </w:rPr>
        <w:t>保障措施</w:t>
      </w:r>
    </w:p>
    <w:p w14:paraId="7761E48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center"/>
        <w:textAlignment w:val="auto"/>
        <w:outlineLvl w:val="9"/>
        <w:rPr>
          <w:rFonts w:hint="eastAsia" w:ascii="宋体" w:hAnsi="宋体" w:eastAsia="方正楷体_GBK" w:cs="方正楷体_GBK"/>
          <w:b w:val="0"/>
          <w:bCs w:val="0"/>
          <w:color w:val="auto"/>
          <w:sz w:val="21"/>
          <w:szCs w:val="21"/>
          <w:lang w:val="en-US" w:eastAsia="zh-CN"/>
        </w:rPr>
      </w:pPr>
      <w:bookmarkStart w:id="515" w:name="_Toc24356"/>
      <w:bookmarkStart w:id="516" w:name="_Toc30513"/>
    </w:p>
    <w:bookmarkEnd w:id="515"/>
    <w:bookmarkEnd w:id="516"/>
    <w:p w14:paraId="46D96BB7">
      <w:pPr>
        <w:keepNext w:val="0"/>
        <w:keepLines w:val="0"/>
        <w:pageBreakBefore w:val="0"/>
        <w:widowControl w:val="0"/>
        <w:kinsoku/>
        <w:wordWrap/>
        <w:overflowPunct/>
        <w:topLinePunct w:val="0"/>
        <w:bidi w:val="0"/>
        <w:adjustRightInd/>
        <w:snapToGrid/>
        <w:spacing w:line="560" w:lineRule="exact"/>
        <w:ind w:right="0" w:rightChars="0"/>
        <w:jc w:val="center"/>
        <w:textAlignment w:val="auto"/>
        <w:rPr>
          <w:rFonts w:hint="eastAsia" w:ascii="方正黑体_GBK" w:hAnsi="方正黑体_GBK" w:eastAsia="方正黑体_GBK" w:cs="方正黑体_GBK"/>
          <w:bCs/>
          <w:color w:val="auto"/>
          <w:sz w:val="32"/>
          <w:szCs w:val="32"/>
        </w:rPr>
      </w:pPr>
      <w:bookmarkStart w:id="517" w:name="_Toc450839469"/>
      <w:r>
        <w:rPr>
          <w:rFonts w:hint="eastAsia" w:ascii="方正黑体_GBK" w:hAnsi="方正黑体_GBK" w:eastAsia="方正黑体_GBK" w:cs="方正黑体_GBK"/>
          <w:bCs/>
          <w:color w:val="auto"/>
          <w:sz w:val="32"/>
          <w:szCs w:val="32"/>
        </w:rPr>
        <w:t>第一节  加强组织领导</w:t>
      </w:r>
      <w:bookmarkEnd w:id="517"/>
    </w:p>
    <w:p w14:paraId="32B1E097">
      <w:pPr>
        <w:pStyle w:val="9"/>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auto"/>
          <w:sz w:val="32"/>
          <w:szCs w:val="32"/>
          <w:lang w:val="zh-CN" w:eastAsia="zh-CN" w:bidi="zh-CN"/>
        </w:rPr>
      </w:pPr>
    </w:p>
    <w:p w14:paraId="49A55F00">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按照本规划确定的发展目标和主要任务，成立以分管副州长为组长，</w:t>
      </w:r>
      <w:r>
        <w:rPr>
          <w:rFonts w:hint="eastAsia" w:ascii="宋体" w:hAnsi="宋体" w:eastAsia="方正仿宋_GBK" w:cs="方正仿宋_GBK"/>
          <w:color w:val="auto"/>
          <w:sz w:val="32"/>
          <w:szCs w:val="32"/>
          <w:lang w:eastAsia="zh-CN"/>
        </w:rPr>
        <w:t>州政府食安委</w:t>
      </w:r>
      <w:r>
        <w:rPr>
          <w:rFonts w:hint="eastAsia" w:ascii="宋体" w:hAnsi="宋体" w:eastAsia="方正仿宋_GBK" w:cs="方正仿宋_GBK"/>
          <w:color w:val="auto"/>
          <w:sz w:val="32"/>
          <w:szCs w:val="32"/>
        </w:rPr>
        <w:t>相关单位为成员的</w:t>
      </w:r>
      <w:r>
        <w:rPr>
          <w:rFonts w:hint="eastAsia" w:ascii="宋体" w:hAnsi="宋体" w:eastAsia="方正仿宋_GBK" w:cs="方正仿宋_GBK"/>
          <w:color w:val="auto"/>
          <w:sz w:val="32"/>
          <w:szCs w:val="32"/>
          <w:lang w:eastAsia="zh-CN"/>
        </w:rPr>
        <w:t>德宏州</w:t>
      </w:r>
      <w:r>
        <w:rPr>
          <w:rFonts w:hint="eastAsia" w:ascii="宋体" w:hAnsi="宋体" w:eastAsia="方正仿宋_GBK" w:cs="方正仿宋_GBK"/>
          <w:color w:val="auto"/>
          <w:sz w:val="32"/>
          <w:szCs w:val="32"/>
        </w:rPr>
        <w:t>“十</w:t>
      </w:r>
      <w:r>
        <w:rPr>
          <w:rFonts w:hint="eastAsia" w:ascii="宋体" w:hAnsi="宋体" w:eastAsia="方正仿宋_GBK" w:cs="方正仿宋_GBK"/>
          <w:color w:val="auto"/>
          <w:sz w:val="32"/>
          <w:szCs w:val="32"/>
          <w:lang w:eastAsia="zh-CN"/>
        </w:rPr>
        <w:t>四</w:t>
      </w:r>
      <w:r>
        <w:rPr>
          <w:rFonts w:hint="eastAsia" w:ascii="宋体" w:hAnsi="宋体" w:eastAsia="方正仿宋_GBK" w:cs="方正仿宋_GBK"/>
          <w:color w:val="auto"/>
          <w:sz w:val="32"/>
          <w:szCs w:val="32"/>
        </w:rPr>
        <w:t>五”</w:t>
      </w:r>
      <w:r>
        <w:rPr>
          <w:rFonts w:hint="eastAsia" w:ascii="宋体" w:hAnsi="宋体" w:eastAsia="方正仿宋_GBK" w:cs="方正仿宋_GBK"/>
          <w:color w:val="auto"/>
          <w:sz w:val="32"/>
          <w:szCs w:val="32"/>
          <w:lang w:eastAsia="zh-CN"/>
        </w:rPr>
        <w:t>食品安全</w:t>
      </w:r>
      <w:r>
        <w:rPr>
          <w:rFonts w:hint="eastAsia" w:ascii="宋体" w:hAnsi="宋体" w:eastAsia="方正仿宋_GBK" w:cs="方正仿宋_GBK"/>
          <w:color w:val="auto"/>
          <w:sz w:val="32"/>
          <w:szCs w:val="32"/>
        </w:rPr>
        <w:t>规划实施工作领导</w:t>
      </w:r>
      <w:r>
        <w:rPr>
          <w:rFonts w:hint="eastAsia" w:ascii="宋体" w:hAnsi="宋体" w:eastAsia="方正仿宋_GBK" w:cs="方正仿宋_GBK"/>
          <w:color w:val="auto"/>
          <w:sz w:val="32"/>
          <w:szCs w:val="32"/>
          <w:lang w:eastAsia="zh-CN"/>
        </w:rPr>
        <w:t>小</w:t>
      </w:r>
      <w:r>
        <w:rPr>
          <w:rFonts w:hint="eastAsia" w:ascii="宋体" w:hAnsi="宋体" w:eastAsia="方正仿宋_GBK" w:cs="方正仿宋_GBK"/>
          <w:color w:val="auto"/>
          <w:sz w:val="32"/>
          <w:szCs w:val="32"/>
        </w:rPr>
        <w:t>组，领导小组下设办公室在州</w:t>
      </w:r>
      <w:r>
        <w:rPr>
          <w:rFonts w:hint="eastAsia" w:ascii="宋体" w:hAnsi="宋体" w:eastAsia="方正仿宋_GBK" w:cs="方正仿宋_GBK"/>
          <w:color w:val="auto"/>
          <w:sz w:val="32"/>
          <w:szCs w:val="32"/>
          <w:lang w:eastAsia="zh-CN"/>
        </w:rPr>
        <w:t>政府食安办</w:t>
      </w:r>
      <w:r>
        <w:rPr>
          <w:rFonts w:hint="eastAsia" w:ascii="宋体" w:hAnsi="宋体" w:eastAsia="方正仿宋_GBK" w:cs="方正仿宋_GBK"/>
          <w:color w:val="auto"/>
          <w:sz w:val="32"/>
          <w:szCs w:val="32"/>
        </w:rPr>
        <w:t>，全面负责</w:t>
      </w:r>
      <w:r>
        <w:rPr>
          <w:rFonts w:hint="eastAsia" w:ascii="宋体" w:hAnsi="宋体" w:eastAsia="方正仿宋_GBK" w:cs="方正仿宋_GBK"/>
          <w:color w:val="auto"/>
          <w:sz w:val="32"/>
          <w:szCs w:val="32"/>
          <w:lang w:eastAsia="zh-CN"/>
        </w:rPr>
        <w:t>本</w:t>
      </w:r>
      <w:r>
        <w:rPr>
          <w:rFonts w:hint="eastAsia" w:ascii="宋体" w:hAnsi="宋体" w:eastAsia="方正仿宋_GBK" w:cs="方正仿宋_GBK"/>
          <w:color w:val="auto"/>
          <w:sz w:val="32"/>
          <w:szCs w:val="32"/>
        </w:rPr>
        <w:t>规划的落实。各级政府要将食品安全工作纳入重要议事日程和本地经济社会发展规划，加强与相关规划的有效衔接</w:t>
      </w:r>
      <w:r>
        <w:rPr>
          <w:rFonts w:hint="eastAsia" w:ascii="宋体" w:hAnsi="宋体" w:eastAsia="方正仿宋_GBK" w:cs="方正仿宋_GBK"/>
          <w:color w:val="auto"/>
          <w:sz w:val="32"/>
          <w:szCs w:val="32"/>
          <w:lang w:eastAsia="zh-CN"/>
        </w:rPr>
        <w:t>，加强年度重点工作安排与本规划的衔接，加强政策之间的衔接协调</w:t>
      </w:r>
      <w:r>
        <w:rPr>
          <w:rFonts w:hint="eastAsia" w:ascii="宋体" w:hAnsi="宋体" w:eastAsia="方正仿宋_GBK" w:cs="方正仿宋_GBK"/>
          <w:color w:val="auto"/>
          <w:sz w:val="32"/>
          <w:szCs w:val="32"/>
        </w:rPr>
        <w:t>，</w:t>
      </w:r>
      <w:r>
        <w:rPr>
          <w:rFonts w:hint="eastAsia" w:ascii="宋体" w:hAnsi="宋体" w:eastAsia="方正仿宋_GBK" w:cs="方正仿宋_GBK"/>
          <w:color w:val="auto"/>
          <w:sz w:val="32"/>
          <w:szCs w:val="32"/>
          <w:lang w:eastAsia="zh-CN"/>
        </w:rPr>
        <w:t>切实履行食品安全</w:t>
      </w:r>
      <w:r>
        <w:rPr>
          <w:rFonts w:hint="eastAsia" w:ascii="宋体" w:hAnsi="宋体" w:eastAsia="方正仿宋_GBK" w:cs="方正仿宋_GBK"/>
          <w:color w:val="auto"/>
          <w:sz w:val="32"/>
          <w:szCs w:val="32"/>
        </w:rPr>
        <w:t>监管</w:t>
      </w:r>
      <w:r>
        <w:rPr>
          <w:rFonts w:hint="eastAsia" w:ascii="宋体" w:hAnsi="宋体" w:eastAsia="方正仿宋_GBK" w:cs="方正仿宋_GBK"/>
          <w:color w:val="auto"/>
          <w:sz w:val="32"/>
          <w:szCs w:val="32"/>
          <w:lang w:eastAsia="zh-CN"/>
        </w:rPr>
        <w:t>四有（</w:t>
      </w:r>
      <w:r>
        <w:rPr>
          <w:rFonts w:hint="eastAsia" w:ascii="宋体" w:hAnsi="宋体" w:eastAsia="方正仿宋_GBK" w:cs="方正仿宋_GBK"/>
          <w:color w:val="auto"/>
          <w:sz w:val="32"/>
          <w:szCs w:val="32"/>
        </w:rPr>
        <w:t>有责、有岗、有人、有手段</w:t>
      </w:r>
      <w:r>
        <w:rPr>
          <w:rFonts w:hint="eastAsia" w:ascii="宋体" w:hAnsi="宋体" w:eastAsia="方正仿宋_GBK" w:cs="方正仿宋_GBK"/>
          <w:color w:val="auto"/>
          <w:sz w:val="32"/>
          <w:szCs w:val="32"/>
          <w:lang w:eastAsia="zh-CN"/>
        </w:rPr>
        <w:t>）两责（</w:t>
      </w:r>
      <w:r>
        <w:rPr>
          <w:rFonts w:hint="eastAsia" w:ascii="宋体" w:hAnsi="宋体" w:eastAsia="方正仿宋_GBK" w:cs="方正仿宋_GBK"/>
          <w:color w:val="auto"/>
          <w:sz w:val="32"/>
          <w:szCs w:val="32"/>
        </w:rPr>
        <w:t>监管</w:t>
      </w:r>
      <w:r>
        <w:rPr>
          <w:rFonts w:hint="eastAsia" w:ascii="宋体" w:hAnsi="宋体" w:eastAsia="方正仿宋_GBK" w:cs="方正仿宋_GBK"/>
          <w:color w:val="auto"/>
          <w:sz w:val="32"/>
          <w:szCs w:val="32"/>
          <w:lang w:eastAsia="zh-CN"/>
        </w:rPr>
        <w:t>职责</w:t>
      </w:r>
      <w:r>
        <w:rPr>
          <w:rFonts w:hint="eastAsia" w:ascii="宋体" w:hAnsi="宋体" w:eastAsia="方正仿宋_GBK" w:cs="方正仿宋_GBK"/>
          <w:color w:val="auto"/>
          <w:sz w:val="32"/>
          <w:szCs w:val="32"/>
        </w:rPr>
        <w:t>、</w:t>
      </w:r>
      <w:r>
        <w:rPr>
          <w:rFonts w:hint="eastAsia" w:ascii="宋体" w:hAnsi="宋体" w:eastAsia="方正仿宋_GBK" w:cs="方正仿宋_GBK"/>
          <w:color w:val="auto"/>
          <w:sz w:val="32"/>
          <w:szCs w:val="32"/>
          <w:lang w:eastAsia="zh-CN"/>
        </w:rPr>
        <w:t>检验职责）</w:t>
      </w:r>
      <w:r>
        <w:rPr>
          <w:rFonts w:hint="eastAsia" w:ascii="宋体" w:hAnsi="宋体" w:eastAsia="方正仿宋_GBK" w:cs="方正仿宋_GBK"/>
          <w:color w:val="auto"/>
          <w:sz w:val="32"/>
          <w:szCs w:val="32"/>
        </w:rPr>
        <w:t>。严格落实党政同责，压实属地管理责任，根据本规划确定的发展目标和主要任务，按照部门职责，细化目标，分解任务，制定方案，落实措施，</w:t>
      </w:r>
      <w:r>
        <w:rPr>
          <w:rFonts w:hint="eastAsia" w:ascii="宋体" w:hAnsi="宋体" w:eastAsia="方正仿宋_GBK" w:cs="方正仿宋_GBK"/>
          <w:color w:val="auto"/>
          <w:sz w:val="32"/>
          <w:szCs w:val="32"/>
          <w:lang w:eastAsia="zh-CN"/>
        </w:rPr>
        <w:t>保障德宏州</w:t>
      </w:r>
      <w:r>
        <w:rPr>
          <w:rFonts w:hint="eastAsia" w:ascii="宋体" w:hAnsi="宋体" w:eastAsia="方正仿宋_GBK" w:cs="方正仿宋_GBK"/>
          <w:color w:val="auto"/>
          <w:sz w:val="32"/>
          <w:szCs w:val="32"/>
        </w:rPr>
        <w:t>“十</w:t>
      </w:r>
      <w:r>
        <w:rPr>
          <w:rFonts w:hint="eastAsia" w:ascii="宋体" w:hAnsi="宋体" w:eastAsia="方正仿宋_GBK" w:cs="方正仿宋_GBK"/>
          <w:color w:val="auto"/>
          <w:sz w:val="32"/>
          <w:szCs w:val="32"/>
          <w:lang w:eastAsia="zh-CN"/>
        </w:rPr>
        <w:t>四</w:t>
      </w:r>
      <w:r>
        <w:rPr>
          <w:rFonts w:hint="eastAsia" w:ascii="宋体" w:hAnsi="宋体" w:eastAsia="方正仿宋_GBK" w:cs="方正仿宋_GBK"/>
          <w:color w:val="auto"/>
          <w:sz w:val="32"/>
          <w:szCs w:val="32"/>
        </w:rPr>
        <w:t>五”</w:t>
      </w:r>
      <w:r>
        <w:rPr>
          <w:rFonts w:hint="eastAsia" w:ascii="宋体" w:hAnsi="宋体" w:eastAsia="方正仿宋_GBK" w:cs="方正仿宋_GBK"/>
          <w:color w:val="auto"/>
          <w:sz w:val="32"/>
          <w:szCs w:val="32"/>
          <w:lang w:eastAsia="zh-CN"/>
        </w:rPr>
        <w:t>食品安全</w:t>
      </w:r>
      <w:r>
        <w:rPr>
          <w:rFonts w:hint="eastAsia" w:ascii="宋体" w:hAnsi="宋体" w:eastAsia="方正仿宋_GBK" w:cs="方正仿宋_GBK"/>
          <w:color w:val="auto"/>
          <w:sz w:val="32"/>
          <w:szCs w:val="32"/>
        </w:rPr>
        <w:t>规划</w:t>
      </w:r>
      <w:r>
        <w:rPr>
          <w:rFonts w:hint="eastAsia" w:ascii="宋体" w:hAnsi="宋体" w:eastAsia="方正仿宋_GBK" w:cs="方正仿宋_GBK"/>
          <w:color w:val="auto"/>
          <w:sz w:val="32"/>
          <w:szCs w:val="32"/>
          <w:lang w:eastAsia="zh-CN"/>
        </w:rPr>
        <w:t>顺利实施。</w:t>
      </w:r>
    </w:p>
    <w:p w14:paraId="7E8C2316">
      <w:pPr>
        <w:pStyle w:val="9"/>
        <w:keepNext w:val="0"/>
        <w:keepLines w:val="0"/>
        <w:pageBreakBefore w:val="0"/>
        <w:widowControl w:val="0"/>
        <w:kinsoku/>
        <w:wordWrap/>
        <w:overflowPunct/>
        <w:topLinePunct w:val="0"/>
        <w:bidi w:val="0"/>
        <w:adjustRightInd/>
        <w:snapToGrid/>
        <w:spacing w:line="560" w:lineRule="exact"/>
        <w:ind w:left="0" w:leftChars="0" w:right="0" w:rightChars="0" w:firstLine="0" w:firstLineChars="0"/>
        <w:jc w:val="center"/>
        <w:textAlignment w:val="auto"/>
        <w:rPr>
          <w:rFonts w:hint="eastAsia" w:ascii="方正黑体_GBK" w:hAnsi="方正黑体_GBK" w:eastAsia="方正黑体_GBK" w:cs="方正黑体_GBK"/>
          <w:bCs/>
          <w:color w:val="auto"/>
          <w:sz w:val="32"/>
          <w:szCs w:val="32"/>
        </w:rPr>
      </w:pPr>
      <w:bookmarkStart w:id="518" w:name="_Toc26231"/>
    </w:p>
    <w:p w14:paraId="3BD012DE">
      <w:pPr>
        <w:pStyle w:val="9"/>
        <w:keepNext w:val="0"/>
        <w:keepLines w:val="0"/>
        <w:pageBreakBefore w:val="0"/>
        <w:widowControl w:val="0"/>
        <w:kinsoku/>
        <w:wordWrap/>
        <w:overflowPunct/>
        <w:topLinePunct w:val="0"/>
        <w:bidi w:val="0"/>
        <w:adjustRightInd/>
        <w:snapToGrid/>
        <w:spacing w:line="560" w:lineRule="exact"/>
        <w:ind w:left="0" w:leftChars="0" w:right="0" w:rightChars="0" w:firstLine="0" w:firstLineChars="0"/>
        <w:jc w:val="center"/>
        <w:textAlignment w:val="auto"/>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第二节 加大投入</w:t>
      </w:r>
      <w:bookmarkEnd w:id="518"/>
      <w:r>
        <w:rPr>
          <w:rFonts w:hint="eastAsia" w:ascii="方正黑体_GBK" w:hAnsi="方正黑体_GBK" w:eastAsia="方正黑体_GBK" w:cs="方正黑体_GBK"/>
          <w:bCs/>
          <w:color w:val="auto"/>
          <w:sz w:val="32"/>
          <w:szCs w:val="32"/>
        </w:rPr>
        <w:t>力度</w:t>
      </w:r>
    </w:p>
    <w:p w14:paraId="29BE42C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40" w:firstLineChars="200"/>
        <w:jc w:val="both"/>
        <w:textAlignment w:val="auto"/>
        <w:outlineLvl w:val="9"/>
        <w:rPr>
          <w:rFonts w:hint="eastAsia"/>
          <w:color w:val="auto"/>
        </w:rPr>
      </w:pPr>
    </w:p>
    <w:p w14:paraId="1071F82F">
      <w:pPr>
        <w:pStyle w:val="6"/>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firstLine="640" w:firstLineChars="200"/>
        <w:jc w:val="both"/>
        <w:textAlignment w:val="auto"/>
        <w:outlineLvl w:val="9"/>
        <w:rPr>
          <w:rFonts w:hint="eastAsia" w:ascii="宋体" w:hAnsi="宋体" w:eastAsia="方正仿宋_GBK" w:cs="方正仿宋_GBK"/>
          <w:color w:val="auto"/>
          <w:sz w:val="32"/>
          <w:szCs w:val="32"/>
          <w:lang w:val="en-US"/>
        </w:rPr>
      </w:pPr>
      <w:bookmarkStart w:id="519" w:name="_Toc12358"/>
      <w:bookmarkStart w:id="520" w:name="_Toc21466"/>
      <w:r>
        <w:rPr>
          <w:rFonts w:hint="eastAsia" w:ascii="宋体" w:hAnsi="宋体" w:eastAsia="方正仿宋_GBK" w:cs="方正仿宋_GBK"/>
          <w:color w:val="auto"/>
          <w:sz w:val="32"/>
          <w:szCs w:val="32"/>
        </w:rPr>
        <w:t>各级政府、各部门要按照党政同责、属地管理、分级保障原则，建立与我州经济社会发展水平相适应的食品和农产品质量安全财政投入保障机制，将食品和农产品质量安全工作所需经费列入同级财政预算，保障规划任务和项目建设资金需要。制定完善各类项目支付标准，探索通过政府购买服务等方式提高食品安全监管投入效益。发挥政策导向作用，引入市场机制，鼓励企业加大食品质量安全管理方面的投入，鼓励社会资本进入食品安全专业化服务领域，构建多元化投入保障机制。</w:t>
      </w:r>
      <w:bookmarkEnd w:id="519"/>
      <w:bookmarkEnd w:id="520"/>
      <w:r>
        <w:rPr>
          <w:rFonts w:hint="eastAsia" w:ascii="宋体" w:hAnsi="宋体" w:eastAsia="方正仿宋_GBK" w:cs="方正仿宋_GBK"/>
          <w:color w:val="auto"/>
          <w:sz w:val="32"/>
          <w:szCs w:val="32"/>
        </w:rPr>
        <w:t>建立健全科学合理的绩效考评体系和财政资金绩效审计制度，严格监督经费使用，提高财政资金绩效水平。</w:t>
      </w:r>
      <w:bookmarkStart w:id="521" w:name="_Toc15616"/>
      <w:bookmarkStart w:id="522" w:name="_Toc8332"/>
      <w:r>
        <w:rPr>
          <w:rFonts w:hint="eastAsia" w:ascii="宋体" w:hAnsi="宋体" w:eastAsia="方正仿宋_GBK" w:cs="方正仿宋_GBK"/>
          <w:color w:val="auto"/>
          <w:sz w:val="32"/>
          <w:szCs w:val="32"/>
          <w:lang w:val="en-US"/>
        </w:rPr>
        <w:t>结合本规划目标任务和工程项目，制定完善相关配套政策措施，保障本规划重点项目建设顺利实施。建立激励机制和容错纠错机制，进一步激励广大干部新时代新担当新作为。</w:t>
      </w:r>
      <w:bookmarkEnd w:id="521"/>
      <w:bookmarkEnd w:id="522"/>
    </w:p>
    <w:p w14:paraId="0AAE3C9F">
      <w:pPr>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firstLine="440" w:firstLineChars="200"/>
        <w:jc w:val="both"/>
        <w:textAlignment w:val="auto"/>
        <w:rPr>
          <w:color w:val="auto"/>
          <w:lang w:val="en-US"/>
        </w:rPr>
      </w:pPr>
    </w:p>
    <w:p w14:paraId="78EA355E">
      <w:pPr>
        <w:keepNext w:val="0"/>
        <w:keepLines w:val="0"/>
        <w:pageBreakBefore w:val="0"/>
        <w:widowControl w:val="0"/>
        <w:tabs>
          <w:tab w:val="left" w:pos="630"/>
        </w:tabs>
        <w:kinsoku/>
        <w:wordWrap/>
        <w:overflowPunct/>
        <w:topLinePunct w:val="0"/>
        <w:bidi w:val="0"/>
        <w:adjustRightInd/>
        <w:snapToGrid/>
        <w:spacing w:line="560" w:lineRule="exact"/>
        <w:ind w:right="0" w:rightChars="0"/>
        <w:jc w:val="center"/>
        <w:textAlignment w:val="auto"/>
        <w:rPr>
          <w:rFonts w:ascii="Times New Roman" w:hAnsi="Times New Roman" w:eastAsia="黑体"/>
          <w:bCs/>
          <w:color w:val="auto"/>
          <w:sz w:val="32"/>
          <w:szCs w:val="32"/>
        </w:rPr>
      </w:pPr>
      <w:r>
        <w:rPr>
          <w:rFonts w:ascii="Times New Roman" w:hAnsi="Times New Roman" w:eastAsia="黑体"/>
          <w:bCs/>
          <w:color w:val="auto"/>
          <w:sz w:val="32"/>
          <w:szCs w:val="32"/>
        </w:rPr>
        <w:t>第</w:t>
      </w:r>
      <w:r>
        <w:rPr>
          <w:rFonts w:hint="eastAsia" w:ascii="Times New Roman" w:hAnsi="Times New Roman" w:eastAsia="黑体"/>
          <w:bCs/>
          <w:color w:val="auto"/>
          <w:sz w:val="32"/>
          <w:szCs w:val="32"/>
        </w:rPr>
        <w:t>三</w:t>
      </w:r>
      <w:r>
        <w:rPr>
          <w:rFonts w:ascii="Times New Roman" w:hAnsi="Times New Roman" w:eastAsia="黑体"/>
          <w:bCs/>
          <w:color w:val="auto"/>
          <w:sz w:val="32"/>
          <w:szCs w:val="32"/>
        </w:rPr>
        <w:t xml:space="preserve">节  </w:t>
      </w:r>
      <w:bookmarkStart w:id="523" w:name="_Toc31276"/>
      <w:bookmarkStart w:id="524" w:name="_Toc19083"/>
      <w:r>
        <w:rPr>
          <w:rFonts w:hint="eastAsia" w:ascii="Times New Roman" w:hAnsi="Times New Roman" w:eastAsia="黑体"/>
          <w:bCs/>
          <w:color w:val="auto"/>
          <w:sz w:val="32"/>
          <w:szCs w:val="32"/>
        </w:rPr>
        <w:t>严格考核评估</w:t>
      </w:r>
      <w:bookmarkEnd w:id="523"/>
      <w:bookmarkEnd w:id="524"/>
    </w:p>
    <w:p w14:paraId="1A76A589">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p>
    <w:p w14:paraId="352F580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建立健全评估和监督机制，</w:t>
      </w:r>
      <w:r>
        <w:rPr>
          <w:rFonts w:ascii="Times New Roman" w:hAnsi="Times New Roman" w:eastAsia="仿宋_GB2312"/>
          <w:color w:val="auto"/>
          <w:sz w:val="32"/>
          <w:szCs w:val="32"/>
        </w:rPr>
        <w:t>将</w:t>
      </w:r>
      <w:r>
        <w:rPr>
          <w:rFonts w:hint="eastAsia" w:ascii="仿宋_GB2312" w:hAnsi="仿宋_GB2312" w:eastAsia="仿宋_GB2312" w:cs="仿宋_GB2312"/>
          <w:color w:val="auto"/>
          <w:sz w:val="32"/>
          <w:szCs w:val="32"/>
        </w:rPr>
        <w:t>本规划</w:t>
      </w:r>
      <w:r>
        <w:rPr>
          <w:rFonts w:ascii="Times New Roman" w:hAnsi="Times New Roman" w:eastAsia="仿宋_GB2312"/>
          <w:color w:val="auto"/>
          <w:sz w:val="32"/>
          <w:szCs w:val="32"/>
        </w:rPr>
        <w:t>任务落实情况</w:t>
      </w:r>
      <w:r>
        <w:rPr>
          <w:rFonts w:hint="eastAsia" w:eastAsia="方正仿宋_GBK" w:cs="方正仿宋_GBK"/>
          <w:color w:val="auto"/>
          <w:sz w:val="32"/>
          <w:szCs w:val="32"/>
        </w:rPr>
        <w:t>纳入对地方政府和有关部门食品安全工作督查考评内容。</w:t>
      </w:r>
      <w:r>
        <w:rPr>
          <w:rFonts w:ascii="Times New Roman" w:hAnsi="Times New Roman" w:eastAsia="仿宋_GB2312"/>
          <w:color w:val="auto"/>
          <w:sz w:val="32"/>
          <w:szCs w:val="32"/>
        </w:rPr>
        <w:t>加强规划实施的监督及检查，</w:t>
      </w:r>
      <w:r>
        <w:rPr>
          <w:rFonts w:hint="eastAsia" w:ascii="仿宋_GB2312" w:hAnsi="仿宋_GB2312" w:eastAsia="仿宋_GB2312" w:cs="仿宋_GB2312"/>
          <w:color w:val="auto"/>
          <w:sz w:val="32"/>
          <w:szCs w:val="32"/>
        </w:rPr>
        <w:t>做好纳入规划的指标和重大工程项目推进情况的跟踪监测，定期评估规划实施情况，加强督促检查、中期考核和效果评估，</w:t>
      </w:r>
      <w:r>
        <w:rPr>
          <w:rFonts w:ascii="Times New Roman" w:hAnsi="Times New Roman" w:eastAsia="仿宋_GB2312"/>
          <w:color w:val="auto"/>
          <w:sz w:val="32"/>
          <w:szCs w:val="32"/>
        </w:rPr>
        <w:t>及时解决规划实施过程中的问题。建立健全重大项目协调机制，解决项目规划、建设中的重大问题，</w:t>
      </w:r>
      <w:r>
        <w:rPr>
          <w:rFonts w:hint="eastAsia" w:ascii="仿宋_GB2312" w:hAnsi="仿宋_GB2312" w:eastAsia="仿宋_GB2312" w:cs="仿宋_GB2312"/>
          <w:color w:val="auto"/>
          <w:sz w:val="32"/>
          <w:szCs w:val="32"/>
        </w:rPr>
        <w:t>确保规划各项任务落实到位。</w:t>
      </w:r>
      <w:r>
        <w:rPr>
          <w:rFonts w:hint="eastAsia" w:eastAsia="方正仿宋_GBK" w:cs="方正仿宋_GBK"/>
          <w:color w:val="auto"/>
          <w:sz w:val="32"/>
          <w:szCs w:val="32"/>
          <w:lang w:val="en-US"/>
        </w:rPr>
        <w:t>州政府食安办牵头对本规划执行情况及时进行中期评估和终期考核，确保各项任务落实到位。</w:t>
      </w:r>
    </w:p>
    <w:p w14:paraId="43A43D7B">
      <w:pPr>
        <w:rPr>
          <w:color w:val="auto"/>
        </w:rPr>
      </w:pPr>
    </w:p>
    <w:sectPr>
      <w:pgSz w:w="11906" w:h="16838"/>
      <w:pgMar w:top="1361" w:right="1587" w:bottom="136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光仿宋二_CNKI">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2B592">
    <w:pPr>
      <w:pStyle w:val="11"/>
      <w:jc w:val="center"/>
      <w:rPr>
        <w:rFonts w:ascii="Times New Roman" w:hAnsi="Times New Roman" w:cs="Times New Roman"/>
        <w:color w:val="000000"/>
        <w:sz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309FC">
                          <w:pPr>
                            <w:snapToGrid w:val="0"/>
                            <w:rPr>
                              <w:rFonts w:hint="eastAsia" w:eastAsia="华光仿宋二_CNKI"/>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B309FC">
                    <w:pPr>
                      <w:snapToGrid w:val="0"/>
                      <w:rPr>
                        <w:rFonts w:hint="eastAsia" w:eastAsia="华光仿宋二_CNKI"/>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v:textbox>
            </v:shape>
          </w:pict>
        </mc:Fallback>
      </mc:AlternateContent>
    </w:r>
  </w:p>
  <w:p w14:paraId="4446B06C">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E8909">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E7D0F">
                          <w:pPr>
                            <w:snapToGrid w:val="0"/>
                            <w:rPr>
                              <w:rFonts w:hint="eastAsia" w:eastAsia="华光仿宋二_CNKI"/>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6E7D0F">
                    <w:pPr>
                      <w:snapToGrid w:val="0"/>
                      <w:rPr>
                        <w:rFonts w:hint="eastAsia" w:eastAsia="华光仿宋二_CNKI"/>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v:textbox>
            </v:shape>
          </w:pict>
        </mc:Fallback>
      </mc:AlternateContent>
    </w:r>
  </w:p>
  <w:p w14:paraId="4D4DB3B3">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E3C610"/>
    <w:multiLevelType w:val="singleLevel"/>
    <w:tmpl w:val="60E3C610"/>
    <w:lvl w:ilvl="0" w:tentative="0">
      <w:start w:val="2"/>
      <w:numFmt w:val="chineseCounting"/>
      <w:suff w:val="nothing"/>
      <w:lvlText w:val="%1、"/>
      <w:lvlJc w:val="left"/>
    </w:lvl>
  </w:abstractNum>
  <w:abstractNum w:abstractNumId="1">
    <w:nsid w:val="61236BC9"/>
    <w:multiLevelType w:val="singleLevel"/>
    <w:tmpl w:val="61236BC9"/>
    <w:lvl w:ilvl="0" w:tentative="0">
      <w:start w:val="1"/>
      <w:numFmt w:val="decimal"/>
      <w:suff w:val="nothing"/>
      <w:lvlText w:val="%1."/>
      <w:lvlJc w:val="left"/>
    </w:lvl>
  </w:abstractNum>
  <w:abstractNum w:abstractNumId="2">
    <w:nsid w:val="6124B518"/>
    <w:multiLevelType w:val="singleLevel"/>
    <w:tmpl w:val="6124B518"/>
    <w:lvl w:ilvl="0" w:tentative="0">
      <w:start w:val="4"/>
      <w:numFmt w:val="chineseCounting"/>
      <w:suff w:val="space"/>
      <w:lvlText w:val="第%1节"/>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976F5"/>
    <w:rsid w:val="0ED33889"/>
    <w:rsid w:val="0F374838"/>
    <w:rsid w:val="15BD6C2C"/>
    <w:rsid w:val="16B30F4F"/>
    <w:rsid w:val="1F231A71"/>
    <w:rsid w:val="20DC271C"/>
    <w:rsid w:val="25B63167"/>
    <w:rsid w:val="26374F9D"/>
    <w:rsid w:val="2FFE3B8C"/>
    <w:rsid w:val="34C7004A"/>
    <w:rsid w:val="367E7BFE"/>
    <w:rsid w:val="3B8B790F"/>
    <w:rsid w:val="3CDE2B65"/>
    <w:rsid w:val="4930403C"/>
    <w:rsid w:val="49735344"/>
    <w:rsid w:val="4F94363E"/>
    <w:rsid w:val="5154395F"/>
    <w:rsid w:val="52BC5D35"/>
    <w:rsid w:val="57E627CD"/>
    <w:rsid w:val="58237174"/>
    <w:rsid w:val="60D901C4"/>
    <w:rsid w:val="6CD7569F"/>
    <w:rsid w:val="72711BAD"/>
    <w:rsid w:val="7446072F"/>
    <w:rsid w:val="777976F5"/>
    <w:rsid w:val="78914A60"/>
    <w:rsid w:val="7AB642F1"/>
    <w:rsid w:val="7C814E9D"/>
    <w:rsid w:val="7E3C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华光仿宋二_CNKI" w:hAnsi="华光仿宋二_CNKI" w:eastAsia="华光仿宋二_CNKI" w:cs="华光仿宋二_CNKI"/>
      <w:sz w:val="22"/>
      <w:szCs w:val="22"/>
      <w:lang w:val="zh-CN" w:eastAsia="zh-CN" w:bidi="zh-CN"/>
    </w:rPr>
  </w:style>
  <w:style w:type="paragraph" w:styleId="3">
    <w:name w:val="heading 1"/>
    <w:basedOn w:val="1"/>
    <w:next w:val="1"/>
    <w:qFormat/>
    <w:uiPriority w:val="0"/>
    <w:pPr>
      <w:keepNext/>
      <w:keepLines/>
      <w:spacing w:line="560" w:lineRule="exact"/>
      <w:ind w:firstLine="200" w:firstLineChars="200"/>
      <w:outlineLvl w:val="0"/>
    </w:pPr>
    <w:rPr>
      <w:rFonts w:eastAsia="仿宋"/>
      <w:b/>
      <w:bCs/>
      <w:kern w:val="44"/>
      <w:sz w:val="36"/>
      <w:szCs w:val="44"/>
    </w:rPr>
  </w:style>
  <w:style w:type="paragraph" w:styleId="2">
    <w:name w:val="heading 2"/>
    <w:basedOn w:val="1"/>
    <w:next w:val="1"/>
    <w:unhideWhenUsed/>
    <w:qFormat/>
    <w:uiPriority w:val="0"/>
    <w:pPr>
      <w:spacing w:beforeAutospacing="1" w:afterAutospacing="1"/>
      <w:jc w:val="left"/>
      <w:outlineLvl w:val="1"/>
    </w:pPr>
    <w:rPr>
      <w:rFonts w:ascii="宋体" w:hAnsi="宋体" w:cs="宋体"/>
      <w:b/>
      <w:kern w:val="0"/>
      <w:sz w:val="36"/>
      <w:szCs w:val="36"/>
    </w:rPr>
  </w:style>
  <w:style w:type="paragraph" w:styleId="4">
    <w:name w:val="heading 3"/>
    <w:basedOn w:val="1"/>
    <w:next w:val="1"/>
    <w:link w:val="19"/>
    <w:unhideWhenUsed/>
    <w:qFormat/>
    <w:uiPriority w:val="0"/>
    <w:pPr>
      <w:keepNext/>
      <w:keepLines/>
      <w:spacing w:line="600" w:lineRule="exact"/>
      <w:ind w:firstLine="200" w:firstLineChars="200"/>
      <w:outlineLvl w:val="2"/>
    </w:pPr>
    <w:rPr>
      <w:rFonts w:ascii="Times New Roman" w:hAnsi="Times New Roman" w:eastAsia="仿宋" w:cs="Times New Roman"/>
      <w:b/>
      <w:bCs/>
      <w:sz w:val="32"/>
      <w:szCs w:val="32"/>
      <w:lang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200" w:firstLineChars="200"/>
    </w:pPr>
    <w:rPr>
      <w:rFonts w:ascii="宋体" w:hAnsi="宋体" w:cs="宋体"/>
      <w:sz w:val="28"/>
      <w:szCs w:val="28"/>
    </w:rPr>
  </w:style>
  <w:style w:type="paragraph" w:styleId="6">
    <w:name w:val="Body Text"/>
    <w:basedOn w:val="1"/>
    <w:next w:val="7"/>
    <w:qFormat/>
    <w:uiPriority w:val="0"/>
    <w:rPr>
      <w:sz w:val="29"/>
      <w:szCs w:val="29"/>
    </w:rPr>
  </w:style>
  <w:style w:type="paragraph" w:styleId="7">
    <w:name w:val="header"/>
    <w:basedOn w:val="1"/>
    <w:next w:val="8"/>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Quote1"/>
    <w:basedOn w:val="1"/>
    <w:next w:val="1"/>
    <w:qFormat/>
    <w:uiPriority w:val="0"/>
    <w:pPr>
      <w:ind w:left="864" w:right="864"/>
      <w:jc w:val="center"/>
    </w:pPr>
    <w:rPr>
      <w:i/>
      <w:iCs/>
      <w:color w:val="000000"/>
    </w:rPr>
  </w:style>
  <w:style w:type="paragraph" w:styleId="9">
    <w:name w:val="toc 5"/>
    <w:basedOn w:val="1"/>
    <w:next w:val="1"/>
    <w:qFormat/>
    <w:uiPriority w:val="0"/>
    <w:pPr>
      <w:ind w:left="1680"/>
    </w:pPr>
  </w:style>
  <w:style w:type="paragraph" w:styleId="10">
    <w:name w:val="Body Text Indent 2"/>
    <w:basedOn w:val="1"/>
    <w:qFormat/>
    <w:uiPriority w:val="0"/>
    <w:pPr>
      <w:spacing w:after="120" w:afterLines="0" w:line="480" w:lineRule="auto"/>
      <w:ind w:left="420" w:leftChars="200"/>
    </w:pPr>
  </w:style>
  <w:style w:type="paragraph" w:styleId="11">
    <w:name w:val="footer"/>
    <w:basedOn w:val="1"/>
    <w:qFormat/>
    <w:uiPriority w:val="0"/>
    <w:pPr>
      <w:tabs>
        <w:tab w:val="center" w:pos="4153"/>
        <w:tab w:val="right" w:pos="8306"/>
      </w:tabs>
      <w:snapToGrid w:val="0"/>
    </w:pPr>
    <w:rPr>
      <w:sz w:val="18"/>
    </w:rPr>
  </w:style>
  <w:style w:type="paragraph" w:styleId="12">
    <w:name w:val="toc 2"/>
    <w:basedOn w:val="1"/>
    <w:next w:val="1"/>
    <w:qFormat/>
    <w:uiPriority w:val="0"/>
    <w:pPr>
      <w:ind w:left="420" w:leftChars="200"/>
    </w:p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pPr>
    <w:rPr>
      <w:rFonts w:ascii="宋体" w:hAnsi="宋体" w:eastAsia="宋体" w:cs="宋体"/>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3 Char"/>
    <w:link w:val="4"/>
    <w:qFormat/>
    <w:uiPriority w:val="0"/>
    <w:rPr>
      <w:rFonts w:ascii="Times New Roman" w:hAnsi="Times New Roman" w:eastAsia="仿宋" w:cs="Times New Roman"/>
      <w:b/>
      <w:bCs/>
      <w:sz w:val="32"/>
      <w:szCs w:val="32"/>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45</Pages>
  <Words>23638</Words>
  <Characters>24157</Characters>
  <Lines>0</Lines>
  <Paragraphs>0</Paragraphs>
  <TotalTime>19</TotalTime>
  <ScaleCrop>false</ScaleCrop>
  <LinksUpToDate>false</LinksUpToDate>
  <CharactersWithSpaces>24263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2021-08-23T08:08:00Z</dcterms:created>
  <dc:creator>用户何艳</dc:creator>
  <cp:lastModifiedBy>莫米</cp:lastModifiedBy>
  <dcterms:modified xsi:type="dcterms:W3CDTF">2025-03-25T09:10:02Z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eyJoZGlkIjoiMjZkOGQ4OGJhMjgwYmVhNjU1OGM1MjYwZDI3Mzg3ZDgiLCJ1c2VySWQiOiI3NjY4ODE4ODMifQ==</vt:lpwstr>
  </property>
  <property fmtid="{D5CDD505-2E9C-101B-9397-08002B2CF9AE}" pid="4" name="ICV">
    <vt:lpwstr>855268DF03C6464BA3C0DF30A91212E0_12</vt:lpwstr>
  </property>
</Properties>
</file>