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D66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right="0"/>
        <w:jc w:val="both"/>
        <w:rPr>
          <w:rFonts w:hint="eastAsia" w:ascii="Times New Roman" w:hAnsi="Times New Roman" w:eastAsia="方正黑体_GBK" w:cs="方正黑体_GBK"/>
          <w:b w:val="0"/>
          <w:bCs w:val="0"/>
          <w:color w:val="333333"/>
          <w:sz w:val="32"/>
          <w:szCs w:val="32"/>
          <w:lang w:val="en-US" w:eastAsia="zh-CN"/>
        </w:rPr>
      </w:pPr>
      <w:bookmarkStart w:id="0" w:name="_GoBack"/>
      <w:bookmarkEnd w:id="0"/>
      <w:r>
        <w:rPr>
          <w:rFonts w:hint="eastAsia" w:ascii="Times New Roman" w:hAnsi="Times New Roman" w:eastAsia="方正黑体_GBK" w:cs="方正黑体_GBK"/>
          <w:b w:val="0"/>
          <w:bCs w:val="0"/>
          <w:color w:val="333333"/>
          <w:sz w:val="32"/>
          <w:szCs w:val="32"/>
          <w:lang w:eastAsia="zh-CN"/>
        </w:rPr>
        <w:t>附件</w:t>
      </w:r>
      <w:r>
        <w:rPr>
          <w:rFonts w:hint="eastAsia" w:ascii="Times New Roman" w:hAnsi="Times New Roman" w:eastAsia="方正黑体_GBK" w:cs="方正黑体_GBK"/>
          <w:b w:val="0"/>
          <w:bCs w:val="0"/>
          <w:color w:val="333333"/>
          <w:sz w:val="32"/>
          <w:szCs w:val="32"/>
          <w:lang w:val="en-US" w:eastAsia="zh-CN"/>
        </w:rPr>
        <w:t>2</w:t>
      </w:r>
    </w:p>
    <w:p w14:paraId="12A45C27">
      <w:pPr>
        <w:pStyle w:val="2"/>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lang w:eastAsia="zh-CN"/>
        </w:rPr>
        <w:t>调整一批原</w:t>
      </w:r>
      <w:r>
        <w:rPr>
          <w:rFonts w:hint="eastAsia" w:ascii="方正小标宋_GBK" w:hAnsi="方正小标宋_GBK" w:eastAsia="方正小标宋_GBK" w:cs="方正小标宋_GBK"/>
          <w:b w:val="0"/>
          <w:bCs w:val="0"/>
          <w:sz w:val="32"/>
          <w:szCs w:val="32"/>
        </w:rPr>
        <w:t>赋予中国（云南）自由贸易试验区德宏片区</w:t>
      </w:r>
      <w:r>
        <w:rPr>
          <w:rFonts w:hint="eastAsia" w:ascii="方正小标宋_GBK" w:hAnsi="方正小标宋_GBK" w:eastAsia="方正小标宋_GBK" w:cs="方正小标宋_GBK"/>
          <w:b w:val="0"/>
          <w:bCs w:val="0"/>
          <w:sz w:val="32"/>
          <w:szCs w:val="32"/>
          <w:lang w:eastAsia="zh-CN"/>
        </w:rPr>
        <w:t>行使</w:t>
      </w:r>
      <w:r>
        <w:rPr>
          <w:rFonts w:hint="eastAsia" w:ascii="方正小标宋_GBK" w:hAnsi="方正小标宋_GBK" w:eastAsia="方正小标宋_GBK" w:cs="方正小标宋_GBK"/>
          <w:b w:val="0"/>
          <w:bCs w:val="0"/>
          <w:sz w:val="32"/>
          <w:szCs w:val="32"/>
        </w:rPr>
        <w:t>的州级行政职权事项目录</w:t>
      </w:r>
    </w:p>
    <w:tbl>
      <w:tblPr>
        <w:tblStyle w:val="5"/>
        <w:tblW w:w="15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2"/>
        <w:gridCol w:w="1951"/>
        <w:gridCol w:w="739"/>
        <w:gridCol w:w="3496"/>
        <w:gridCol w:w="3681"/>
        <w:gridCol w:w="992"/>
        <w:gridCol w:w="4046"/>
      </w:tblGrid>
      <w:tr w14:paraId="38CC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0808FE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826D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事项名称</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4463A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事项类型</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4EEB6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设定和实施依据</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FB55F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调整完善内容</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3ED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州级主管部门</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3A166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1"/>
                <w:szCs w:val="21"/>
                <w:u w:val="none"/>
              </w:rPr>
            </w:pPr>
            <w:r>
              <w:rPr>
                <w:rFonts w:hint="eastAsia" w:ascii="方正黑体_GBK" w:hAnsi="方正黑体_GBK" w:eastAsia="方正黑体_GBK" w:cs="方正黑体_GBK"/>
                <w:b w:val="0"/>
                <w:bCs w:val="0"/>
                <w:i w:val="0"/>
                <w:color w:val="000000"/>
                <w:kern w:val="0"/>
                <w:sz w:val="21"/>
                <w:szCs w:val="21"/>
                <w:u w:val="none"/>
                <w:lang w:val="en-US" w:eastAsia="zh-CN" w:bidi="ar"/>
              </w:rPr>
              <w:t>事中事后监管措施</w:t>
            </w:r>
          </w:p>
        </w:tc>
      </w:tr>
      <w:tr w14:paraId="584F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640BE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BE3EF1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印刷企业设立、变更、兼并、合并、分立审批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515B98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27BBE7E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《出版管理条例》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11F421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将从事包装装潢印刷品和其他印刷品印刷经营活动企业的设立、变更、兼并、合并、分立审批州级权限委托自贸试验区德宏片区管委行使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513EB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州新闻出版</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版权</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B6524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对实行告知承诺的审批事项实行全覆盖例行检查；开展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抽查，并将检查结果通过多种渠道及时向社会公布；严格落实印刷企业年度报告制度；根据</w:t>
            </w:r>
            <w:r>
              <w:rPr>
                <w:rFonts w:hint="eastAsia" w:eastAsia="方正仿宋_GBK" w:cs="Times New Roman"/>
                <w:i w:val="0"/>
                <w:color w:val="000000"/>
                <w:kern w:val="0"/>
                <w:sz w:val="24"/>
                <w:szCs w:val="24"/>
                <w:u w:val="none"/>
                <w:lang w:val="en-US" w:eastAsia="zh-CN" w:bidi="ar"/>
              </w:rPr>
              <w:t>《印刷业管理条例》</w:t>
            </w:r>
            <w:r>
              <w:rPr>
                <w:rFonts w:hint="default" w:ascii="Times New Roman" w:hAnsi="Times New Roman" w:eastAsia="方正仿宋_GBK" w:cs="Times New Roman"/>
                <w:i w:val="0"/>
                <w:color w:val="000000"/>
                <w:kern w:val="0"/>
                <w:sz w:val="24"/>
                <w:szCs w:val="24"/>
                <w:u w:val="none"/>
                <w:lang w:val="en-US" w:eastAsia="zh-CN" w:bidi="ar"/>
              </w:rPr>
              <w:t>相关规定进行行政处罚。</w:t>
            </w:r>
          </w:p>
        </w:tc>
      </w:tr>
      <w:tr w14:paraId="39AA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5978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2A27BF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民办、中外合作开办中等及以下学校和其他教育机构筹设审批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98102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14C82FD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BBA0F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将民办普通高中、民办中等职业学校的筹设审批州级权限委托自贸试验区德宏片区管委行使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ED06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51A727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14:paraId="4B81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135DA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AFD3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中等及以下学校和其他教育机构设置审批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CE763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64D439E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《中华人民共和国教育法》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《中华人民共和国民办教育促进法实施条例》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《中华人民共和国中外合作办学条例》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《国务院关于当前发展学前教育的若干意见》（国发〔2010〕41号）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《国务院办公厅关于规范校外培训机构发展的意见》（国办发〔2018〕80号）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《云南省实施〈中华人民共和国义务教育法〉办法》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《云南省职业教育条例》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《云南省民办教育条例》</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《云南省人民政府关于第五轮取消和调整行政审批项目的决定》（云南省人民政府令第171号）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8F68AD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将民办普通高中、民办中等职业学校的设立、变更和终止审批州级权限委托自贸试验区德宏片区管委行使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4597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州教育体育局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3FB78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指导自贸试验区德宏片区规范办理事项；按照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的原则，由审批机关每年对审批的民办学校和办学机构进行年检，同年通过</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等方式对审批的民办学校和办学机构进行检查。</w:t>
            </w:r>
          </w:p>
        </w:tc>
      </w:tr>
      <w:tr w14:paraId="72F4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4681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F80B5B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基层法律服务工作者执业核准</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432B0E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5331A5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《国务院关于第六批取消和调整行政审批项目的决定》（国发〔2012〕52号）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10D462C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将基层法律服务工作者执业、变更、注销许可州级权限委托自贸试验区德宏片区管委行使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DA11E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州司法局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084AB2E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依法依规组织开展基层法律服务工作者年度考核，检验履行《基层法律服务工作者管理办法》规定的各项义务情况；加强日常检查，认真做好违法违规行为投诉处理工作，严肃查处违法违规行为；对于发现的问题，依法依规进行处理，促进基层法律服务工作依法开展业务；按照</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谁审批、谁监管</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属地管理</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原则，做好该事项的监管工作。</w:t>
            </w:r>
          </w:p>
        </w:tc>
      </w:tr>
      <w:tr w14:paraId="537C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7C14C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343B7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外国人来华工作许可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D97C8D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49637D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《中华人民共和国出境入境管理法》</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《国家外国专家局关于印发外国人来华工作许可服务指南（暂行）的通知》（外专发〔2017〕36号）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《中央编办关于外国人来华工作许可职责分工的通知》（中央编办发〔2018〕97号）</w:t>
            </w:r>
            <w:r>
              <w:rPr>
                <w:rFonts w:hint="default" w:ascii="Times New Roman" w:hAnsi="Times New Roman" w:eastAsia="方正仿宋_GBK" w:cs="Times New Roman"/>
                <w:i w:val="0"/>
                <w:color w:val="000000"/>
                <w:kern w:val="0"/>
                <w:sz w:val="21"/>
                <w:szCs w:val="21"/>
                <w:u w:val="none"/>
                <w:lang w:val="en-US" w:eastAsia="zh-CN" w:bidi="ar"/>
              </w:rPr>
              <w:br w:type="textWrapping"/>
            </w:r>
            <w:r>
              <w:rPr>
                <w:rFonts w:hint="default" w:ascii="Times New Roman" w:hAnsi="Times New Roman" w:eastAsia="方正仿宋_GBK" w:cs="Times New Roman"/>
                <w:i w:val="0"/>
                <w:color w:val="000000"/>
                <w:kern w:val="0"/>
                <w:sz w:val="21"/>
                <w:szCs w:val="21"/>
                <w:u w:val="none"/>
                <w:lang w:val="en-US" w:eastAsia="zh-CN" w:bidi="ar"/>
              </w:rPr>
              <w:t>《云南省人民政府行政审批制度改革办公室关于取消和下放一批行政许可事项的通知》（云审改办发〔2017〕1号）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11C930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将涉及除中央驻滇单位、在昆的省属企事业单位及境外非政府组织的其他外国人（C类）来华工作许可的州级权限委托自贸试验区德宏片区管委行使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934B8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州人力资源社会保障局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371C2B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完善</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工作机制，加强外国人来华工作领域的政务诚信和个人诚信体系建设，建立用人单位、在华工作外国人、受委托专门机构信用记录形成、归集、公示、使用机制，运用大数据加强对市场主体服务监管，健全守信激励和失信惩戒机制。</w:t>
            </w:r>
          </w:p>
        </w:tc>
      </w:tr>
      <w:tr w14:paraId="5E6D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7137F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E8523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一般建设项目环境影响评价审批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CB0EA3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1085227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《中华人民共和国环境影响评价法》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《中华人民共和国噪声污染防治法》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《建设项目环境保护管理条例》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A98A00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将涉及未列入国家和省级生态环境部门目录的建设项目环境影响评价审批的州级权限委托自贸试验区德宏片区管委行使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CB1637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583AA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严格按照《建设项目环境影响报告书（表）编制监督管理办法》、《关于强化建设项目环境影响评价事中事后监管的实施意见》加强监管，开展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p>
        </w:tc>
      </w:tr>
      <w:tr w14:paraId="7914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B50C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7E9E2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排污许可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5074BD0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44B356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《中华人民共和国环境保护法》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《中华人民共和国大气污染防治法》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《中华人民共和国固体废物污染环境防治法》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《中华人民共和国土壤污染防治法》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《排污许可管理条例》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3E844E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将涉及纳入《固定污染源排污许可分类管理名录》的排污许可证核发州级权限委托自贸试验区德宏片区管委行使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FDBFC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763879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严格按照《排污许可管理条例》《排污许可管理办法（试行）》《关于加强排污许可执法监管的指导意见》加强监管，开展</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执法抽查和</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专项行动</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w:t>
            </w:r>
          </w:p>
        </w:tc>
      </w:tr>
      <w:tr w14:paraId="07C3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5B635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7C8B0B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江河、湖泊新建、改建或者扩大排污口审批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38E6AC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60D652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《中华人民共和国水污染防治法》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《中华人民共和国长江保护法》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《中央编办关于生态环境部流域生态环境监管机构设置有关事项的通知》（中央编办发〔2019〕26号）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《中共云南省委办公厅云南省人民政府办公厅关于印发〈云南省生态环境机构监测监察执法垂直管理制度改革实施方案〉的通知》（云办发〔2019〕9号）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46EF46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涉及州、县级水行政主管部门审批的河道建设项目和取水许可项目中涉及在江河、湖泊新建、改建或者扩大排污口的审核，州级、县级审批环境影响评价文件的建设项目中涉及在江河、湖泊新建、改建或者扩大排污口设置审核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90FF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州生态环境局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4C9D13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加强对受委托部门的业务指导，由专业评估机构和专家进行评定；督促受委托审批部门及时将审批结果进行公示；对委托的行政许可事项按照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要求开展监督检查，依法查处违法违规行为并公开结果；加强信用监管，对失信主体开展联合惩戒。</w:t>
            </w:r>
          </w:p>
        </w:tc>
      </w:tr>
      <w:tr w14:paraId="4B82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3"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F3BFC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DB592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房屋建筑工程与市政工程初步设计审批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613FB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0146EA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《云南省建设工程勘察设计管理条例》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《云南省人民政府关于调整一批行政许可事项的决定》（云政发〔2017〕86号）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BF5C15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德宏片区投资主管部门审批核准的房屋和市政工程总建筑面积5万平方米以上的大型公共建筑和涉及国家、省、州投资主管部门审批核准的大、中型（含中型）以下建设项目的房屋建筑工程与市政工程初步设计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1B7FE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3256D37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14:paraId="4E74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7021E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2273D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房地产估价机构备案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19286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46286C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《中华人民共和国资产评估法》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《住房城乡建设部关于贯彻落实资产评估法规范房地产估价行业管理有关问题的通知》（建房〔2016〕275号）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《云南省人民政府关于简政放权取消和调整部分省级行政审批项目的决定》（云政发〔2013〕44号）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3CB79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将三级房地产估价机构备案州级权限委托自贸试验区德宏片区管委行使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601E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451608D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加强监督检查，依法查处违法违规行为，按照有关法律法规做好指导审批和日常监管等工作，接受上级监督。</w:t>
            </w:r>
          </w:p>
        </w:tc>
      </w:tr>
      <w:tr w14:paraId="1CA1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1"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35556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D2734B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应建防空地下室的民用建筑项目报建审批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E8B9A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5789FF7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《中共中央国务院中央军委关于加强人民防空工作的决定》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《国务院关于印发清理规范投资项目报建审批事项实施方案的通知》（国发〔2016〕29号）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《云南省实施〈中华人民共和国人民防空法〉办法》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DF86E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不再委托中国（云南）自由贸易试验区德宏片区行使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9EE0F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州住房城乡建设局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7326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14:paraId="7DE5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0EF2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76649D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农业野生植物采集、出售、收购、野外考察审批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A24F76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37F94BF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《中华人民共和国野生植物保护条例》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《云南省人民政府关于进一步精简行政审批项目的决定》（云政发〔2013〕157号）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D86F8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将采集、出售、收购国家二级保护野生植物（农业类）审批州级权限委托自贸试验区德宏片区管委行使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F5B12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E54431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14:paraId="7327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339FA0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13A3CB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生猪定点屠宰厂（场）设置审查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A71FE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1EC3038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《生猪屠宰管理条例》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416AA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将生猪定点屠宰厂（场）设置审查州级权限委托自贸试验区德宏片区管委行使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9502FA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州农业农村局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1BDF73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，根据风险程度，合理确定抽查比例，对风险等级高的领域、投诉举报多的企业实施重点监管；强化社会监督，依法及时处理举报、投诉问题，调查处理结果向社会公开。</w:t>
            </w:r>
          </w:p>
        </w:tc>
      </w:tr>
      <w:tr w14:paraId="6245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5BFED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09601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水利基建项目初步设计文件审批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7F9708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6154BCB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60FE70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 70 米，不涉及跨国界河流、跨州（市）水资源配置调整的中型水库项目，新建小（1）型水库工程，除险加固小（1）型水库及以下工程；引水流量小于每秒 10 立方米，不涉及跨州（市）的水电站水资源综合利用项目、水系连通工程项目；流域面积小于3000平方公里的中小河流治理项目的初步设计文件审批州级权限委托自贸试验区德宏片区管委行使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A9CD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4B37915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656F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57D2A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8C8B2B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取水许可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AE96D4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640CD3F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《取水许可和水资源费征收管理条例》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749318A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水资源配置调整的中型水库项目，以及引水流量小于毎秒10立方米，不涉及跨州</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市</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的水电站水资源综合利用项目的取水许可州级权限委托自贸试验区德宏片区管委行使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4226F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526CA6B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4228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08979D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AB6343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洪水影响评价类审批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CA0F5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1875B65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《中华人民共和国防洪法》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《中华人民共和国水文条例》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89129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坝高低于70米，不涉及跨国界河流、跨州（市）水资源配置调整的中型水库项目，以及引水流量小于每秒10立方米，不涉及跨州（市）的水电站水资源综合利用项目的洪水影响评价审批；德宏州行政区域内县市边界河流（河段）、湖泊和跨县市河流（河段）、湖泊上建设的水工程；小</w:t>
            </w:r>
            <w:r>
              <w:rPr>
                <w:rFonts w:hint="eastAsia" w:ascii="Times New Roman" w:hAnsi="Times New Roman" w:eastAsia="方正仿宋_GBK" w:cs="Times New Roman"/>
                <w:i w:val="0"/>
                <w:color w:val="000000"/>
                <w:kern w:val="0"/>
                <w:sz w:val="24"/>
                <w:szCs w:val="24"/>
                <w:u w:val="none"/>
                <w:lang w:val="en-US" w:eastAsia="zh-CN" w:bidi="ar"/>
              </w:rPr>
              <w:t>（1）</w:t>
            </w:r>
            <w:r>
              <w:rPr>
                <w:rFonts w:hint="default" w:ascii="Times New Roman" w:hAnsi="Times New Roman" w:eastAsia="方正仿宋_GBK" w:cs="Times New Roman"/>
                <w:i w:val="0"/>
                <w:color w:val="000000"/>
                <w:kern w:val="0"/>
                <w:sz w:val="24"/>
                <w:szCs w:val="24"/>
                <w:u w:val="none"/>
                <w:lang w:val="en-US" w:eastAsia="zh-CN" w:bidi="ar"/>
              </w:rPr>
              <w:t>型水利基建项目；州级核准的水电站项目</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25兆瓦以下的水电站工程</w:t>
            </w:r>
            <w:r>
              <w:rPr>
                <w:rFonts w:hint="eastAsia" w:ascii="Times New Roman" w:hAnsi="Times New Roman" w:eastAsia="方正仿宋_GBK" w:cs="Times New Roman"/>
                <w:i w:val="0"/>
                <w:color w:val="000000"/>
                <w:kern w:val="0"/>
                <w:sz w:val="24"/>
                <w:szCs w:val="24"/>
                <w:u w:val="none"/>
                <w:lang w:val="en-US" w:eastAsia="zh-CN" w:bidi="ar"/>
              </w:rPr>
              <w:t>）</w:t>
            </w:r>
            <w:r>
              <w:rPr>
                <w:rFonts w:hint="default" w:ascii="Times New Roman" w:hAnsi="Times New Roman" w:eastAsia="方正仿宋_GBK" w:cs="Times New Roman"/>
                <w:i w:val="0"/>
                <w:color w:val="000000"/>
                <w:kern w:val="0"/>
                <w:sz w:val="24"/>
                <w:szCs w:val="24"/>
                <w:u w:val="none"/>
                <w:lang w:val="en-US" w:eastAsia="zh-CN" w:bidi="ar"/>
              </w:rPr>
              <w:t>；在蓄滞洪区、洪泛区内州级审批或核准的非防洪建设项目；涉及州重要江河（芒市大河、南底河、南宛河、萝卜坝河）干流坝区段和县市间界河河道管理范围的各类工程，以及州级审批或核准的跨河、穿河、穿堤、临河的桥梁、码头、道路、渡口、管道、缆线等各类涉河工程的洪水影响评价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7C14D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58B86AE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0E57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7419AD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4405C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生产建设项目水土保持方案审批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E63A02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20DA29E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《中华人民共和国水土保持法》</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171DF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将在州级核准或备案的生产建设项目水土保持方案审批委托自贸试验区德宏片区管委行使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49E20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81AE64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按照法律法规做好审批工作，定期开展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357A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F0D5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F4C48D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河道管理范围内特定活动审批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30B26C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36D94B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《中华人民共和国河道管理条例》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DE168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将跨县、市河流（河段）河道管理范围内有关活动（不含河道采砂）审批州级权限委托自贸试验区德宏片区管委行使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85B0C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15DE429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088C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1BFCC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EC515B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占用农业灌溉水源、灌排工程设施审批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493F3F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3B78B4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6B76D5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型水利工程及跨县灌排工程设施审批州级权限委托自贸试验区德宏片区管委行使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74AD9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3B76645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1887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3124B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DEEC35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大坝管理和保护范围内修建码头、渔塘许可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E9879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7E9A16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《水库大坝安全管理条例》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8406D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将在大</w:t>
            </w:r>
            <w:r>
              <w:rPr>
                <w:rFonts w:hint="eastAsia" w:ascii="Times New Roman" w:hAnsi="Times New Roman" w:eastAsia="方正仿宋_GBK" w:cs="Times New Roman"/>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0"/>
                <w:sz w:val="24"/>
                <w:szCs w:val="24"/>
                <w:u w:val="none"/>
                <w:lang w:val="en-US" w:eastAsia="zh-CN" w:bidi="ar"/>
              </w:rPr>
              <w:t>型水库修建码头、渔塘许可审批州级权限委托自贸试验区德宏片区管委行使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FFE1D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州水利局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0BB0077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，依法查处违法违规行为，对受投诉举报的单位重点监管。</w:t>
            </w:r>
          </w:p>
        </w:tc>
      </w:tr>
      <w:tr w14:paraId="0E42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7D92B7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lang w:val="en-US" w:eastAsia="zh-CN"/>
              </w:rPr>
            </w:pPr>
            <w:r>
              <w:rPr>
                <w:rFonts w:hint="eastAsia" w:ascii="Times New Roman" w:hAnsi="Times New Roman" w:eastAsia="方正仿宋_GBK" w:cs="Times New Roman"/>
                <w:i w:val="0"/>
                <w:color w:val="000000"/>
                <w:sz w:val="24"/>
                <w:szCs w:val="24"/>
                <w:u w:val="none"/>
                <w:lang w:val="en-US" w:eastAsia="zh-CN"/>
              </w:rPr>
              <w:t>21</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EE71AA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对外劳务合作人员派出备案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DBA2EE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其它行政权力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4E5012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《对外劳务合作管理条例》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A791EA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将企业的对外劳务合作人员派出备案州级权限委托自贸试验区德宏片区管委行使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31D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0E87D7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14:paraId="440E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34D4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eastAsia" w:ascii="Times New Roman" w:hAnsi="Times New Roman" w:eastAsia="方正仿宋_GBK" w:cs="Times New Roman"/>
                <w:i w:val="0"/>
                <w:color w:val="000000"/>
                <w:kern w:val="0"/>
                <w:sz w:val="24"/>
                <w:szCs w:val="24"/>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231D8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成品油零售经营资格审批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3ECFE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52153DB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6A8D4FB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将成品油零售经营资格审批州级权限委托自贸试验区德宏片区管委行使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F6C86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州商务局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54EC70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开展</w:t>
            </w:r>
            <w:r>
              <w:rPr>
                <w:rFonts w:hint="eastAsia" w:eastAsia="方正仿宋_GBK" w:cs="Times New Roman"/>
                <w:i w:val="0"/>
                <w:color w:val="000000"/>
                <w:kern w:val="0"/>
                <w:sz w:val="24"/>
                <w:szCs w:val="24"/>
                <w:u w:val="none"/>
                <w:lang w:val="en-US" w:eastAsia="zh-CN" w:bidi="ar"/>
              </w:rPr>
              <w:t>“双随机、一公开”监管</w:t>
            </w:r>
            <w:r>
              <w:rPr>
                <w:rFonts w:hint="default" w:ascii="Times New Roman" w:hAnsi="Times New Roman" w:eastAsia="方正仿宋_GBK" w:cs="Times New Roman"/>
                <w:i w:val="0"/>
                <w:color w:val="000000"/>
                <w:kern w:val="0"/>
                <w:sz w:val="24"/>
                <w:szCs w:val="24"/>
                <w:u w:val="none"/>
                <w:lang w:val="en-US" w:eastAsia="zh-CN" w:bidi="ar"/>
              </w:rPr>
              <w:t>，发现违法违规行为依法查处并公开结果；支持行业协会发挥自律作用。</w:t>
            </w:r>
          </w:p>
        </w:tc>
      </w:tr>
      <w:tr w14:paraId="1E51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0B1D24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91615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护士执业注册</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833071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690C683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《护士条例》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《国家职业资格目录（2021年版）》</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F75982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不再委托中国（云南）</w:t>
            </w:r>
            <w:r>
              <w:rPr>
                <w:rFonts w:hint="eastAsia" w:eastAsia="方正仿宋_GBK" w:cs="Times New Roman"/>
                <w:i w:val="0"/>
                <w:color w:val="000000"/>
                <w:kern w:val="0"/>
                <w:sz w:val="24"/>
                <w:szCs w:val="24"/>
                <w:u w:val="none"/>
                <w:lang w:val="en-US" w:eastAsia="zh-CN" w:bidi="ar"/>
              </w:rPr>
              <w:t>自由贸易试验区</w:t>
            </w:r>
            <w:r>
              <w:rPr>
                <w:rFonts w:hint="default" w:ascii="Times New Roman" w:hAnsi="Times New Roman" w:eastAsia="方正仿宋_GBK" w:cs="Times New Roman"/>
                <w:i w:val="0"/>
                <w:color w:val="000000"/>
                <w:kern w:val="0"/>
                <w:sz w:val="24"/>
                <w:szCs w:val="24"/>
                <w:u w:val="none"/>
                <w:lang w:val="en-US" w:eastAsia="zh-CN" w:bidi="ar"/>
              </w:rPr>
              <w:t>德宏片区行使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C3C6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01F2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r w14:paraId="164B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49067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C6B400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医疗广告审查</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CBCC8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7D408B0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《中华人民共和国广告法》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《医疗广告管理办法》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《云南省医疗机构管理条例》</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5969F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将医疗广告审查州级权限委托自贸试验区德宏片区管委行使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B5B53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3695A82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1"/>
                <w:szCs w:val="21"/>
                <w:u w:val="none"/>
                <w:lang w:val="en-US" w:eastAsia="zh-CN" w:bidi="ar"/>
              </w:rPr>
              <w:t>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14:paraId="79B1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B3F9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60FBB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尸检机构认定</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54A2A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行政确认</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0E87D98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《卫生部 国家中医药管理局关于印发〈医疗事故争议中尸检机构及专业技术人员资格认定办法〉的通知》（卫医发〔2002〕191号）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237E737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将尸检机构认定州级权限委托自贸试验区德宏片区管委行使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B4B573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233DC7C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自贸试验区德宏片区认定的有关通知、方案等文件和认定机构报州卫生健康委备案；加强对审批工作人员培训，做好尸检机构认定工作；畅通投诉举报渠道，支持</w:t>
            </w:r>
            <w:r>
              <w:rPr>
                <w:rFonts w:hint="eastAsia" w:eastAsia="方正仿宋_GBK" w:cs="Times New Roman"/>
                <w:i w:val="0"/>
                <w:color w:val="000000"/>
                <w:kern w:val="0"/>
                <w:sz w:val="24"/>
                <w:szCs w:val="24"/>
                <w:u w:val="none"/>
                <w:lang w:val="en-US" w:eastAsia="zh-CN" w:bidi="ar"/>
              </w:rPr>
              <w:t>社会各界</w:t>
            </w:r>
            <w:r>
              <w:rPr>
                <w:rFonts w:hint="default" w:ascii="Times New Roman" w:hAnsi="Times New Roman" w:eastAsia="方正仿宋_GBK" w:cs="Times New Roman"/>
                <w:i w:val="0"/>
                <w:color w:val="000000"/>
                <w:kern w:val="0"/>
                <w:sz w:val="24"/>
                <w:szCs w:val="24"/>
                <w:u w:val="none"/>
                <w:lang w:val="en-US" w:eastAsia="zh-CN" w:bidi="ar"/>
              </w:rPr>
              <w:t>参与医疗机构的监督管理，发挥社会监督作用。</w:t>
            </w:r>
          </w:p>
        </w:tc>
      </w:tr>
      <w:tr w14:paraId="7D15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18A3F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C64138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外籍医师在华短期执业许可</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CF65C9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247D2E9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《国务院对确需保留的行政审批项目设定行政许可的决定》</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4CCAD8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将外籍和香港、澳门、台湾医师在医疗机构短期执业许可（在省级直属和联系的医疗机构执业的除外）州级权限委托自贸试验区德宏片区管委行使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F7B9A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0A9309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i w:val="0"/>
                <w:color w:val="000000"/>
                <w:kern w:val="0"/>
                <w:sz w:val="24"/>
                <w:szCs w:val="24"/>
                <w:u w:val="none"/>
                <w:lang w:val="en-US" w:eastAsia="zh-CN" w:bidi="ar"/>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kern w:val="0"/>
                <w:sz w:val="24"/>
                <w:szCs w:val="24"/>
                <w:u w:val="none"/>
                <w:lang w:val="en-US" w:eastAsia="zh-CN" w:bidi="ar"/>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14:paraId="66CC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69D4E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069E0D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消毒产品卫生安全评价报告备案</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BE1DE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其他行政权力</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2AA7F7B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《消毒管理办法》（卫生部令第27号发布，国家卫生和计划生育委员会令第8号第一次修正，国家卫生和计划生育委员会令第18号第二次修正）</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《云南省人民政府关于调整482项涉及省级行政权力事项的决定》（云政发〔2020〕16号）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51B8F99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将消毒产品卫生安全评价报告备案（生产、进口利用新材料、新工艺技术和新杀菌原理生产消毒剂和消毒器械产品除外）州级权限部分委托自贸试验区德宏片区管委行使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D78C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州卫生健康委</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0C8A15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按照</w:t>
            </w:r>
            <w:r>
              <w:rPr>
                <w:rFonts w:hint="eastAsia" w:eastAsia="方正仿宋_GBK" w:cs="Times New Roman"/>
                <w:i w:val="0"/>
                <w:color w:val="000000"/>
                <w:kern w:val="0"/>
                <w:sz w:val="24"/>
                <w:szCs w:val="24"/>
                <w:u w:val="none"/>
                <w:lang w:val="en-US" w:eastAsia="zh-CN" w:bidi="ar"/>
              </w:rPr>
              <w:t>“双随机、一公开”</w:t>
            </w:r>
            <w:r>
              <w:rPr>
                <w:rFonts w:hint="default" w:ascii="Times New Roman" w:hAnsi="Times New Roman" w:eastAsia="方正仿宋_GBK" w:cs="Times New Roman"/>
                <w:i w:val="0"/>
                <w:color w:val="000000"/>
                <w:sz w:val="24"/>
                <w:szCs w:val="24"/>
                <w:u w:val="none"/>
              </w:rPr>
              <w:t>要求开展监督检查，及时公开抽查结果，督促整改相关问题；加强业务指导培训，督促加强自我管理和依法执业自查；有针对性的组织开展检查，对发现的疑似违法违规行为及时通报市场监督管理部门查处；推进政务信息公开，拓宽社会公众参与监管的渠道和方式；公开投诉举报电话，及时答复、核实、处理，并将处理结果向投诉或举报人进行反馈。</w:t>
            </w:r>
          </w:p>
        </w:tc>
      </w:tr>
      <w:tr w14:paraId="1F45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2C9DD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39CA4B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建设项目使用林地及在森林和野生动物类型国家级自然保护区建设审批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1195B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74EED7A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《森林和野生动物类型自然保护区管理办法》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《国家林业和草原局公告》（2022年第17号）</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《国家林业和草原局公告》（2023年第3号）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01305A2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将临时占用防护林林地或者特种用途林林地5公顷以上，其他林地20公顷以上的初审转报；临时占用防护林林地或者特种用途林林地5公顷（不含）以下，其他林地20公顷（不含）以下的审批等州级权限</w:t>
            </w:r>
            <w:r>
              <w:rPr>
                <w:rFonts w:hint="eastAsia" w:ascii="Times New Roman" w:hAnsi="Times New Roman" w:eastAsia="方正仿宋_GBK" w:cs="Times New Roman"/>
                <w:i w:val="0"/>
                <w:color w:val="000000"/>
                <w:kern w:val="0"/>
                <w:sz w:val="24"/>
                <w:szCs w:val="24"/>
                <w:u w:val="none"/>
                <w:lang w:val="en-US" w:eastAsia="zh-CN" w:bidi="ar"/>
              </w:rPr>
              <w:t>委托</w:t>
            </w:r>
            <w:r>
              <w:rPr>
                <w:rFonts w:hint="default" w:ascii="Times New Roman" w:hAnsi="Times New Roman" w:eastAsia="方正仿宋_GBK" w:cs="Times New Roman"/>
                <w:i w:val="0"/>
                <w:color w:val="000000"/>
                <w:kern w:val="0"/>
                <w:sz w:val="24"/>
                <w:szCs w:val="24"/>
                <w:u w:val="none"/>
                <w:lang w:val="en-US" w:eastAsia="zh-CN" w:bidi="ar"/>
              </w:rPr>
              <w:t>自贸试验区德宏片区管委行使</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2E0EC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93302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加强业务指导，明确工作要求和标准，定期开展监督检查，对监督检查中发现违规问题的，督促纠正。</w:t>
            </w:r>
          </w:p>
        </w:tc>
      </w:tr>
      <w:tr w14:paraId="4CE3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8" w:hRule="atLeast"/>
          <w:jc w:val="center"/>
        </w:trPr>
        <w:tc>
          <w:tcPr>
            <w:tcW w:w="552" w:type="dxa"/>
            <w:tcBorders>
              <w:top w:val="single" w:color="000000" w:sz="4" w:space="0"/>
              <w:left w:val="single" w:color="000000" w:sz="4" w:space="0"/>
              <w:bottom w:val="single" w:color="000000" w:sz="4" w:space="0"/>
              <w:right w:val="single" w:color="000000" w:sz="4" w:space="0"/>
            </w:tcBorders>
            <w:noWrap/>
            <w:vAlign w:val="center"/>
          </w:tcPr>
          <w:p w14:paraId="1A384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AE3FF9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森林植被恢复费征收</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0487EAE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行政征收</w:t>
            </w:r>
          </w:p>
        </w:tc>
        <w:tc>
          <w:tcPr>
            <w:tcW w:w="3496" w:type="dxa"/>
            <w:tcBorders>
              <w:top w:val="single" w:color="000000" w:sz="4" w:space="0"/>
              <w:left w:val="single" w:color="000000" w:sz="4" w:space="0"/>
              <w:bottom w:val="single" w:color="000000" w:sz="4" w:space="0"/>
              <w:right w:val="single" w:color="000000" w:sz="4" w:space="0"/>
            </w:tcBorders>
            <w:noWrap w:val="0"/>
            <w:vAlign w:val="center"/>
          </w:tcPr>
          <w:p w14:paraId="559C2F8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《中华人民共和国森林法》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《中华人民共和国森林法实施条例》</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《云南省林地管理办法》</w:t>
            </w:r>
            <w:r>
              <w:rPr>
                <w:rFonts w:hint="default" w:ascii="Times New Roman" w:hAnsi="Times New Roman" w:eastAsia="方正仿宋_GBK"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i w:val="0"/>
                <w:color w:val="000000"/>
                <w:kern w:val="0"/>
                <w:sz w:val="24"/>
                <w:szCs w:val="24"/>
                <w:u w:val="none"/>
                <w:lang w:val="en-US" w:eastAsia="zh-CN" w:bidi="ar"/>
              </w:rPr>
              <w:t>《财政部 国家林业局关于调整森林植被恢复费征收标准引导节约集约利用林地的通知》（财税〔2015〕122号）</w:t>
            </w:r>
          </w:p>
        </w:tc>
        <w:tc>
          <w:tcPr>
            <w:tcW w:w="3681" w:type="dxa"/>
            <w:tcBorders>
              <w:top w:val="single" w:color="000000" w:sz="4" w:space="0"/>
              <w:left w:val="single" w:color="000000" w:sz="4" w:space="0"/>
              <w:bottom w:val="single" w:color="000000" w:sz="4" w:space="0"/>
              <w:right w:val="single" w:color="000000" w:sz="4" w:space="0"/>
            </w:tcBorders>
            <w:noWrap w:val="0"/>
            <w:vAlign w:val="center"/>
          </w:tcPr>
          <w:p w14:paraId="1FFA6EB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收回森林植被恢复费征收的州级权限</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D6E6B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州林草局</w:t>
            </w:r>
          </w:p>
        </w:tc>
        <w:tc>
          <w:tcPr>
            <w:tcW w:w="4046" w:type="dxa"/>
            <w:tcBorders>
              <w:top w:val="single" w:color="000000" w:sz="4" w:space="0"/>
              <w:left w:val="single" w:color="000000" w:sz="4" w:space="0"/>
              <w:bottom w:val="single" w:color="000000" w:sz="4" w:space="0"/>
              <w:right w:val="single" w:color="000000" w:sz="4" w:space="0"/>
            </w:tcBorders>
            <w:noWrap w:val="0"/>
            <w:vAlign w:val="center"/>
          </w:tcPr>
          <w:p w14:paraId="6DDB5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p>
        </w:tc>
      </w:tr>
    </w:tbl>
    <w:p w14:paraId="43955F74"/>
    <w:p w14:paraId="3653362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07AC3"/>
    <w:rsid w:val="014547B8"/>
    <w:rsid w:val="36903BB8"/>
    <w:rsid w:val="4F5F4FCC"/>
    <w:rsid w:val="5D207AC3"/>
    <w:rsid w:val="7C7D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3"/>
    <w:next w:val="3"/>
    <w:qFormat/>
    <w:uiPriority w:val="0"/>
    <w:pPr>
      <w:spacing w:after="160" w:line="259" w:lineRule="auto"/>
      <w:ind w:left="200" w:leftChars="200" w:hanging="200" w:hangingChars="200"/>
    </w:pPr>
    <w:rPr>
      <w:rFonts w:ascii="Times New Roman" w:hAnsi="Times New Roman" w:eastAsia="宋体"/>
      <w:snapToGrid/>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ascii="Calibri" w:hAnsi="Calibri" w:eastAsia="Calibri" w:cs="Times New Roman"/>
      <w:kern w:val="2"/>
      <w:sz w:val="21"/>
      <w:szCs w:val="22"/>
      <w:lang w:val="en-US" w:eastAsia="zh-CN" w:bidi="ar-SA"/>
    </w:rPr>
  </w:style>
  <w:style w:type="paragraph" w:styleId="4">
    <w:name w:val="Normal (Web)"/>
    <w:basedOn w:val="1"/>
    <w:qFormat/>
    <w:uiPriority w:val="0"/>
    <w:pPr>
      <w:spacing w:before="100" w:beforeAutospacing="1" w:after="100" w:afterAutospacing="1" w:line="240" w:lineRule="atLeast"/>
      <w:ind w:left="0" w:right="0"/>
      <w:jc w:val="left"/>
    </w:pPr>
    <w:rPr>
      <w:rFonts w:ascii="Times New Roman" w:hAnsi="Times New Roman" w:eastAsia="仿宋_GB2312" w:cs="Times New Roman"/>
      <w:spacing w:val="-6"/>
      <w:kern w:val="0"/>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14</Pages>
  <Words>7108</Words>
  <Characters>7305</Characters>
  <Lines>0</Lines>
  <Paragraphs>0</Paragraphs>
  <TotalTime>1</TotalTime>
  <ScaleCrop>false</ScaleCrop>
  <LinksUpToDate>false</LinksUpToDate>
  <CharactersWithSpaces>7311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2023-08-24T00:54:00Z</dcterms:created>
  <dc:creator>Administrator</dc:creator>
  <cp:lastModifiedBy>莫米</cp:lastModifiedBy>
  <dcterms:modified xsi:type="dcterms:W3CDTF">2025-03-25T08:54:17Z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eyJoZGlkIjoiMjZkOGQ4OGJhMjgwYmVhNjU1OGM1MjYwZDI3Mzg3ZDgiLCJ1c2VySWQiOiI3NjY4ODE4ODMifQ==</vt:lpwstr>
  </property>
  <property fmtid="{D5CDD505-2E9C-101B-9397-08002B2CF9AE}" pid="4" name="ICV">
    <vt:lpwstr>6ED6CC7BE83A4D98BDA315BD6FF13C4C_12</vt:lpwstr>
  </property>
</Properties>
</file>