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20" w:lineRule="atLeast"/>
        <w:ind w:right="0"/>
        <w:jc w:val="both"/>
        <w:rPr>
          <w:rFonts w:hint="eastAsia" w:ascii="方正黑体_GBK" w:hAnsi="方正黑体_GBK" w:eastAsia="方正黑体_GBK" w:cs="方正黑体_GBK"/>
          <w:b w:val="0"/>
          <w:bCs w:val="0"/>
          <w:color w:val="000000"/>
          <w:sz w:val="32"/>
          <w:szCs w:val="32"/>
          <w:lang w:eastAsia="zh-CN"/>
        </w:rPr>
      </w:pPr>
      <w:r>
        <w:rPr>
          <w:rFonts w:hint="eastAsia" w:ascii="方正黑体_GBK" w:hAnsi="方正黑体_GBK" w:eastAsia="方正黑体_GBK" w:cs="方正黑体_GBK"/>
          <w:b w:val="0"/>
          <w:bCs w:val="0"/>
          <w:color w:val="000000"/>
          <w:sz w:val="32"/>
          <w:szCs w:val="32"/>
          <w:lang w:eastAsia="zh-CN"/>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420"/>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赋予中国（云南）自由贸易试验区德宏片区管理委员会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firstLine="42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行使</w:t>
      </w:r>
      <w:r>
        <w:rPr>
          <w:rFonts w:hint="eastAsia" w:ascii="方正小标宋_GBK" w:hAnsi="方正小标宋_GBK" w:eastAsia="方正小标宋_GBK" w:cs="方正小标宋_GBK"/>
          <w:b w:val="0"/>
          <w:bCs w:val="0"/>
          <w:sz w:val="44"/>
          <w:szCs w:val="44"/>
        </w:rPr>
        <w:t>的</w:t>
      </w:r>
      <w:r>
        <w:rPr>
          <w:rFonts w:hint="eastAsia" w:ascii="方正小标宋_GBK" w:hAnsi="方正小标宋_GBK" w:eastAsia="方正小标宋_GBK" w:cs="方正小标宋_GBK"/>
          <w:b w:val="0"/>
          <w:bCs w:val="0"/>
          <w:sz w:val="44"/>
          <w:szCs w:val="44"/>
          <w:lang w:val="en-US" w:eastAsia="zh-CN"/>
        </w:rPr>
        <w:t>2</w:t>
      </w:r>
      <w:r>
        <w:rPr>
          <w:rFonts w:hint="eastAsia" w:ascii="方正小标宋_GBK" w:hAnsi="方正小标宋_GBK" w:eastAsia="方正小标宋_GBK" w:cs="方正小标宋_GBK"/>
          <w:b w:val="0"/>
          <w:bCs w:val="0"/>
          <w:sz w:val="44"/>
          <w:szCs w:val="44"/>
          <w:lang w:eastAsia="zh-CN"/>
        </w:rPr>
        <w:t>项</w:t>
      </w:r>
      <w:r>
        <w:rPr>
          <w:rFonts w:hint="eastAsia" w:ascii="方正小标宋_GBK" w:hAnsi="方正小标宋_GBK" w:eastAsia="方正小标宋_GBK" w:cs="方正小标宋_GBK"/>
          <w:b w:val="0"/>
          <w:bCs w:val="0"/>
          <w:sz w:val="44"/>
          <w:szCs w:val="44"/>
        </w:rPr>
        <w:t>州级行政职权事项目录</w:t>
      </w: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exact"/>
        <w:ind w:left="0" w:right="0" w:firstLine="420"/>
        <w:jc w:val="center"/>
        <w:rPr>
          <w:rFonts w:hint="eastAsia" w:ascii="方正小标宋_GBK" w:hAnsi="方正小标宋_GBK" w:eastAsia="方正小标宋_GBK" w:cs="方正小标宋_GBK"/>
          <w:b w:val="0"/>
          <w:bCs w:val="0"/>
          <w:sz w:val="32"/>
          <w:szCs w:val="32"/>
        </w:rPr>
      </w:pPr>
    </w:p>
    <w:tbl>
      <w:tblPr>
        <w:tblStyle w:val="6"/>
        <w:tblW w:w="15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7"/>
        <w:gridCol w:w="2122"/>
        <w:gridCol w:w="835"/>
        <w:gridCol w:w="764"/>
        <w:gridCol w:w="3955"/>
        <w:gridCol w:w="780"/>
        <w:gridCol w:w="2811"/>
        <w:gridCol w:w="1444"/>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序号</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事项名称（主项）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实施机关</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事项类型</w:t>
            </w:r>
          </w:p>
        </w:tc>
        <w:tc>
          <w:tcPr>
            <w:tcW w:w="3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设定和实施依据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赋权</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方式</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sz w:val="24"/>
                <w:szCs w:val="24"/>
                <w:u w:val="none"/>
              </w:rPr>
            </w:pPr>
            <w:r>
              <w:rPr>
                <w:rFonts w:hint="eastAsia" w:ascii="方正黑体_GBK" w:hAnsi="方正黑体_GBK" w:eastAsia="方正黑体_GBK" w:cs="方正黑体_GBK"/>
                <w:b w:val="0"/>
                <w:bCs w:val="0"/>
                <w:i w:val="0"/>
                <w:color w:val="000000"/>
                <w:kern w:val="0"/>
                <w:sz w:val="24"/>
                <w:szCs w:val="24"/>
                <w:u w:val="none"/>
                <w:lang w:val="en-US" w:eastAsia="zh-CN" w:bidi="ar"/>
              </w:rPr>
              <w:t>委托的州级权限范围</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适用范围</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方正黑体_GBK" w:hAnsi="方正黑体_GBK" w:eastAsia="方正黑体_GBK" w:cs="方正黑体_GBK"/>
                <w:b w:val="0"/>
                <w:bCs w:val="0"/>
                <w:i w:val="0"/>
                <w:color w:val="000000"/>
                <w:kern w:val="0"/>
                <w:sz w:val="24"/>
                <w:szCs w:val="24"/>
                <w:u w:val="none"/>
                <w:lang w:val="en-US" w:eastAsia="zh-CN" w:bidi="ar"/>
              </w:rPr>
            </w:pPr>
            <w:r>
              <w:rPr>
                <w:rFonts w:hint="eastAsia" w:ascii="方正黑体_GBK" w:hAnsi="方正黑体_GBK" w:eastAsia="方正黑体_GBK" w:cs="方正黑体_GBK"/>
                <w:b w:val="0"/>
                <w:bCs w:val="0"/>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8"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废弃电器电子产品处理企业资格审批</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州生态环境局</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《废弃电器电子产品回收处理管理条例》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废弃电器电子产品处理企业资格审批</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瑞丽市辖区</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3" w:hRule="atLeast"/>
          <w:jc w:val="center"/>
        </w:trPr>
        <w:tc>
          <w:tcPr>
            <w:tcW w:w="55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2</w:t>
            </w:r>
          </w:p>
        </w:tc>
        <w:tc>
          <w:tcPr>
            <w:tcW w:w="2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建筑业企业资质认定</w:t>
            </w:r>
          </w:p>
        </w:tc>
        <w:tc>
          <w:tcPr>
            <w:tcW w:w="8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sz w:val="24"/>
                <w:szCs w:val="24"/>
                <w:u w:val="none"/>
              </w:rPr>
              <w:t>州住房城乡建设局</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行政许可</w:t>
            </w:r>
          </w:p>
        </w:tc>
        <w:tc>
          <w:tcPr>
            <w:tcW w:w="3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《中华人民共和国建筑法》</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《建设工程质量管理条例》</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《建筑业企业资质管理规定》</w:t>
            </w:r>
          </w:p>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《云南省人民政府关于印发云南省全面推行“证照分离”改革全覆盖进一步激发市场主体发展活力实施方案的通知》（云政发〔2021〕14号）</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委托</w:t>
            </w:r>
          </w:p>
        </w:tc>
        <w:tc>
          <w:tcPr>
            <w:tcW w:w="2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施工总承包资质序列三级资质，专业承包资质序列三级资质及预拌混凝土、模板脚手架专业资质，施工劳务资质</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瑞丽市辖区</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方正仿宋_GBK" w:cs="Times New Roman"/>
                <w:i w:val="0"/>
                <w:color w:val="000000"/>
                <w:kern w:val="0"/>
                <w:sz w:val="24"/>
                <w:szCs w:val="24"/>
                <w:u w:val="none"/>
                <w:lang w:val="en-US" w:eastAsia="zh-CN" w:bidi="ar"/>
              </w:rPr>
            </w:pPr>
            <w:r>
              <w:rPr>
                <w:rFonts w:hint="eastAsia" w:ascii="Times New Roman" w:hAnsi="Times New Roman" w:eastAsia="方正仿宋_GBK" w:cs="Times New Roman"/>
                <w:i w:val="0"/>
                <w:color w:val="000000"/>
                <w:kern w:val="0"/>
                <w:sz w:val="24"/>
                <w:szCs w:val="24"/>
                <w:u w:val="none"/>
                <w:lang w:val="en-US" w:eastAsia="zh-CN" w:bidi="ar"/>
              </w:rPr>
              <w:t>涉及公路、水运、水利、电子通信、铁路、民航总承包和专业承包资质的，审批时征求有关行业主管部门意见。</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AF0C3F"/>
    <w:rsid w:val="27AF0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3"/>
    <w:next w:val="3"/>
    <w:qFormat/>
    <w:uiPriority w:val="0"/>
    <w:pPr>
      <w:spacing w:after="160" w:line="259" w:lineRule="auto"/>
      <w:ind w:left="200" w:leftChars="200" w:hanging="200" w:hangingChars="200"/>
    </w:pPr>
    <w:rPr>
      <w:rFonts w:ascii="Times New Roman" w:hAnsi="Times New Roman" w:eastAsia="宋体"/>
      <w:snapToGrid/>
      <w:kern w:val="2"/>
      <w:sz w:val="21"/>
      <w:szCs w:val="2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next w:val="2"/>
    <w:unhideWhenUsed/>
    <w:qFormat/>
    <w:uiPriority w:val="0"/>
    <w:pPr>
      <w:widowControl w:val="0"/>
      <w:jc w:val="both"/>
    </w:pPr>
    <w:rPr>
      <w:rFonts w:ascii="Calibri" w:hAnsi="Calibri" w:eastAsia="Calibri"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uppressAutoHyphens/>
      <w:bidi w:val="0"/>
      <w:spacing w:before="100" w:beforeAutospacing="1" w:after="100" w:afterAutospacing="1"/>
      <w:ind w:left="0" w:right="0"/>
      <w:jc w:val="left"/>
    </w:pPr>
    <w:rPr>
      <w:rFonts w:ascii="Calibri" w:hAnsi="Calibri" w:eastAsia="宋体" w:cs="Times New Roman"/>
      <w:color w:val="auto"/>
      <w:kern w:val="0"/>
      <w:sz w:val="24"/>
      <w:lang w:val="en-US" w:eastAsia="zh-CN" w:bidi="ar"/>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2024-12-09T01:44:00Z</dcterms:created>
  <dc:creator>州政府政府信息与政务公开办</dc:creator>
  <cp:lastModifiedBy>州政府政府信息与政务公开办</cp:lastModifiedBy>
  <dcterms:modified xsi:type="dcterms:W3CDTF">2024-12-09T01:44:44Z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