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rPr>
          <w:rFonts w:ascii="Times New Roman"/>
          <w:sz w:val="20"/>
        </w:rPr>
      </w:pPr>
    </w:p>
    <w:p>
      <w:pPr>
        <w:pStyle w:val="BodyText"/>
        <w:ind w:left="0"/>
        <w:rPr>
          <w:rFonts w:ascii="Times New Roman"/>
          <w:sz w:val="20"/>
        </w:rPr>
      </w:pPr>
    </w:p>
    <w:p>
      <w:pPr>
        <w:pStyle w:val="BodyText"/>
        <w:spacing w:before="3"/>
        <w:ind w:left="0"/>
        <w:rPr>
          <w:rFonts w:ascii="Times New Roman"/>
          <w:sz w:val="28"/>
        </w:rPr>
      </w:pPr>
    </w:p>
    <w:p>
      <w:pPr>
        <w:spacing w:line="266" w:lineRule="auto" w:before="38"/>
        <w:ind w:left="128" w:right="297" w:firstLine="0"/>
        <w:jc w:val="both"/>
        <w:rPr>
          <w:rFonts w:ascii="宋体" w:eastAsia="宋体" w:hint="eastAsia"/>
          <w:sz w:val="44"/>
        </w:rPr>
      </w:pPr>
      <w:r>
        <w:rPr>
          <w:rFonts w:ascii="宋体" w:eastAsia="宋体" w:hint="eastAsia"/>
          <w:sz w:val="44"/>
        </w:rPr>
        <w:t>德宏州印发商品房预售资金监督管理实施细则德宏州住房和城乡建设局等部门关于印发德宏州商品房预售资金监督管理实施细则的通知</w:t>
      </w:r>
    </w:p>
    <w:p>
      <w:pPr>
        <w:pStyle w:val="BodyText"/>
        <w:spacing w:before="71"/>
        <w:ind w:left="3449"/>
        <w:rPr>
          <w:rFonts w:ascii="楷体" w:eastAsia="楷体" w:hint="eastAsia"/>
        </w:rPr>
      </w:pPr>
      <w:r>
        <w:rPr>
          <w:rFonts w:ascii="楷体" w:eastAsia="楷体" w:hint="eastAsia"/>
          <w:color w:val="333333"/>
        </w:rPr>
        <w:t>德建规〔2023〕1 号</w:t>
      </w:r>
    </w:p>
    <w:p>
      <w:pPr>
        <w:pStyle w:val="BodyText"/>
        <w:ind w:left="0"/>
        <w:rPr>
          <w:rFonts w:ascii="楷体"/>
        </w:rPr>
      </w:pPr>
    </w:p>
    <w:p>
      <w:pPr>
        <w:pStyle w:val="BodyText"/>
        <w:spacing w:before="5"/>
        <w:ind w:left="0"/>
        <w:rPr>
          <w:rFonts w:ascii="楷体"/>
          <w:sz w:val="33"/>
        </w:rPr>
      </w:pPr>
    </w:p>
    <w:p>
      <w:pPr>
        <w:pStyle w:val="BodyText"/>
        <w:spacing w:line="364" w:lineRule="auto" w:before="1"/>
        <w:ind w:right="114" w:firstLine="640"/>
      </w:pPr>
      <w:r>
        <w:rPr>
          <w:color w:val="333333"/>
          <w:spacing w:val="-27"/>
          <w:w w:val="95"/>
        </w:rPr>
        <w:t>各县</w:t>
      </w:r>
      <w:r>
        <w:rPr>
          <w:color w:val="333333"/>
          <w:w w:val="95"/>
        </w:rPr>
        <w:t>（市</w:t>
      </w:r>
      <w:r>
        <w:rPr>
          <w:color w:val="333333"/>
          <w:spacing w:val="-53"/>
          <w:w w:val="95"/>
        </w:rPr>
        <w:t>）</w:t>
      </w:r>
      <w:r>
        <w:rPr>
          <w:color w:val="333333"/>
          <w:spacing w:val="-12"/>
          <w:w w:val="95"/>
        </w:rPr>
        <w:t>住房和城乡建设局、市场监督管理局，各县</w:t>
      </w:r>
      <w:r>
        <w:rPr>
          <w:color w:val="333333"/>
          <w:w w:val="95"/>
        </w:rPr>
        <w:t>（市） </w:t>
      </w:r>
      <w:r>
        <w:rPr>
          <w:color w:val="333333"/>
        </w:rPr>
        <w:t>住房公积金管理部，各银行业金融机构：</w:t>
      </w:r>
    </w:p>
    <w:p>
      <w:pPr>
        <w:pStyle w:val="BodyText"/>
        <w:spacing w:line="364" w:lineRule="auto" w:before="1"/>
        <w:ind w:right="273" w:firstLine="640"/>
      </w:pPr>
      <w:r>
        <w:rPr>
          <w:color w:val="333333"/>
          <w:spacing w:val="-11"/>
          <w:w w:val="95"/>
        </w:rPr>
        <w:t>现将《德宏州商品房预售资金监督管理实施细则》印发给你 </w:t>
      </w:r>
      <w:r>
        <w:rPr>
          <w:color w:val="333333"/>
          <w:spacing w:val="-11"/>
        </w:rPr>
        <w:t>们，请认真贯彻执行。</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spacing w:after="0"/>
        <w:rPr>
          <w:sz w:val="20"/>
        </w:rPr>
        <w:sectPr>
          <w:headerReference w:type="default" r:id="rId5"/>
          <w:footerReference w:type="default" r:id="rId6"/>
          <w:type w:val="continuous"/>
          <w:pgSz w:w="11910" w:h="16840"/>
          <w:pgMar w:header="1286" w:footer="1258" w:top="1960" w:bottom="1440" w:left="1480" w:right="1200"/>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279"/>
        <w:ind w:left="747"/>
      </w:pPr>
      <w:r>
        <w:rPr>
          <w:color w:val="333333"/>
          <w:w w:val="95"/>
        </w:rPr>
        <w:t>（此件公开发布）</w:t>
      </w:r>
    </w:p>
    <w:p>
      <w:pPr>
        <w:pStyle w:val="BodyText"/>
        <w:spacing w:line="364" w:lineRule="auto" w:before="225"/>
        <w:ind w:left="2405" w:right="273" w:hanging="320"/>
      </w:pPr>
      <w:r>
        <w:rPr/>
        <w:br w:type="column"/>
      </w:r>
      <w:r>
        <w:rPr>
          <w:color w:val="333333"/>
        </w:rPr>
        <w:t>德宏州住房和城乡建设局</w:t>
      </w:r>
      <w:r>
        <w:rPr>
          <w:color w:val="333333"/>
          <w:w w:val="95"/>
        </w:rPr>
        <w:t>德宏州市场监督管理局</w:t>
      </w:r>
    </w:p>
    <w:p>
      <w:pPr>
        <w:pStyle w:val="BodyText"/>
        <w:spacing w:line="364" w:lineRule="auto" w:before="1"/>
        <w:ind w:left="2086" w:right="271" w:hanging="320"/>
      </w:pPr>
      <w:r>
        <w:rPr>
          <w:color w:val="333333"/>
        </w:rPr>
        <w:t>德宏州住房公积金管理中心</w:t>
      </w:r>
      <w:r>
        <w:rPr>
          <w:color w:val="333333"/>
          <w:w w:val="95"/>
        </w:rPr>
        <w:t>中国人民银行德宏州分行</w:t>
      </w:r>
    </w:p>
    <w:p>
      <w:pPr>
        <w:pStyle w:val="BodyText"/>
        <w:spacing w:before="2"/>
        <w:ind w:left="485"/>
      </w:pPr>
      <w:r>
        <w:rPr>
          <w:color w:val="333333"/>
          <w:w w:val="95"/>
        </w:rPr>
        <w:t>国家金融监督管理总局德宏监管分局</w:t>
      </w:r>
    </w:p>
    <w:p>
      <w:pPr>
        <w:pStyle w:val="BodyText"/>
        <w:spacing w:before="214"/>
        <w:ind w:left="2967"/>
      </w:pPr>
      <w:r>
        <w:rPr>
          <w:color w:val="333333"/>
        </w:rPr>
        <w:t>2023</w:t>
      </w:r>
      <w:r>
        <w:rPr>
          <w:color w:val="333333"/>
          <w:spacing w:val="-55"/>
        </w:rPr>
        <w:t> 年 </w:t>
      </w:r>
      <w:r>
        <w:rPr>
          <w:color w:val="333333"/>
        </w:rPr>
        <w:t>10</w:t>
      </w:r>
      <w:r>
        <w:rPr>
          <w:color w:val="333333"/>
          <w:spacing w:val="-55"/>
        </w:rPr>
        <w:t> 月 </w:t>
      </w:r>
      <w:r>
        <w:rPr>
          <w:color w:val="333333"/>
        </w:rPr>
        <w:t>31</w:t>
      </w:r>
      <w:r>
        <w:rPr>
          <w:color w:val="333333"/>
          <w:spacing w:val="-42"/>
        </w:rPr>
        <w:t> 日</w:t>
      </w:r>
    </w:p>
    <w:p>
      <w:pPr>
        <w:spacing w:after="0"/>
        <w:sectPr>
          <w:type w:val="continuous"/>
          <w:pgSz w:w="11910" w:h="16840"/>
          <w:pgMar w:top="1960" w:bottom="1440" w:left="1480" w:right="1200"/>
          <w:cols w:num="2" w:equalWidth="0">
            <w:col w:w="3306" w:space="40"/>
            <w:col w:w="5884"/>
          </w:cols>
        </w:sectPr>
      </w:pPr>
    </w:p>
    <w:p>
      <w:pPr>
        <w:pStyle w:val="BodyText"/>
        <w:ind w:left="0"/>
        <w:rPr>
          <w:sz w:val="20"/>
        </w:rPr>
      </w:pPr>
    </w:p>
    <w:p>
      <w:pPr>
        <w:pStyle w:val="BodyText"/>
        <w:spacing w:before="10"/>
        <w:ind w:left="0"/>
        <w:rPr>
          <w:sz w:val="16"/>
        </w:rPr>
      </w:pPr>
    </w:p>
    <w:p>
      <w:pPr>
        <w:spacing w:after="0"/>
        <w:rPr>
          <w:sz w:val="16"/>
        </w:rPr>
        <w:sectPr>
          <w:type w:val="continuous"/>
          <w:pgSz w:w="11910" w:h="16840"/>
          <w:pgMar w:top="1960" w:bottom="1440" w:left="1480" w:right="1200"/>
        </w:sectPr>
      </w:pPr>
    </w:p>
    <w:p>
      <w:pPr>
        <w:pStyle w:val="BodyText"/>
        <w:spacing w:before="54"/>
        <w:ind w:left="1649"/>
        <w:rPr>
          <w:rFonts w:ascii="黑体" w:eastAsia="黑体" w:hint="eastAsia"/>
        </w:rPr>
      </w:pPr>
      <w:r>
        <w:rPr>
          <w:rFonts w:ascii="黑体" w:eastAsia="黑体" w:hint="eastAsia"/>
          <w:color w:val="333333"/>
          <w:w w:val="95"/>
        </w:rPr>
        <w:t>德宏州商品房预售资金监督管理实施细则</w:t>
      </w:r>
    </w:p>
    <w:p>
      <w:pPr>
        <w:pStyle w:val="BodyText"/>
        <w:spacing w:before="6"/>
        <w:ind w:left="0"/>
        <w:rPr>
          <w:rFonts w:ascii="黑体"/>
          <w:sz w:val="38"/>
        </w:rPr>
      </w:pPr>
      <w:r>
        <w:rPr/>
        <w:br w:type="column"/>
      </w:r>
      <w:r>
        <w:rPr>
          <w:rFonts w:ascii="黑体"/>
          <w:sz w:val="38"/>
        </w:rPr>
      </w:r>
    </w:p>
    <w:p>
      <w:pPr>
        <w:spacing w:before="0"/>
        <w:ind w:left="812" w:right="0" w:firstLine="0"/>
        <w:jc w:val="left"/>
        <w:rPr>
          <w:rFonts w:ascii="宋体"/>
          <w:sz w:val="28"/>
        </w:rPr>
      </w:pPr>
      <w:r>
        <w:rPr>
          <w:rFonts w:ascii="宋体"/>
          <w:sz w:val="28"/>
        </w:rPr>
        <w:t>- 1 -</w:t>
      </w:r>
    </w:p>
    <w:p>
      <w:pPr>
        <w:spacing w:after="0"/>
        <w:jc w:val="left"/>
        <w:rPr>
          <w:rFonts w:ascii="宋体"/>
          <w:sz w:val="28"/>
        </w:rPr>
        <w:sectPr>
          <w:type w:val="continuous"/>
          <w:pgSz w:w="11910" w:h="16840"/>
          <w:pgMar w:top="1960" w:bottom="1440" w:left="1480" w:right="1200"/>
          <w:cols w:num="2" w:equalWidth="0">
            <w:col w:w="7410" w:space="40"/>
            <w:col w:w="1780"/>
          </w:cols>
        </w:sectPr>
      </w:pPr>
    </w:p>
    <w:p>
      <w:pPr>
        <w:pStyle w:val="BodyText"/>
        <w:ind w:left="0"/>
        <w:rPr>
          <w:rFonts w:ascii="宋体"/>
          <w:sz w:val="20"/>
        </w:rPr>
      </w:pPr>
    </w:p>
    <w:p>
      <w:pPr>
        <w:pStyle w:val="BodyText"/>
        <w:ind w:left="0"/>
        <w:rPr>
          <w:rFonts w:ascii="宋体"/>
          <w:sz w:val="20"/>
        </w:rPr>
      </w:pPr>
    </w:p>
    <w:p>
      <w:pPr>
        <w:pStyle w:val="BodyText"/>
        <w:spacing w:line="364" w:lineRule="auto" w:before="205"/>
        <w:ind w:right="269" w:firstLine="640"/>
        <w:jc w:val="both"/>
      </w:pPr>
      <w:r>
        <w:rPr>
          <w:color w:val="333333"/>
          <w:spacing w:val="-7"/>
        </w:rPr>
        <w:t>为加强全州商品房预售资金监督管理，强化对商品房预售资</w:t>
      </w:r>
      <w:r>
        <w:rPr>
          <w:color w:val="333333"/>
          <w:spacing w:val="-14"/>
        </w:rPr>
        <w:t>金的使用的监督管理，规范房地产市场交易秩序，预防和减少房</w:t>
      </w:r>
      <w:r>
        <w:rPr>
          <w:color w:val="333333"/>
          <w:spacing w:val="-17"/>
        </w:rPr>
        <w:t>地产市场交易风险，保障购房人合法权益，促进房地产业健康发</w:t>
      </w:r>
      <w:r>
        <w:rPr>
          <w:color w:val="333333"/>
          <w:spacing w:val="-11"/>
          <w:w w:val="95"/>
        </w:rPr>
        <w:t>展。根据《中华人民共和国城市房地产管理法》、住房城乡建设  </w:t>
      </w:r>
      <w:r>
        <w:rPr>
          <w:color w:val="333333"/>
          <w:spacing w:val="-7"/>
        </w:rPr>
        <w:t>部《城市商品房预售管理办法》</w:t>
      </w:r>
      <w:r>
        <w:rPr>
          <w:color w:val="333333"/>
        </w:rPr>
        <w:t>（</w:t>
      </w:r>
      <w:r>
        <w:rPr>
          <w:color w:val="333333"/>
          <w:spacing w:val="-14"/>
        </w:rPr>
        <w:t>建设部令第 </w:t>
      </w:r>
      <w:r>
        <w:rPr>
          <w:color w:val="333333"/>
        </w:rPr>
        <w:t>131</w:t>
      </w:r>
      <w:r>
        <w:rPr>
          <w:color w:val="333333"/>
          <w:spacing w:val="-42"/>
        </w:rPr>
        <w:t> 号</w:t>
      </w:r>
      <w:r>
        <w:rPr>
          <w:color w:val="333333"/>
          <w:spacing w:val="-20"/>
        </w:rPr>
        <w:t>）</w:t>
      </w:r>
      <w:r>
        <w:rPr>
          <w:color w:val="333333"/>
          <w:spacing w:val="-9"/>
        </w:rPr>
        <w:t>、《住房</w:t>
      </w:r>
      <w:r>
        <w:rPr>
          <w:color w:val="333333"/>
        </w:rPr>
        <w:t>和城乡建设部 人民银行 银保监会关于规范商品房预售资金监管的意见》（建房〔2022〕16</w:t>
      </w:r>
      <w:r>
        <w:rPr>
          <w:color w:val="333333"/>
          <w:spacing w:val="23"/>
        </w:rPr>
        <w:t> 号</w:t>
      </w:r>
      <w:r>
        <w:rPr>
          <w:color w:val="333333"/>
        </w:rPr>
        <w:t>），结合本州实际，制定本实施细则。</w:t>
      </w:r>
    </w:p>
    <w:p>
      <w:pPr>
        <w:pStyle w:val="BodyText"/>
        <w:ind w:left="0"/>
      </w:pPr>
    </w:p>
    <w:p>
      <w:pPr>
        <w:pStyle w:val="BodyText"/>
        <w:spacing w:before="220"/>
        <w:ind w:left="3408"/>
        <w:rPr>
          <w:rFonts w:ascii="黑体" w:hAnsi="黑体" w:eastAsia="黑体" w:hint="eastAsia"/>
        </w:rPr>
      </w:pPr>
      <w:r>
        <w:rPr>
          <w:rFonts w:ascii="黑体" w:hAnsi="黑体" w:eastAsia="黑体" w:hint="eastAsia"/>
          <w:color w:val="333333"/>
        </w:rPr>
        <w:t>第一章</w:t>
      </w:r>
      <w:r>
        <w:rPr>
          <w:rFonts w:ascii="Arial" w:hAnsi="Arial" w:eastAsia="Arial"/>
          <w:color w:val="333333"/>
        </w:rPr>
        <w:t> </w:t>
      </w:r>
      <w:r>
        <w:rPr>
          <w:rFonts w:ascii="黑体" w:hAnsi="黑体" w:eastAsia="黑体" w:hint="eastAsia"/>
          <w:color w:val="333333"/>
        </w:rPr>
        <w:t>总</w:t>
      </w:r>
      <w:r>
        <w:rPr>
          <w:rFonts w:ascii="Arial" w:hAnsi="Arial" w:eastAsia="Arial"/>
          <w:color w:val="333333"/>
        </w:rPr>
        <w:t> </w:t>
      </w:r>
      <w:r>
        <w:rPr>
          <w:rFonts w:ascii="黑体" w:hAnsi="黑体" w:eastAsia="黑体" w:hint="eastAsia"/>
          <w:color w:val="333333"/>
        </w:rPr>
        <w:t>则</w:t>
      </w:r>
    </w:p>
    <w:p>
      <w:pPr>
        <w:pStyle w:val="BodyText"/>
        <w:ind w:left="0"/>
        <w:rPr>
          <w:rFonts w:ascii="黑体"/>
          <w:sz w:val="36"/>
        </w:rPr>
      </w:pPr>
    </w:p>
    <w:p>
      <w:pPr>
        <w:pStyle w:val="BodyText"/>
        <w:spacing w:before="6"/>
        <w:ind w:left="0"/>
        <w:rPr>
          <w:rFonts w:ascii="黑体"/>
          <w:sz w:val="26"/>
        </w:rPr>
      </w:pPr>
    </w:p>
    <w:p>
      <w:pPr>
        <w:pStyle w:val="BodyText"/>
        <w:spacing w:line="364" w:lineRule="auto"/>
        <w:ind w:right="271" w:firstLine="640"/>
        <w:jc w:val="both"/>
      </w:pPr>
      <w:r>
        <w:rPr>
          <w:rFonts w:ascii="黑体" w:hAnsi="黑体" w:eastAsia="黑体" w:hint="eastAsia"/>
          <w:color w:val="333333"/>
          <w:spacing w:val="6"/>
        </w:rPr>
        <w:t>第一条</w:t>
      </w:r>
      <w:r>
        <w:rPr>
          <w:rFonts w:ascii="Arial" w:hAnsi="Arial" w:eastAsia="Arial"/>
          <w:color w:val="333333"/>
          <w:spacing w:val="7"/>
        </w:rPr>
        <w:t> </w:t>
      </w:r>
      <w:r>
        <w:rPr>
          <w:color w:val="333333"/>
          <w:spacing w:val="5"/>
        </w:rPr>
        <w:t>凡在本州行政区域内经批准预售的商品房开发建</w:t>
      </w:r>
      <w:r>
        <w:rPr>
          <w:color w:val="333333"/>
          <w:spacing w:val="-9"/>
        </w:rPr>
        <w:t>设项目，其商品房预售资金的收存、支取、使用及监督管理适用本实施细则。</w:t>
      </w:r>
    </w:p>
    <w:p>
      <w:pPr>
        <w:pStyle w:val="BodyText"/>
        <w:spacing w:line="384" w:lineRule="exact"/>
        <w:ind w:left="747"/>
      </w:pPr>
      <w:r>
        <w:rPr>
          <w:rFonts w:ascii="黑体" w:hAnsi="黑体" w:eastAsia="黑体" w:hint="eastAsia"/>
          <w:color w:val="333333"/>
        </w:rPr>
        <w:t>第二条</w:t>
      </w:r>
      <w:r>
        <w:rPr>
          <w:rFonts w:ascii="Arial" w:hAnsi="Arial" w:eastAsia="Arial"/>
          <w:color w:val="333333"/>
        </w:rPr>
        <w:t> </w:t>
      </w:r>
      <w:r>
        <w:rPr>
          <w:color w:val="333333"/>
        </w:rPr>
        <w:t>本细则所称商品房预售资金，是指开发企业将其开</w:t>
      </w:r>
    </w:p>
    <w:p>
      <w:pPr>
        <w:pStyle w:val="BodyText"/>
        <w:spacing w:line="362" w:lineRule="auto" w:before="231"/>
        <w:ind w:right="270"/>
        <w:jc w:val="both"/>
      </w:pPr>
      <w:r>
        <w:rPr>
          <w:color w:val="333333"/>
          <w:spacing w:val="-6"/>
        </w:rPr>
        <w:t>发建设的商品房在取得预售许可后预售给购房人，由购房人按合</w:t>
      </w:r>
      <w:r>
        <w:rPr>
          <w:color w:val="333333"/>
          <w:spacing w:val="-13"/>
        </w:rPr>
        <w:t>同约定支付的全部房价款，包括定金、首付款、一次性全部付清</w:t>
      </w:r>
      <w:r>
        <w:rPr>
          <w:color w:val="333333"/>
          <w:spacing w:val="-14"/>
        </w:rPr>
        <w:t>的房款、分期付款、商业银行按揭贷款以及住房公积金贷款等形式的全部预购房款。</w:t>
      </w:r>
    </w:p>
    <w:p>
      <w:pPr>
        <w:pStyle w:val="BodyText"/>
        <w:spacing w:line="359" w:lineRule="exact" w:before="69"/>
        <w:ind w:left="747"/>
      </w:pPr>
      <w:r>
        <w:rPr>
          <w:color w:val="333333"/>
        </w:rPr>
        <w:t>本细则所称监管部门，是指县（市）住房和城乡建设局。</w:t>
      </w:r>
    </w:p>
    <w:p>
      <w:pPr>
        <w:spacing w:line="308" w:lineRule="exact" w:before="0"/>
        <w:ind w:left="0" w:right="262" w:firstLine="0"/>
        <w:jc w:val="right"/>
        <w:rPr>
          <w:rFonts w:ascii="宋体"/>
          <w:sz w:val="28"/>
        </w:rPr>
      </w:pPr>
      <w:r>
        <w:rPr>
          <w:rFonts w:ascii="宋体"/>
          <w:sz w:val="28"/>
        </w:rPr>
        <w:t>- 2 -</w:t>
      </w:r>
    </w:p>
    <w:p>
      <w:pPr>
        <w:spacing w:after="0" w:line="308" w:lineRule="exact"/>
        <w:jc w:val="right"/>
        <w:rPr>
          <w:rFonts w:ascii="宋体"/>
          <w:sz w:val="28"/>
        </w:rPr>
        <w:sectPr>
          <w:pgSz w:w="11910" w:h="16840"/>
          <w:pgMar w:header="1286" w:footer="1258" w:top="1960" w:bottom="1440" w:left="1480" w:right="1200"/>
        </w:sectPr>
      </w:pPr>
    </w:p>
    <w:p>
      <w:pPr>
        <w:pStyle w:val="BodyText"/>
        <w:spacing w:before="12"/>
        <w:ind w:left="0"/>
        <w:rPr>
          <w:rFonts w:ascii="宋体"/>
          <w:sz w:val="12"/>
        </w:rPr>
      </w:pPr>
    </w:p>
    <w:p>
      <w:pPr>
        <w:pStyle w:val="BodyText"/>
        <w:spacing w:line="36" w:lineRule="exact"/>
        <w:ind w:left="83"/>
        <w:rPr>
          <w:rFonts w:ascii="宋体"/>
          <w:sz w:val="3"/>
        </w:rPr>
      </w:pPr>
      <w:r>
        <w:rPr>
          <w:rFonts w:ascii="宋体"/>
          <w:position w:val="0"/>
          <w:sz w:val="3"/>
        </w:rPr>
        <w:pict>
          <v:group style="width:442.55pt;height:1.75pt;mso-position-horizontal-relative:char;mso-position-vertical-relative:line" coordorigin="0,0" coordsize="8851,35">
            <v:line style="position:absolute" from="0,18" to="8851,18" stroked="true" strokeweight="1.75pt" strokecolor="#005192">
              <v:stroke dashstyle="solid"/>
            </v:line>
          </v:group>
        </w:pict>
      </w:r>
      <w:r>
        <w:rPr>
          <w:rFonts w:ascii="宋体"/>
          <w:position w:val="0"/>
          <w:sz w:val="3"/>
        </w:rPr>
      </w:r>
    </w:p>
    <w:p>
      <w:pPr>
        <w:pStyle w:val="BodyText"/>
        <w:spacing w:line="364" w:lineRule="auto" w:before="93"/>
        <w:ind w:right="273" w:firstLine="640"/>
        <w:jc w:val="both"/>
      </w:pPr>
      <w:r>
        <w:rPr>
          <w:color w:val="333333"/>
          <w:spacing w:val="-11"/>
        </w:rPr>
        <w:t>本细则所称开发企业，是指预售商品房的房地产开发经营企业（预售人）。</w:t>
      </w:r>
    </w:p>
    <w:p>
      <w:pPr>
        <w:pStyle w:val="BodyText"/>
        <w:spacing w:line="364" w:lineRule="auto" w:before="1"/>
        <w:ind w:right="273" w:firstLine="640"/>
        <w:jc w:val="both"/>
      </w:pPr>
      <w:r>
        <w:rPr>
          <w:color w:val="333333"/>
          <w:spacing w:val="-10"/>
        </w:rPr>
        <w:t>本细则所称购房人，是指购买预售商品房的法人、自然人和其他组织。</w:t>
      </w:r>
    </w:p>
    <w:p>
      <w:pPr>
        <w:pStyle w:val="BodyText"/>
        <w:spacing w:line="364" w:lineRule="auto" w:before="2"/>
        <w:ind w:right="271" w:firstLine="640"/>
        <w:jc w:val="both"/>
      </w:pPr>
      <w:r>
        <w:rPr>
          <w:color w:val="333333"/>
          <w:spacing w:val="-8"/>
        </w:rPr>
        <w:t>本细则所称监管额度内预售资金，是指专项用于本项目工程</w:t>
      </w:r>
      <w:r>
        <w:rPr>
          <w:color w:val="333333"/>
          <w:spacing w:val="-14"/>
        </w:rPr>
        <w:t>建设所需的建筑材料款、设备款、施工进度款、附属工程款、配套设施建设等达到项目交付所需的全部建设费用的总额。</w:t>
      </w:r>
    </w:p>
    <w:p>
      <w:pPr>
        <w:pStyle w:val="BodyText"/>
        <w:spacing w:line="364" w:lineRule="auto" w:before="2"/>
        <w:ind w:right="271" w:firstLine="640"/>
        <w:jc w:val="both"/>
      </w:pPr>
      <w:r>
        <w:rPr>
          <w:color w:val="333333"/>
          <w:spacing w:val="-8"/>
        </w:rPr>
        <w:t>本细则所称监管额度外预售资金，是指超出监管账户内额度</w:t>
      </w:r>
      <w:r>
        <w:rPr>
          <w:color w:val="333333"/>
          <w:spacing w:val="-14"/>
        </w:rPr>
        <w:t>内监管资金的部分，优先用于预售项目工程建设及本项目到期的银行贷款、法定税费等，可以用于办公和管理经费及其他合理性支出的预售资金。</w:t>
      </w:r>
    </w:p>
    <w:p>
      <w:pPr>
        <w:pStyle w:val="BodyText"/>
        <w:spacing w:line="364" w:lineRule="auto" w:before="4"/>
        <w:ind w:right="273" w:firstLine="640"/>
        <w:jc w:val="both"/>
      </w:pPr>
      <w:r>
        <w:rPr>
          <w:color w:val="333333"/>
          <w:spacing w:val="-9"/>
        </w:rPr>
        <w:t>本细则所称监管银行，是指与监管部门、开发企业签订商品房预售资金监管协议、设立资金监管专用账户的银行。</w:t>
      </w:r>
    </w:p>
    <w:p>
      <w:pPr>
        <w:pStyle w:val="BodyText"/>
        <w:spacing w:line="364" w:lineRule="auto" w:before="1"/>
        <w:ind w:right="271" w:firstLine="640"/>
        <w:jc w:val="both"/>
      </w:pPr>
      <w:r>
        <w:rPr>
          <w:rFonts w:ascii="黑体" w:hAnsi="黑体" w:eastAsia="黑体" w:hint="eastAsia"/>
          <w:color w:val="333333"/>
          <w:spacing w:val="6"/>
        </w:rPr>
        <w:t>第三条</w:t>
      </w:r>
      <w:r>
        <w:rPr>
          <w:rFonts w:ascii="Arial" w:hAnsi="Arial" w:eastAsia="Arial"/>
          <w:color w:val="333333"/>
          <w:spacing w:val="7"/>
        </w:rPr>
        <w:t> </w:t>
      </w:r>
      <w:r>
        <w:rPr>
          <w:color w:val="333333"/>
          <w:spacing w:val="5"/>
        </w:rPr>
        <w:t>州住房和城乡建设局是全州商品房预售资金监管</w:t>
      </w:r>
      <w:r>
        <w:rPr>
          <w:color w:val="333333"/>
          <w:spacing w:val="-4"/>
          <w:w w:val="95"/>
        </w:rPr>
        <w:t>工作的行政主管部门，负责制定相关政策措施，统筹、指导和监 </w:t>
      </w:r>
      <w:r>
        <w:rPr>
          <w:color w:val="333333"/>
          <w:spacing w:val="-4"/>
        </w:rPr>
        <w:t>督全州商品房预售资金监管工作。</w:t>
      </w:r>
    </w:p>
    <w:p>
      <w:pPr>
        <w:pStyle w:val="BodyText"/>
        <w:spacing w:line="364" w:lineRule="auto" w:before="3"/>
        <w:ind w:right="273" w:firstLine="640"/>
        <w:jc w:val="both"/>
      </w:pPr>
      <w:r>
        <w:rPr>
          <w:color w:val="333333"/>
        </w:rPr>
        <w:t>中国人民银行德宏州分行负责监督指导商业银行做好商品房预售资金监管账户管理工作。</w:t>
      </w:r>
    </w:p>
    <w:p>
      <w:pPr>
        <w:pStyle w:val="BodyText"/>
        <w:spacing w:line="364" w:lineRule="auto" w:before="1"/>
        <w:ind w:right="273" w:firstLine="640"/>
        <w:jc w:val="both"/>
      </w:pPr>
      <w:r>
        <w:rPr>
          <w:color w:val="333333"/>
        </w:rPr>
        <w:t>国家金融监督管理总局德宏监管分局负责对商业银行商品房预售资金监管的操作风险和合规性进行监督检查。</w:t>
      </w:r>
    </w:p>
    <w:p>
      <w:pPr>
        <w:pStyle w:val="BodyText"/>
        <w:spacing w:line="359" w:lineRule="exact" w:before="2"/>
        <w:ind w:left="747"/>
      </w:pPr>
      <w:r>
        <w:rPr>
          <w:color w:val="333333"/>
          <w:w w:val="95"/>
        </w:rPr>
        <w:t>州住房公积金管理中心负责将购房人申办的住房公积金，包</w:t>
      </w:r>
    </w:p>
    <w:p>
      <w:pPr>
        <w:spacing w:line="308" w:lineRule="exact" w:before="0"/>
        <w:ind w:left="0" w:right="262" w:firstLine="0"/>
        <w:jc w:val="right"/>
        <w:rPr>
          <w:rFonts w:ascii="宋体"/>
          <w:sz w:val="28"/>
        </w:rPr>
      </w:pPr>
      <w:r>
        <w:rPr>
          <w:rFonts w:ascii="宋体"/>
          <w:sz w:val="28"/>
        </w:rPr>
        <w:t>- 3 -</w:t>
      </w:r>
    </w:p>
    <w:p>
      <w:pPr>
        <w:spacing w:after="0" w:line="308" w:lineRule="exact"/>
        <w:jc w:val="right"/>
        <w:rPr>
          <w:rFonts w:ascii="宋体"/>
          <w:sz w:val="28"/>
        </w:rPr>
        <w:sectPr>
          <w:headerReference w:type="default" r:id="rId7"/>
          <w:pgSz w:w="11910" w:h="16840"/>
          <w:pgMar w:header="1286" w:footer="1258" w:top="1760" w:bottom="1440" w:left="1480" w:right="1200"/>
        </w:sectPr>
      </w:pPr>
    </w:p>
    <w:p>
      <w:pPr>
        <w:pStyle w:val="BodyText"/>
        <w:spacing w:before="12"/>
        <w:ind w:left="0"/>
        <w:rPr>
          <w:rFonts w:ascii="宋体"/>
          <w:sz w:val="12"/>
        </w:rPr>
      </w:pPr>
    </w:p>
    <w:p>
      <w:pPr>
        <w:pStyle w:val="BodyText"/>
        <w:spacing w:line="36" w:lineRule="exact"/>
        <w:ind w:left="83"/>
        <w:rPr>
          <w:rFonts w:ascii="宋体"/>
          <w:sz w:val="3"/>
        </w:rPr>
      </w:pPr>
      <w:r>
        <w:rPr>
          <w:rFonts w:ascii="宋体"/>
          <w:position w:val="0"/>
          <w:sz w:val="3"/>
        </w:rPr>
        <w:pict>
          <v:group style="width:442.55pt;height:1.75pt;mso-position-horizontal-relative:char;mso-position-vertical-relative:line" coordorigin="0,0" coordsize="8851,35">
            <v:line style="position:absolute" from="0,18" to="8851,18" stroked="true" strokeweight="1.75pt" strokecolor="#005192">
              <v:stroke dashstyle="solid"/>
            </v:line>
          </v:group>
        </w:pict>
      </w:r>
      <w:r>
        <w:rPr>
          <w:rFonts w:ascii="宋体"/>
          <w:position w:val="0"/>
          <w:sz w:val="3"/>
        </w:rPr>
      </w:r>
    </w:p>
    <w:p>
      <w:pPr>
        <w:pStyle w:val="BodyText"/>
        <w:spacing w:line="364" w:lineRule="auto" w:before="93"/>
        <w:ind w:right="273"/>
      </w:pPr>
      <w:r>
        <w:rPr>
          <w:color w:val="333333"/>
          <w:spacing w:val="-7"/>
        </w:rPr>
        <w:t>括提取住房公积金支付首付款及贷款，划转入商品房买卖网签备案合同中记载的监管账户。</w:t>
      </w:r>
    </w:p>
    <w:p>
      <w:pPr>
        <w:pStyle w:val="BodyText"/>
        <w:spacing w:line="364" w:lineRule="auto" w:before="1"/>
        <w:ind w:right="271" w:firstLine="640"/>
        <w:jc w:val="both"/>
      </w:pPr>
      <w:r>
        <w:rPr>
          <w:color w:val="333333"/>
          <w:spacing w:val="-58"/>
        </w:rPr>
        <w:t>县</w:t>
      </w:r>
      <w:r>
        <w:rPr>
          <w:color w:val="333333"/>
        </w:rPr>
        <w:t>（市</w:t>
      </w:r>
      <w:r>
        <w:rPr>
          <w:color w:val="333333"/>
          <w:spacing w:val="-58"/>
        </w:rPr>
        <w:t>）</w:t>
      </w:r>
      <w:r>
        <w:rPr>
          <w:color w:val="333333"/>
        </w:rPr>
        <w:t>住房和城乡建设局负责辖区内新建商品房预售资金</w:t>
      </w:r>
      <w:r>
        <w:rPr>
          <w:color w:val="333333"/>
          <w:spacing w:val="-9"/>
        </w:rPr>
        <w:t>监管的具体工作，做好商品房预售资金的收存、支取、使用及其监督管理，依法受理、查处违法违规行为。</w:t>
      </w:r>
    </w:p>
    <w:p>
      <w:pPr>
        <w:pStyle w:val="BodyText"/>
        <w:spacing w:line="364" w:lineRule="auto" w:before="3"/>
        <w:ind w:right="273" w:firstLine="640"/>
        <w:jc w:val="both"/>
      </w:pPr>
      <w:r>
        <w:rPr>
          <w:color w:val="333333"/>
        </w:rPr>
        <w:t>商业银行负责将个人住房贷款直接发放至商品房买卖网签备案合同中记载的监管账户。</w:t>
      </w:r>
    </w:p>
    <w:p>
      <w:pPr>
        <w:pStyle w:val="BodyText"/>
        <w:spacing w:line="364" w:lineRule="auto" w:before="1"/>
        <w:ind w:right="273" w:firstLine="640"/>
        <w:jc w:val="both"/>
      </w:pPr>
      <w:r>
        <w:rPr>
          <w:color w:val="333333"/>
          <w:spacing w:val="-7"/>
        </w:rPr>
        <w:t>监管银行负责监管账户的安全管理，监管资金的收存、支取和拨付等日常业务管理工作以及其他有关工作。</w:t>
      </w:r>
    </w:p>
    <w:p>
      <w:pPr>
        <w:pStyle w:val="BodyText"/>
        <w:spacing w:line="364" w:lineRule="auto" w:before="2"/>
        <w:ind w:right="271" w:firstLine="640"/>
        <w:jc w:val="both"/>
      </w:pPr>
      <w:r>
        <w:rPr>
          <w:rFonts w:ascii="黑体" w:hAnsi="黑体" w:eastAsia="黑体" w:hint="eastAsia"/>
          <w:color w:val="333333"/>
          <w:w w:val="95"/>
        </w:rPr>
        <w:t>第四条</w:t>
      </w:r>
      <w:r>
        <w:rPr>
          <w:rFonts w:ascii="Arial" w:hAnsi="Arial" w:eastAsia="Arial"/>
          <w:color w:val="333333"/>
          <w:w w:val="95"/>
        </w:rPr>
        <w:t> </w:t>
      </w:r>
      <w:r>
        <w:rPr>
          <w:color w:val="333333"/>
          <w:spacing w:val="-7"/>
          <w:w w:val="95"/>
        </w:rPr>
        <w:t>商品房预售资金监管实行全额监管、闭环管理，遵 </w:t>
      </w:r>
      <w:r>
        <w:rPr>
          <w:color w:val="333333"/>
          <w:spacing w:val="-14"/>
        </w:rPr>
        <w:t>循专户专存、专款专用的原则，采取确定额度内监管资金节点控</w:t>
      </w:r>
      <w:r>
        <w:rPr>
          <w:color w:val="333333"/>
          <w:spacing w:val="-12"/>
        </w:rPr>
        <w:t>制、与开发企业信用等级挂钩等方式，确保商品房预售资金用于</w:t>
      </w:r>
      <w:r>
        <w:rPr>
          <w:color w:val="333333"/>
          <w:spacing w:val="-16"/>
        </w:rPr>
        <w:t>商品房项目工程建设。商品房预售资金监管期限自开发企业取得商品房预售许可证开始至完成不动产首次登记止。</w:t>
      </w:r>
    </w:p>
    <w:p>
      <w:pPr>
        <w:pStyle w:val="BodyText"/>
        <w:spacing w:line="364" w:lineRule="auto" w:before="4"/>
        <w:ind w:right="270" w:firstLine="640"/>
        <w:jc w:val="both"/>
      </w:pPr>
      <w:r>
        <w:rPr>
          <w:rFonts w:ascii="黑体" w:hAnsi="黑体" w:eastAsia="黑体" w:hint="eastAsia"/>
          <w:color w:val="333333"/>
          <w:spacing w:val="6"/>
        </w:rPr>
        <w:t>第五条</w:t>
      </w:r>
      <w:r>
        <w:rPr>
          <w:rFonts w:ascii="Arial" w:hAnsi="Arial" w:eastAsia="Arial"/>
          <w:color w:val="333333"/>
          <w:spacing w:val="7"/>
        </w:rPr>
        <w:t> </w:t>
      </w:r>
      <w:r>
        <w:rPr>
          <w:color w:val="333333"/>
          <w:spacing w:val="5"/>
        </w:rPr>
        <w:t>州住房和城乡建设局负责建立全州统一的商品房</w:t>
      </w:r>
      <w:r>
        <w:rPr>
          <w:color w:val="333333"/>
          <w:spacing w:val="0"/>
        </w:rPr>
        <w:t>预售资金监管系统</w:t>
      </w:r>
      <w:r>
        <w:rPr>
          <w:color w:val="333333"/>
        </w:rPr>
        <w:t>（</w:t>
      </w:r>
      <w:r>
        <w:rPr>
          <w:color w:val="333333"/>
          <w:spacing w:val="-5"/>
        </w:rPr>
        <w:t>以下简称“监管系统</w:t>
      </w:r>
      <w:r>
        <w:rPr>
          <w:color w:val="333333"/>
          <w:spacing w:val="-23"/>
        </w:rPr>
        <w:t>”）</w:t>
      </w:r>
      <w:r>
        <w:rPr>
          <w:color w:val="333333"/>
          <w:spacing w:val="-5"/>
        </w:rPr>
        <w:t>，实行监管资金申</w:t>
      </w:r>
      <w:r>
        <w:rPr>
          <w:color w:val="333333"/>
          <w:spacing w:val="-11"/>
          <w:w w:val="95"/>
        </w:rPr>
        <w:t>请、审核、拨付“全程网办”，提升预售资金监管服务效能。住 </w:t>
      </w:r>
      <w:r>
        <w:rPr>
          <w:color w:val="333333"/>
          <w:spacing w:val="-15"/>
        </w:rPr>
        <w:t>房公积金管理中心、与商品房预售资金监管有直接业务联系的商</w:t>
      </w:r>
      <w:r>
        <w:rPr>
          <w:color w:val="333333"/>
          <w:spacing w:val="5"/>
        </w:rPr>
        <w:t>业银行、州住房和城乡建设局等部门做好信息互联互通建设工</w:t>
      </w:r>
      <w:r>
        <w:rPr>
          <w:color w:val="333333"/>
          <w:spacing w:val="-10"/>
          <w:w w:val="95"/>
        </w:rPr>
        <w:t>作，做到业务管理系统数据对接，实现房屋网签备案、监管账户</w:t>
      </w:r>
    </w:p>
    <w:p>
      <w:pPr>
        <w:pStyle w:val="BodyText"/>
        <w:spacing w:line="359" w:lineRule="exact" w:before="5"/>
      </w:pPr>
      <w:r>
        <w:rPr>
          <w:color w:val="333333"/>
          <w:w w:val="95"/>
        </w:rPr>
        <w:t>资金、银行按揭贷款、住房公积金贷款、房屋抵押合同等数据信</w:t>
      </w:r>
    </w:p>
    <w:p>
      <w:pPr>
        <w:spacing w:line="308" w:lineRule="exact" w:before="0"/>
        <w:ind w:left="0" w:right="262" w:firstLine="0"/>
        <w:jc w:val="right"/>
        <w:rPr>
          <w:rFonts w:ascii="宋体"/>
          <w:sz w:val="28"/>
        </w:rPr>
      </w:pPr>
      <w:r>
        <w:rPr>
          <w:rFonts w:ascii="宋体"/>
          <w:sz w:val="28"/>
        </w:rPr>
        <w:t>- 4 -</w:t>
      </w:r>
    </w:p>
    <w:p>
      <w:pPr>
        <w:spacing w:after="0" w:line="308" w:lineRule="exact"/>
        <w:jc w:val="right"/>
        <w:rPr>
          <w:rFonts w:ascii="宋体"/>
          <w:sz w:val="28"/>
        </w:rPr>
        <w:sectPr>
          <w:pgSz w:w="11910" w:h="16840"/>
          <w:pgMar w:header="1286" w:footer="1258" w:top="1760" w:bottom="1440" w:left="1480" w:right="1200"/>
        </w:sectPr>
      </w:pPr>
    </w:p>
    <w:p>
      <w:pPr>
        <w:pStyle w:val="BodyText"/>
        <w:spacing w:before="12"/>
        <w:ind w:left="0"/>
        <w:rPr>
          <w:rFonts w:ascii="宋体"/>
          <w:sz w:val="12"/>
        </w:rPr>
      </w:pPr>
    </w:p>
    <w:p>
      <w:pPr>
        <w:pStyle w:val="BodyText"/>
        <w:spacing w:line="36" w:lineRule="exact"/>
        <w:ind w:left="83"/>
        <w:rPr>
          <w:rFonts w:ascii="宋体"/>
          <w:sz w:val="3"/>
        </w:rPr>
      </w:pPr>
      <w:r>
        <w:rPr>
          <w:rFonts w:ascii="宋体"/>
          <w:position w:val="0"/>
          <w:sz w:val="3"/>
        </w:rPr>
        <w:pict>
          <v:group style="width:442.55pt;height:1.75pt;mso-position-horizontal-relative:char;mso-position-vertical-relative:line" coordorigin="0,0" coordsize="8851,35">
            <v:line style="position:absolute" from="0,18" to="8851,18" stroked="true" strokeweight="1.75pt" strokecolor="#005192">
              <v:stroke dashstyle="solid"/>
            </v:line>
          </v:group>
        </w:pict>
      </w:r>
      <w:r>
        <w:rPr>
          <w:rFonts w:ascii="宋体"/>
          <w:position w:val="0"/>
          <w:sz w:val="3"/>
        </w:rPr>
      </w:r>
    </w:p>
    <w:p>
      <w:pPr>
        <w:pStyle w:val="BodyText"/>
        <w:spacing w:before="93"/>
      </w:pPr>
      <w:r>
        <w:rPr>
          <w:color w:val="333333"/>
        </w:rPr>
        <w:t>息共享，确保监管信息实时传输，并提供相应的金融服务。</w:t>
      </w:r>
    </w:p>
    <w:p>
      <w:pPr>
        <w:pStyle w:val="BodyText"/>
        <w:ind w:left="0"/>
      </w:pPr>
    </w:p>
    <w:p>
      <w:pPr>
        <w:pStyle w:val="BodyText"/>
        <w:spacing w:before="5"/>
        <w:ind w:left="0"/>
        <w:rPr>
          <w:sz w:val="33"/>
        </w:rPr>
      </w:pPr>
    </w:p>
    <w:p>
      <w:pPr>
        <w:pStyle w:val="BodyText"/>
        <w:ind w:left="1808"/>
        <w:rPr>
          <w:rFonts w:ascii="黑体" w:hAnsi="黑体" w:eastAsia="黑体" w:hint="eastAsia"/>
        </w:rPr>
      </w:pPr>
      <w:r>
        <w:rPr>
          <w:rFonts w:ascii="黑体" w:hAnsi="黑体" w:eastAsia="黑体" w:hint="eastAsia"/>
          <w:color w:val="333333"/>
        </w:rPr>
        <w:t>第二章</w:t>
      </w:r>
      <w:r>
        <w:rPr>
          <w:rFonts w:ascii="Arial" w:hAnsi="Arial" w:eastAsia="Arial"/>
          <w:color w:val="333333"/>
        </w:rPr>
        <w:t> </w:t>
      </w:r>
      <w:r>
        <w:rPr>
          <w:rFonts w:ascii="黑体" w:hAnsi="黑体" w:eastAsia="黑体" w:hint="eastAsia"/>
          <w:color w:val="333333"/>
        </w:rPr>
        <w:t>监管银行招标与监管账户管理</w:t>
      </w:r>
    </w:p>
    <w:p>
      <w:pPr>
        <w:pStyle w:val="BodyText"/>
        <w:ind w:left="0"/>
        <w:rPr>
          <w:rFonts w:ascii="黑体"/>
          <w:sz w:val="36"/>
        </w:rPr>
      </w:pPr>
    </w:p>
    <w:p>
      <w:pPr>
        <w:pStyle w:val="BodyText"/>
        <w:spacing w:before="5"/>
        <w:ind w:left="0"/>
        <w:rPr>
          <w:rFonts w:ascii="黑体"/>
          <w:sz w:val="29"/>
        </w:rPr>
      </w:pPr>
    </w:p>
    <w:p>
      <w:pPr>
        <w:pStyle w:val="BodyText"/>
        <w:spacing w:line="364" w:lineRule="auto"/>
        <w:ind w:right="271" w:firstLine="640"/>
        <w:jc w:val="both"/>
      </w:pPr>
      <w:r>
        <w:rPr>
          <w:rFonts w:ascii="黑体" w:hAnsi="黑体" w:eastAsia="黑体" w:hint="eastAsia"/>
          <w:color w:val="333333"/>
          <w:spacing w:val="6"/>
        </w:rPr>
        <w:t>第六条</w:t>
      </w:r>
      <w:r>
        <w:rPr>
          <w:rFonts w:ascii="Arial" w:hAnsi="Arial" w:eastAsia="Arial"/>
          <w:color w:val="333333"/>
          <w:spacing w:val="7"/>
        </w:rPr>
        <w:t> </w:t>
      </w:r>
      <w:r>
        <w:rPr>
          <w:color w:val="333333"/>
          <w:spacing w:val="5"/>
        </w:rPr>
        <w:t>州住房和城乡建设局统筹预售资金监管银行招标</w:t>
      </w:r>
      <w:r>
        <w:rPr>
          <w:color w:val="333333"/>
          <w:spacing w:val="-10"/>
        </w:rPr>
        <w:t>工作，会同中国人民银行德宏州分行、国家金融监督管理总局德</w:t>
      </w:r>
      <w:r>
        <w:rPr>
          <w:color w:val="333333"/>
          <w:spacing w:val="-16"/>
        </w:rPr>
        <w:t>宏监管分局制定招标规则，通过公开招标方式，综合商业银行资</w:t>
      </w:r>
      <w:r>
        <w:rPr>
          <w:color w:val="333333"/>
          <w:spacing w:val="-14"/>
          <w:w w:val="95"/>
        </w:rPr>
        <w:t>信状况、监管能力、服务水平、经营状况、信贷规模以及预售资 </w:t>
      </w:r>
      <w:r>
        <w:rPr>
          <w:color w:val="333333"/>
          <w:spacing w:val="-15"/>
          <w:w w:val="95"/>
        </w:rPr>
        <w:t>金监管业务量、资本充足率、拨备覆盖率、不良贷款率、个人住 </w:t>
      </w:r>
      <w:r>
        <w:rPr>
          <w:color w:val="333333"/>
          <w:spacing w:val="-19"/>
        </w:rPr>
        <w:t>房贷款和房地产开发贷款总额等指标，选定承接商品房预售资金</w:t>
      </w:r>
      <w:r>
        <w:rPr>
          <w:color w:val="333333"/>
          <w:spacing w:val="-18"/>
          <w:w w:val="95"/>
        </w:rPr>
        <w:t>监管业务的合作银行。投标银行应当开设、出具和承接“见索即 </w:t>
      </w:r>
      <w:r>
        <w:rPr>
          <w:color w:val="333333"/>
          <w:spacing w:val="-12"/>
        </w:rPr>
        <w:t>付”保函业务，具备资金监管安全规范运行所需的金融管理业务</w:t>
      </w:r>
      <w:r>
        <w:rPr>
          <w:color w:val="333333"/>
          <w:spacing w:val="-13"/>
        </w:rPr>
        <w:t>能力、监管系统网络技术条件及所需硬件设施、规定实现互联互</w:t>
      </w:r>
      <w:r>
        <w:rPr>
          <w:color w:val="333333"/>
          <w:spacing w:val="-14"/>
        </w:rPr>
        <w:t>通等条件，承诺履行监管职责并承担相应义务。中标银行通过州</w:t>
      </w:r>
      <w:r>
        <w:rPr>
          <w:color w:val="333333"/>
          <w:spacing w:val="-18"/>
        </w:rPr>
        <w:t>住房和城乡建设局门户网站公示，形成监管银行名录库，名录库中的合作银行原则上在服务期内不作调整。</w:t>
      </w:r>
    </w:p>
    <w:p>
      <w:pPr>
        <w:pStyle w:val="BodyText"/>
        <w:spacing w:line="364" w:lineRule="auto" w:before="10"/>
        <w:ind w:right="271" w:firstLine="640"/>
        <w:jc w:val="both"/>
      </w:pPr>
      <w:r>
        <w:rPr>
          <w:rFonts w:ascii="黑体" w:hAnsi="黑体" w:eastAsia="黑体" w:hint="eastAsia"/>
          <w:color w:val="333333"/>
        </w:rPr>
        <w:t>第七条</w:t>
      </w:r>
      <w:r>
        <w:rPr>
          <w:rFonts w:ascii="Arial" w:hAnsi="Arial" w:eastAsia="Arial"/>
          <w:color w:val="333333"/>
        </w:rPr>
        <w:t> </w:t>
      </w:r>
      <w:r>
        <w:rPr>
          <w:color w:val="333333"/>
          <w:spacing w:val="-8"/>
        </w:rPr>
        <w:t>合作银行招标服务期为 </w:t>
      </w:r>
      <w:r>
        <w:rPr>
          <w:color w:val="333333"/>
        </w:rPr>
        <w:t>3</w:t>
      </w:r>
      <w:r>
        <w:rPr>
          <w:color w:val="333333"/>
          <w:spacing w:val="-19"/>
        </w:rPr>
        <w:t> 年，监管部门每半年对本</w:t>
      </w:r>
      <w:r>
        <w:rPr>
          <w:color w:val="333333"/>
          <w:spacing w:val="5"/>
        </w:rPr>
        <w:t>辖区监管银行进行考评，对有违规行为的监管银行要求依法整</w:t>
      </w:r>
      <w:r>
        <w:rPr>
          <w:color w:val="333333"/>
          <w:spacing w:val="-12"/>
        </w:rPr>
        <w:t>改，并上报州住房和城乡建设局。州住房和城乡建设局会同国家</w:t>
      </w:r>
      <w:r>
        <w:rPr>
          <w:color w:val="333333"/>
          <w:spacing w:val="-17"/>
          <w:w w:val="95"/>
        </w:rPr>
        <w:t>金融监督管理总局德宏监管分局、中国人民银行德宏州分行每年</w:t>
      </w:r>
    </w:p>
    <w:p>
      <w:pPr>
        <w:pStyle w:val="BodyText"/>
        <w:spacing w:line="359" w:lineRule="exact" w:before="3"/>
      </w:pPr>
      <w:r>
        <w:rPr>
          <w:color w:val="333333"/>
          <w:w w:val="95"/>
        </w:rPr>
        <w:t>对名录库内的监管银行的履约情况、监管能力、资信状况、服务</w:t>
      </w:r>
    </w:p>
    <w:p>
      <w:pPr>
        <w:spacing w:line="308" w:lineRule="exact" w:before="0"/>
        <w:ind w:left="0" w:right="262" w:firstLine="0"/>
        <w:jc w:val="right"/>
        <w:rPr>
          <w:rFonts w:ascii="宋体"/>
          <w:sz w:val="28"/>
        </w:rPr>
      </w:pPr>
      <w:r>
        <w:rPr>
          <w:rFonts w:ascii="宋体"/>
          <w:sz w:val="28"/>
        </w:rPr>
        <w:t>- 5 -</w:t>
      </w:r>
    </w:p>
    <w:p>
      <w:pPr>
        <w:spacing w:after="0" w:line="308" w:lineRule="exact"/>
        <w:jc w:val="right"/>
        <w:rPr>
          <w:rFonts w:ascii="宋体"/>
          <w:sz w:val="28"/>
        </w:rPr>
        <w:sectPr>
          <w:pgSz w:w="11910" w:h="16840"/>
          <w:pgMar w:header="1286" w:footer="1258" w:top="1760" w:bottom="1440" w:left="1480" w:right="1200"/>
        </w:sectPr>
      </w:pPr>
    </w:p>
    <w:p>
      <w:pPr>
        <w:pStyle w:val="BodyText"/>
        <w:spacing w:before="12"/>
        <w:ind w:left="0"/>
        <w:rPr>
          <w:rFonts w:ascii="宋体"/>
          <w:sz w:val="12"/>
        </w:rPr>
      </w:pPr>
    </w:p>
    <w:p>
      <w:pPr>
        <w:pStyle w:val="BodyText"/>
        <w:spacing w:line="36" w:lineRule="exact"/>
        <w:ind w:left="83"/>
        <w:rPr>
          <w:rFonts w:ascii="宋体"/>
          <w:sz w:val="3"/>
        </w:rPr>
      </w:pPr>
      <w:r>
        <w:rPr>
          <w:rFonts w:ascii="宋体"/>
          <w:position w:val="0"/>
          <w:sz w:val="3"/>
        </w:rPr>
        <w:pict>
          <v:group style="width:442.55pt;height:1.75pt;mso-position-horizontal-relative:char;mso-position-vertical-relative:line" coordorigin="0,0" coordsize="8851,35">
            <v:line style="position:absolute" from="0,18" to="8851,18" stroked="true" strokeweight="1.75pt" strokecolor="#005192">
              <v:stroke dashstyle="solid"/>
            </v:line>
          </v:group>
        </w:pict>
      </w:r>
      <w:r>
        <w:rPr>
          <w:rFonts w:ascii="宋体"/>
          <w:position w:val="0"/>
          <w:sz w:val="3"/>
        </w:rPr>
      </w:r>
    </w:p>
    <w:p>
      <w:pPr>
        <w:pStyle w:val="BodyText"/>
        <w:spacing w:line="364" w:lineRule="auto" w:before="93"/>
        <w:ind w:right="158"/>
      </w:pPr>
      <w:r>
        <w:rPr>
          <w:color w:val="333333"/>
          <w:spacing w:val="-9"/>
        </w:rPr>
        <w:t>质量等进行综合评价，对存在履行监管职责不力、无法提供资金</w:t>
      </w:r>
      <w:r>
        <w:rPr>
          <w:color w:val="333333"/>
          <w:spacing w:val="-14"/>
        </w:rPr>
        <w:t>监管所需服务、违反相关规定等问题的银行取消其监管资格退出其名录库，由州住房和城乡建设局、中国人民银行德宏州分行、</w:t>
      </w:r>
      <w:r>
        <w:rPr>
          <w:color w:val="333333"/>
          <w:spacing w:val="-18"/>
        </w:rPr>
        <w:t>国家金融监督管理总局德宏监管分局再行通过公开招标，增补其</w:t>
      </w:r>
      <w:r>
        <w:rPr>
          <w:color w:val="333333"/>
          <w:spacing w:val="-16"/>
        </w:rPr>
        <w:t>他监管银行。对受到过行政处罚的商业银行，两年内不得参与招</w:t>
      </w:r>
      <w:r>
        <w:rPr>
          <w:color w:val="333333"/>
          <w:spacing w:val="-14"/>
        </w:rPr>
        <w:t>投标活动。未进入或者已退出监管银行名录的商业银行，不能作为监管银行承接新的监管业务。</w:t>
      </w:r>
    </w:p>
    <w:p>
      <w:pPr>
        <w:pStyle w:val="BodyText"/>
        <w:spacing w:line="364" w:lineRule="auto" w:before="5"/>
        <w:ind w:right="271" w:firstLine="640"/>
        <w:jc w:val="both"/>
      </w:pPr>
      <w:r>
        <w:rPr>
          <w:rFonts w:ascii="黑体" w:hAnsi="黑体" w:eastAsia="黑体" w:hint="eastAsia"/>
          <w:color w:val="333333"/>
          <w:w w:val="95"/>
        </w:rPr>
        <w:t>第八条</w:t>
      </w:r>
      <w:r>
        <w:rPr>
          <w:rFonts w:ascii="Arial" w:hAnsi="Arial" w:eastAsia="Arial"/>
          <w:color w:val="333333"/>
          <w:w w:val="95"/>
        </w:rPr>
        <w:t> </w:t>
      </w:r>
      <w:r>
        <w:rPr>
          <w:color w:val="333333"/>
          <w:spacing w:val="-10"/>
          <w:w w:val="95"/>
        </w:rPr>
        <w:t>开发企业按照一个《商品房预售许可证》申请对应 </w:t>
      </w:r>
      <w:r>
        <w:rPr>
          <w:color w:val="333333"/>
          <w:spacing w:val="-15"/>
        </w:rPr>
        <w:t>一个账户的原则，开设预售资金监管账户。房地产开发企业取得</w:t>
      </w:r>
    </w:p>
    <w:p>
      <w:pPr>
        <w:pStyle w:val="BodyText"/>
        <w:spacing w:line="364" w:lineRule="auto" w:before="2"/>
        <w:ind w:right="110"/>
      </w:pPr>
      <w:r>
        <w:rPr>
          <w:color w:val="333333"/>
          <w:spacing w:val="-9"/>
        </w:rPr>
        <w:t>《建筑工程施工许可证》，完成商品房预售价格备案、前期物业</w:t>
      </w:r>
      <w:r>
        <w:rPr>
          <w:color w:val="333333"/>
          <w:spacing w:val="-14"/>
        </w:rPr>
        <w:t>服务企业招投标等，即可在监管银行名录库中选择一家合作银行</w:t>
      </w:r>
      <w:r>
        <w:rPr>
          <w:color w:val="333333"/>
          <w:spacing w:val="-17"/>
        </w:rPr>
        <w:t>作为监管银行开立监管账户，监管账户名称统一为“开发企业名</w:t>
      </w:r>
      <w:r>
        <w:rPr>
          <w:color w:val="333333"/>
          <w:spacing w:val="-20"/>
          <w:w w:val="95"/>
        </w:rPr>
        <w:t>称+项目名称+幢</w:t>
      </w:r>
      <w:r>
        <w:rPr>
          <w:color w:val="333333"/>
          <w:w w:val="95"/>
        </w:rPr>
        <w:t>（栋</w:t>
      </w:r>
      <w:r>
        <w:rPr>
          <w:color w:val="333333"/>
          <w:spacing w:val="-36"/>
          <w:w w:val="95"/>
        </w:rPr>
        <w:t>）</w:t>
      </w:r>
      <w:r>
        <w:rPr>
          <w:color w:val="333333"/>
          <w:spacing w:val="-3"/>
          <w:w w:val="95"/>
        </w:rPr>
        <w:t>号+商品房预售资金监管账户”字样组成。 </w:t>
      </w:r>
      <w:r>
        <w:rPr>
          <w:color w:val="333333"/>
          <w:spacing w:val="-12"/>
        </w:rPr>
        <w:t>监管账户应在《商品房预售许可证》和《商品房买卖合同》中载明，在商品房销售现场显著位置公示，并随商品房预售许可证在</w:t>
      </w:r>
      <w:r>
        <w:rPr>
          <w:color w:val="333333"/>
          <w:spacing w:val="-17"/>
        </w:rPr>
        <w:t>州住房和城乡建设局门户网站、德宏州房产交易综合服务平台等公示。</w:t>
      </w:r>
    </w:p>
    <w:p>
      <w:pPr>
        <w:pStyle w:val="BodyText"/>
        <w:spacing w:line="364" w:lineRule="auto" w:before="6"/>
        <w:ind w:right="271" w:firstLine="640"/>
        <w:jc w:val="both"/>
      </w:pPr>
      <w:r>
        <w:rPr>
          <w:rFonts w:ascii="黑体" w:hAnsi="黑体" w:eastAsia="黑体" w:hint="eastAsia"/>
          <w:color w:val="333333"/>
        </w:rPr>
        <w:t>第九条</w:t>
      </w:r>
      <w:r>
        <w:rPr>
          <w:rFonts w:ascii="Arial" w:hAnsi="Arial" w:eastAsia="Arial"/>
          <w:color w:val="333333"/>
        </w:rPr>
        <w:t> </w:t>
      </w:r>
      <w:r>
        <w:rPr>
          <w:color w:val="333333"/>
          <w:spacing w:val="-6"/>
        </w:rPr>
        <w:t>监管账户仅限用于预售资金的收存和使用，不得支</w:t>
      </w:r>
      <w:r>
        <w:rPr>
          <w:color w:val="333333"/>
          <w:spacing w:val="-13"/>
        </w:rPr>
        <w:t>取现金，不得办理质押，不得作为保证金账户，不得办理除查询</w:t>
      </w:r>
      <w:r>
        <w:rPr>
          <w:color w:val="333333"/>
          <w:spacing w:val="-18"/>
        </w:rPr>
        <w:t>功能以外的网上银行业务或其他业务。监管银行负责对监管账户</w:t>
      </w:r>
    </w:p>
    <w:p>
      <w:pPr>
        <w:pStyle w:val="BodyText"/>
        <w:spacing w:line="359" w:lineRule="exact" w:before="3"/>
      </w:pPr>
      <w:r>
        <w:rPr>
          <w:color w:val="333333"/>
          <w:w w:val="95"/>
        </w:rPr>
        <w:t>进行特殊标识，并区别于开发企业其他一般账户，不得用于与预</w:t>
      </w:r>
    </w:p>
    <w:p>
      <w:pPr>
        <w:spacing w:line="308" w:lineRule="exact" w:before="0"/>
        <w:ind w:left="0" w:right="262" w:firstLine="0"/>
        <w:jc w:val="right"/>
        <w:rPr>
          <w:rFonts w:ascii="宋体"/>
          <w:sz w:val="28"/>
        </w:rPr>
      </w:pPr>
      <w:r>
        <w:rPr>
          <w:rFonts w:ascii="宋体"/>
          <w:sz w:val="28"/>
        </w:rPr>
        <w:t>- 6 -</w:t>
      </w:r>
    </w:p>
    <w:p>
      <w:pPr>
        <w:spacing w:after="0" w:line="308" w:lineRule="exact"/>
        <w:jc w:val="right"/>
        <w:rPr>
          <w:rFonts w:ascii="宋体"/>
          <w:sz w:val="28"/>
        </w:rPr>
        <w:sectPr>
          <w:pgSz w:w="11910" w:h="16840"/>
          <w:pgMar w:header="1286" w:footer="1258" w:top="1760" w:bottom="1440" w:left="1480" w:right="1200"/>
        </w:sectPr>
      </w:pPr>
    </w:p>
    <w:p>
      <w:pPr>
        <w:pStyle w:val="BodyText"/>
        <w:spacing w:before="12"/>
        <w:ind w:left="0"/>
        <w:rPr>
          <w:rFonts w:ascii="宋体"/>
          <w:sz w:val="12"/>
        </w:rPr>
      </w:pPr>
    </w:p>
    <w:p>
      <w:pPr>
        <w:pStyle w:val="BodyText"/>
        <w:spacing w:line="36" w:lineRule="exact"/>
        <w:ind w:left="83"/>
        <w:rPr>
          <w:rFonts w:ascii="宋体"/>
          <w:sz w:val="3"/>
        </w:rPr>
      </w:pPr>
      <w:r>
        <w:rPr>
          <w:rFonts w:ascii="宋体"/>
          <w:position w:val="0"/>
          <w:sz w:val="3"/>
        </w:rPr>
        <w:pict>
          <v:group style="width:442.55pt;height:1.75pt;mso-position-horizontal-relative:char;mso-position-vertical-relative:line" coordorigin="0,0" coordsize="8851,35">
            <v:line style="position:absolute" from="0,18" to="8851,18" stroked="true" strokeweight="1.75pt" strokecolor="#005192">
              <v:stroke dashstyle="solid"/>
            </v:line>
          </v:group>
        </w:pict>
      </w:r>
      <w:r>
        <w:rPr>
          <w:rFonts w:ascii="宋体"/>
          <w:position w:val="0"/>
          <w:sz w:val="3"/>
        </w:rPr>
      </w:r>
    </w:p>
    <w:p>
      <w:pPr>
        <w:pStyle w:val="BodyText"/>
        <w:spacing w:before="93"/>
      </w:pPr>
      <w:r>
        <w:rPr>
          <w:color w:val="333333"/>
        </w:rPr>
        <w:t>售资金无关的其他用途。</w:t>
      </w:r>
    </w:p>
    <w:p>
      <w:pPr>
        <w:pStyle w:val="BodyText"/>
        <w:spacing w:line="364" w:lineRule="auto" w:before="214"/>
        <w:ind w:right="158" w:firstLine="640"/>
      </w:pPr>
      <w:r>
        <w:rPr>
          <w:color w:val="333333"/>
        </w:rPr>
        <w:t>有开发贷款的项目且发放银行在监管银行名录库的，商品房预售资金监管账户可优先选择开立在提供开发贷款的商业银行。</w:t>
      </w:r>
    </w:p>
    <w:p>
      <w:pPr>
        <w:pStyle w:val="BodyText"/>
        <w:spacing w:line="364" w:lineRule="auto" w:before="1"/>
        <w:ind w:right="158" w:firstLine="640"/>
      </w:pPr>
      <w:r>
        <w:rPr>
          <w:color w:val="333333"/>
          <w:spacing w:val="-6"/>
        </w:rPr>
        <w:t>设定土地使用权抵押或在建工程抵押的项目，所涉抵押的抵</w:t>
      </w:r>
      <w:r>
        <w:rPr>
          <w:color w:val="333333"/>
          <w:spacing w:val="-14"/>
        </w:rPr>
        <w:t>押权人在监管银行名录库的，开发企业优先保证预售资金监管银</w:t>
      </w:r>
      <w:r>
        <w:rPr>
          <w:color w:val="333333"/>
          <w:spacing w:val="-18"/>
        </w:rPr>
        <w:t>行是该项目所涉抵押的抵押权人。若土地使用权抵押或在建工程</w:t>
      </w:r>
      <w:r>
        <w:rPr>
          <w:color w:val="333333"/>
          <w:spacing w:val="-20"/>
        </w:rPr>
        <w:t>抵押的抵押权人不在监管银行名录库、为非银行金融机构或个人的，开发企业还应当与抵押权人、监管银行共同签订三方协议， 明确各方的权利、义务和责任。</w:t>
      </w:r>
    </w:p>
    <w:p>
      <w:pPr>
        <w:pStyle w:val="BodyText"/>
        <w:spacing w:line="364" w:lineRule="auto" w:before="5"/>
        <w:ind w:right="273" w:firstLine="640"/>
      </w:pPr>
      <w:r>
        <w:rPr>
          <w:color w:val="333333"/>
          <w:spacing w:val="-12"/>
        </w:rPr>
        <w:t>分期、分标段开发的房地产项目，原则上监管账户应在同一家监管银行设立。</w:t>
      </w:r>
    </w:p>
    <w:p>
      <w:pPr>
        <w:pStyle w:val="BodyText"/>
        <w:spacing w:line="364" w:lineRule="auto" w:before="2"/>
        <w:ind w:right="271" w:firstLine="640"/>
        <w:jc w:val="both"/>
      </w:pPr>
      <w:r>
        <w:rPr>
          <w:rFonts w:ascii="黑体" w:hAnsi="黑体" w:eastAsia="黑体" w:hint="eastAsia"/>
          <w:color w:val="333333"/>
        </w:rPr>
        <w:t>第十条</w:t>
      </w:r>
      <w:r>
        <w:rPr>
          <w:rFonts w:ascii="Arial" w:hAnsi="Arial" w:eastAsia="Arial"/>
          <w:color w:val="333333"/>
        </w:rPr>
        <w:t> </w:t>
      </w:r>
      <w:r>
        <w:rPr>
          <w:color w:val="333333"/>
          <w:spacing w:val="-6"/>
        </w:rPr>
        <w:t>开发企业应当留存行政公章或者财务专用章、法定</w:t>
      </w:r>
      <w:r>
        <w:rPr>
          <w:color w:val="333333"/>
          <w:spacing w:val="-11"/>
        </w:rPr>
        <w:t>代表人或者委托代理人签名章作为监管账户印鉴，不得留存债权人、股东等其他单位或者个人印章。</w:t>
      </w:r>
    </w:p>
    <w:p>
      <w:pPr>
        <w:pStyle w:val="BodyText"/>
        <w:spacing w:line="364" w:lineRule="auto" w:before="2"/>
        <w:ind w:right="158" w:firstLine="640"/>
      </w:pPr>
      <w:r>
        <w:rPr>
          <w:rFonts w:ascii="黑体" w:hAnsi="黑体" w:eastAsia="黑体" w:hint="eastAsia"/>
          <w:color w:val="333333"/>
        </w:rPr>
        <w:t>第十一条</w:t>
      </w:r>
      <w:r>
        <w:rPr>
          <w:rFonts w:ascii="Arial" w:hAnsi="Arial" w:eastAsia="Arial"/>
          <w:color w:val="333333"/>
        </w:rPr>
        <w:t> </w:t>
      </w:r>
      <w:r>
        <w:rPr>
          <w:color w:val="333333"/>
        </w:rPr>
        <w:t>开发企业应当在监管系统中注册用户名并设置密码，录入企业相关信息。登录监管系统时，应提交以下资料：</w:t>
      </w:r>
    </w:p>
    <w:p>
      <w:pPr>
        <w:pStyle w:val="BodyText"/>
        <w:spacing w:before="2"/>
        <w:ind w:left="747"/>
      </w:pPr>
      <w:r>
        <w:rPr>
          <w:color w:val="333333"/>
          <w:w w:val="95"/>
        </w:rPr>
        <w:t>（一）预售资金监管账户开户申请表（系统打印）；</w:t>
      </w:r>
    </w:p>
    <w:p>
      <w:pPr>
        <w:pStyle w:val="BodyText"/>
        <w:spacing w:before="214"/>
        <w:ind w:left="747"/>
      </w:pPr>
      <w:r>
        <w:rPr>
          <w:color w:val="333333"/>
          <w:w w:val="95"/>
        </w:rPr>
        <w:t>（二）预售资金监管账户开户通知书（系统打印）；</w:t>
      </w:r>
    </w:p>
    <w:p>
      <w:pPr>
        <w:pStyle w:val="BodyText"/>
        <w:spacing w:line="364" w:lineRule="auto" w:before="214"/>
        <w:ind w:right="158" w:firstLine="640"/>
      </w:pPr>
      <w:r>
        <w:rPr>
          <w:color w:val="333333"/>
        </w:rPr>
        <w:t>（三）企业营业执照或统一社会信用代码证书（扫描件）、房地产开发企业资质证书（系统自动提取）；</w:t>
      </w:r>
    </w:p>
    <w:p>
      <w:pPr>
        <w:pStyle w:val="BodyText"/>
        <w:spacing w:line="359" w:lineRule="exact" w:before="1"/>
        <w:ind w:left="747"/>
      </w:pPr>
      <w:r>
        <w:rPr>
          <w:color w:val="333333"/>
        </w:rPr>
        <w:t>（四）经办人身份证明、劳动合同、社保凭证（扫描件）；</w:t>
      </w:r>
    </w:p>
    <w:p>
      <w:pPr>
        <w:spacing w:line="308" w:lineRule="exact" w:before="0"/>
        <w:ind w:left="0" w:right="262" w:firstLine="0"/>
        <w:jc w:val="right"/>
        <w:rPr>
          <w:rFonts w:ascii="宋体"/>
          <w:sz w:val="28"/>
        </w:rPr>
      </w:pPr>
      <w:r>
        <w:rPr>
          <w:rFonts w:ascii="宋体"/>
          <w:sz w:val="28"/>
        </w:rPr>
        <w:t>- 7 -</w:t>
      </w:r>
    </w:p>
    <w:p>
      <w:pPr>
        <w:spacing w:after="0" w:line="308" w:lineRule="exact"/>
        <w:jc w:val="right"/>
        <w:rPr>
          <w:rFonts w:ascii="宋体"/>
          <w:sz w:val="28"/>
        </w:rPr>
        <w:sectPr>
          <w:pgSz w:w="11910" w:h="16840"/>
          <w:pgMar w:header="1286" w:footer="1258" w:top="1760" w:bottom="1440" w:left="1480" w:right="1200"/>
        </w:sectPr>
      </w:pPr>
    </w:p>
    <w:p>
      <w:pPr>
        <w:pStyle w:val="BodyText"/>
        <w:spacing w:before="12"/>
        <w:ind w:left="0"/>
        <w:rPr>
          <w:rFonts w:ascii="宋体"/>
          <w:sz w:val="12"/>
        </w:rPr>
      </w:pPr>
    </w:p>
    <w:p>
      <w:pPr>
        <w:pStyle w:val="BodyText"/>
        <w:spacing w:line="36" w:lineRule="exact"/>
        <w:ind w:left="83"/>
        <w:rPr>
          <w:rFonts w:ascii="宋体"/>
          <w:sz w:val="3"/>
        </w:rPr>
      </w:pPr>
      <w:r>
        <w:rPr>
          <w:rFonts w:ascii="宋体"/>
          <w:position w:val="0"/>
          <w:sz w:val="3"/>
        </w:rPr>
        <w:pict>
          <v:group style="width:442.55pt;height:1.75pt;mso-position-horizontal-relative:char;mso-position-vertical-relative:line" coordorigin="0,0" coordsize="8851,35">
            <v:line style="position:absolute" from="0,18" to="8851,18" stroked="true" strokeweight="1.75pt" strokecolor="#005192">
              <v:stroke dashstyle="solid"/>
            </v:line>
          </v:group>
        </w:pict>
      </w:r>
      <w:r>
        <w:rPr>
          <w:rFonts w:ascii="宋体"/>
          <w:position w:val="0"/>
          <w:sz w:val="3"/>
        </w:rPr>
      </w:r>
    </w:p>
    <w:p>
      <w:pPr>
        <w:pStyle w:val="BodyText"/>
        <w:spacing w:before="93"/>
        <w:ind w:left="747"/>
      </w:pPr>
      <w:r>
        <w:rPr>
          <w:color w:val="333333"/>
        </w:rPr>
        <w:t>（五）经办人授权委托书（扫描件）；</w:t>
      </w:r>
    </w:p>
    <w:p>
      <w:pPr>
        <w:pStyle w:val="BodyText"/>
        <w:spacing w:line="364" w:lineRule="auto" w:before="214"/>
        <w:ind w:right="273" w:firstLine="640"/>
        <w:jc w:val="both"/>
      </w:pPr>
      <w:r>
        <w:rPr>
          <w:color w:val="333333"/>
          <w:spacing w:val="-2"/>
        </w:rPr>
        <w:t>监管部门自受理申请后 </w:t>
      </w:r>
      <w:r>
        <w:rPr>
          <w:color w:val="333333"/>
        </w:rPr>
        <w:t>2</w:t>
      </w:r>
      <w:r>
        <w:rPr>
          <w:color w:val="333333"/>
          <w:spacing w:val="-2"/>
        </w:rPr>
        <w:t> 个工作日内完成预审，预审通过</w:t>
      </w:r>
      <w:r>
        <w:rPr>
          <w:color w:val="333333"/>
          <w:spacing w:val="-11"/>
        </w:rPr>
        <w:t>后，开发企业持相关资料到监管银行开立监管账户。监管银行应</w:t>
      </w:r>
      <w:r>
        <w:rPr>
          <w:color w:val="333333"/>
          <w:spacing w:val="-48"/>
        </w:rPr>
        <w:t>在 </w:t>
      </w:r>
      <w:r>
        <w:rPr>
          <w:color w:val="333333"/>
        </w:rPr>
        <w:t>2</w:t>
      </w:r>
      <w:r>
        <w:rPr>
          <w:color w:val="333333"/>
          <w:spacing w:val="-15"/>
        </w:rPr>
        <w:t> 个工作日内，依据监管系统发送的电子信息开立账户，并将账户信息实时反馈至监管系统。</w:t>
      </w:r>
    </w:p>
    <w:p>
      <w:pPr>
        <w:pStyle w:val="BodyText"/>
        <w:spacing w:line="364" w:lineRule="auto" w:before="3"/>
        <w:ind w:right="269" w:firstLine="640"/>
        <w:jc w:val="both"/>
      </w:pPr>
      <w:r>
        <w:rPr>
          <w:color w:val="333333"/>
          <w:spacing w:val="-8"/>
        </w:rPr>
        <w:t>开发企业开立监管账户后，六个月未签订《德宏州商品房预</w:t>
      </w:r>
      <w:r>
        <w:rPr>
          <w:color w:val="333333"/>
          <w:spacing w:val="-12"/>
        </w:rPr>
        <w:t>售资金监管协议》</w:t>
      </w:r>
      <w:r>
        <w:rPr>
          <w:color w:val="333333"/>
        </w:rPr>
        <w:t>（</w:t>
      </w:r>
      <w:r>
        <w:rPr>
          <w:color w:val="333333"/>
          <w:spacing w:val="-6"/>
        </w:rPr>
        <w:t>以下简称“监管协议”</w:t>
      </w:r>
      <w:r>
        <w:rPr>
          <w:color w:val="333333"/>
          <w:spacing w:val="-18"/>
        </w:rPr>
        <w:t>）</w:t>
      </w:r>
      <w:r>
        <w:rPr>
          <w:color w:val="333333"/>
          <w:spacing w:val="-5"/>
        </w:rPr>
        <w:t>的，监管部门应当</w:t>
      </w:r>
      <w:r>
        <w:rPr>
          <w:color w:val="333333"/>
          <w:spacing w:val="-10"/>
        </w:rPr>
        <w:t>将该账户标记为无效账户并通过监管系统告知监管银行。开发企</w:t>
      </w:r>
      <w:r>
        <w:rPr>
          <w:color w:val="333333"/>
          <w:spacing w:val="-15"/>
        </w:rPr>
        <w:t>业申请注销无效账户的，监管银行应按非监管账户的管理要求注销账户。</w:t>
      </w:r>
    </w:p>
    <w:p>
      <w:pPr>
        <w:pStyle w:val="BodyText"/>
        <w:spacing w:line="364" w:lineRule="auto" w:before="4"/>
        <w:ind w:right="273" w:firstLine="640"/>
        <w:jc w:val="both"/>
      </w:pPr>
      <w:r>
        <w:rPr>
          <w:rFonts w:ascii="黑体" w:hAnsi="黑体" w:eastAsia="黑体" w:hint="eastAsia"/>
          <w:color w:val="333333"/>
        </w:rPr>
        <w:t>第十二条</w:t>
      </w:r>
      <w:r>
        <w:rPr>
          <w:rFonts w:ascii="Arial" w:hAnsi="Arial" w:eastAsia="Arial"/>
          <w:color w:val="333333"/>
        </w:rPr>
        <w:t> </w:t>
      </w:r>
      <w:r>
        <w:rPr>
          <w:color w:val="333333"/>
          <w:spacing w:val="-12"/>
        </w:rPr>
        <w:t>监管部门、监管银行及开发企业通过签订监管协议，明确三方责任。</w:t>
      </w:r>
    </w:p>
    <w:p>
      <w:pPr>
        <w:pStyle w:val="BodyText"/>
        <w:spacing w:line="364" w:lineRule="auto" w:before="2"/>
        <w:ind w:right="271" w:firstLine="640"/>
        <w:jc w:val="both"/>
      </w:pPr>
      <w:r>
        <w:rPr>
          <w:rFonts w:ascii="黑体" w:hAnsi="黑体" w:eastAsia="黑体" w:hint="eastAsia"/>
          <w:color w:val="333333"/>
        </w:rPr>
        <w:t>第十三条</w:t>
      </w:r>
      <w:r>
        <w:rPr>
          <w:rFonts w:ascii="Arial" w:hAnsi="Arial" w:eastAsia="Arial"/>
          <w:color w:val="333333"/>
        </w:rPr>
        <w:t> </w:t>
      </w:r>
      <w:r>
        <w:rPr>
          <w:color w:val="333333"/>
          <w:spacing w:val="-10"/>
        </w:rPr>
        <w:t>开发企业开立监管账户后，应通过监管系统申请与监管银行、监管部门在线签订监管协议，上传下列材料：</w:t>
      </w:r>
    </w:p>
    <w:p>
      <w:pPr>
        <w:pStyle w:val="BodyText"/>
        <w:spacing w:line="364" w:lineRule="auto" w:before="1"/>
        <w:ind w:right="273" w:firstLine="640"/>
        <w:jc w:val="both"/>
      </w:pPr>
      <w:r>
        <w:rPr>
          <w:color w:val="333333"/>
          <w:w w:val="95"/>
        </w:rPr>
        <w:t>（一</w:t>
      </w:r>
      <w:r>
        <w:rPr>
          <w:color w:val="333333"/>
          <w:spacing w:val="-24"/>
          <w:w w:val="95"/>
        </w:rPr>
        <w:t>）</w:t>
      </w:r>
      <w:r>
        <w:rPr>
          <w:color w:val="333333"/>
          <w:spacing w:val="-4"/>
          <w:w w:val="95"/>
        </w:rPr>
        <w:t>不动产登记证</w:t>
      </w:r>
      <w:r>
        <w:rPr>
          <w:color w:val="333333"/>
          <w:w w:val="95"/>
        </w:rPr>
        <w:t>（土地</w:t>
      </w:r>
      <w:r>
        <w:rPr>
          <w:color w:val="333333"/>
          <w:spacing w:val="-24"/>
          <w:w w:val="95"/>
        </w:rPr>
        <w:t>）</w:t>
      </w:r>
      <w:r>
        <w:rPr>
          <w:color w:val="333333"/>
          <w:spacing w:val="-7"/>
          <w:w w:val="95"/>
        </w:rPr>
        <w:t>、建设用地规划许可证、工程 </w:t>
      </w:r>
      <w:r>
        <w:rPr>
          <w:color w:val="333333"/>
          <w:spacing w:val="-7"/>
        </w:rPr>
        <w:t>规划许可证、施工许可证;</w:t>
      </w:r>
    </w:p>
    <w:p>
      <w:pPr>
        <w:pStyle w:val="BodyText"/>
        <w:spacing w:line="364" w:lineRule="auto" w:before="2"/>
        <w:ind w:right="271" w:firstLine="640"/>
        <w:jc w:val="both"/>
      </w:pPr>
      <w:r>
        <w:rPr>
          <w:color w:val="333333"/>
        </w:rPr>
        <w:t>（二</w:t>
      </w:r>
      <w:r>
        <w:rPr>
          <w:color w:val="333333"/>
          <w:spacing w:val="-58"/>
        </w:rPr>
        <w:t>）</w:t>
      </w:r>
      <w:r>
        <w:rPr>
          <w:color w:val="333333"/>
          <w:spacing w:val="-7"/>
        </w:rPr>
        <w:t>建筑工程总包合同</w:t>
      </w:r>
      <w:r>
        <w:rPr>
          <w:color w:val="333333"/>
        </w:rPr>
        <w:t>（包含工程款拨付账户和项目农民工工资专户）；</w:t>
      </w:r>
    </w:p>
    <w:p>
      <w:pPr>
        <w:pStyle w:val="BodyText"/>
        <w:spacing w:before="1"/>
        <w:ind w:left="747"/>
      </w:pPr>
      <w:r>
        <w:rPr>
          <w:color w:val="333333"/>
        </w:rPr>
        <w:t>（三）房屋面积预测报告；</w:t>
      </w:r>
    </w:p>
    <w:p>
      <w:pPr>
        <w:pStyle w:val="BodyText"/>
        <w:spacing w:before="214"/>
        <w:ind w:left="747"/>
      </w:pPr>
      <w:r>
        <w:rPr>
          <w:color w:val="333333"/>
        </w:rPr>
        <w:t>（四）项目交付标准；</w:t>
      </w:r>
    </w:p>
    <w:p>
      <w:pPr>
        <w:pStyle w:val="BodyText"/>
        <w:spacing w:line="347" w:lineRule="exact" w:before="214"/>
        <w:ind w:left="747"/>
      </w:pPr>
      <w:r>
        <w:rPr>
          <w:color w:val="333333"/>
        </w:rPr>
        <w:t>（五）监管银行营业执照（系统自动提取）；</w:t>
      </w:r>
    </w:p>
    <w:p>
      <w:pPr>
        <w:spacing w:line="321" w:lineRule="exact" w:before="0"/>
        <w:ind w:left="0" w:right="262" w:firstLine="0"/>
        <w:jc w:val="right"/>
        <w:rPr>
          <w:rFonts w:ascii="宋体"/>
          <w:sz w:val="28"/>
        </w:rPr>
      </w:pPr>
      <w:r>
        <w:rPr>
          <w:rFonts w:ascii="宋体"/>
          <w:sz w:val="28"/>
        </w:rPr>
        <w:t>- 8 -</w:t>
      </w:r>
    </w:p>
    <w:p>
      <w:pPr>
        <w:spacing w:after="0" w:line="321" w:lineRule="exact"/>
        <w:jc w:val="right"/>
        <w:rPr>
          <w:rFonts w:ascii="宋体"/>
          <w:sz w:val="28"/>
        </w:rPr>
        <w:sectPr>
          <w:pgSz w:w="11910" w:h="16840"/>
          <w:pgMar w:header="1286" w:footer="1258" w:top="1760" w:bottom="1440" w:left="1480" w:right="1200"/>
        </w:sectPr>
      </w:pPr>
    </w:p>
    <w:p>
      <w:pPr>
        <w:pStyle w:val="BodyText"/>
        <w:spacing w:before="12"/>
        <w:ind w:left="0"/>
        <w:rPr>
          <w:rFonts w:ascii="宋体"/>
          <w:sz w:val="12"/>
        </w:rPr>
      </w:pPr>
    </w:p>
    <w:p>
      <w:pPr>
        <w:pStyle w:val="BodyText"/>
        <w:spacing w:line="36" w:lineRule="exact"/>
        <w:ind w:left="83"/>
        <w:rPr>
          <w:rFonts w:ascii="宋体"/>
          <w:sz w:val="3"/>
        </w:rPr>
      </w:pPr>
      <w:r>
        <w:rPr>
          <w:rFonts w:ascii="宋体"/>
          <w:position w:val="0"/>
          <w:sz w:val="3"/>
        </w:rPr>
        <w:pict>
          <v:group style="width:442.55pt;height:1.75pt;mso-position-horizontal-relative:char;mso-position-vertical-relative:line" coordorigin="0,0" coordsize="8851,35">
            <v:line style="position:absolute" from="0,18" to="8851,18" stroked="true" strokeweight="1.75pt" strokecolor="#005192">
              <v:stroke dashstyle="solid"/>
            </v:line>
          </v:group>
        </w:pict>
      </w:r>
      <w:r>
        <w:rPr>
          <w:rFonts w:ascii="宋体"/>
          <w:position w:val="0"/>
          <w:sz w:val="3"/>
        </w:rPr>
      </w:r>
    </w:p>
    <w:p>
      <w:pPr>
        <w:pStyle w:val="BodyText"/>
        <w:spacing w:before="93"/>
        <w:ind w:left="747"/>
      </w:pPr>
      <w:r>
        <w:rPr>
          <w:color w:val="333333"/>
        </w:rPr>
        <w:t>（六）施工范围说明。</w:t>
      </w:r>
    </w:p>
    <w:p>
      <w:pPr>
        <w:pStyle w:val="BodyText"/>
        <w:spacing w:line="364" w:lineRule="auto" w:before="214"/>
        <w:ind w:right="273" w:firstLine="640"/>
        <w:jc w:val="both"/>
      </w:pPr>
      <w:r>
        <w:rPr>
          <w:color w:val="333333"/>
          <w:spacing w:val="-11"/>
        </w:rPr>
        <w:t>以上材料发生变更的，开发企业应当在三个工作日内通过监</w:t>
      </w:r>
      <w:r>
        <w:rPr>
          <w:color w:val="333333"/>
          <w:spacing w:val="-16"/>
        </w:rPr>
        <w:t>管系统向监管部门提出变更申请，并扫描上传变更后的相关资料报备。</w:t>
      </w:r>
    </w:p>
    <w:p>
      <w:pPr>
        <w:pStyle w:val="BodyText"/>
        <w:spacing w:before="2"/>
        <w:ind w:left="747"/>
      </w:pPr>
      <w:r>
        <w:rPr>
          <w:rFonts w:ascii="黑体" w:hAnsi="黑体" w:eastAsia="黑体" w:hint="eastAsia"/>
          <w:color w:val="333333"/>
        </w:rPr>
        <w:t>第十四条</w:t>
      </w:r>
      <w:r>
        <w:rPr>
          <w:rFonts w:ascii="Arial" w:hAnsi="Arial" w:eastAsia="Arial"/>
          <w:color w:val="333333"/>
        </w:rPr>
        <w:t> </w:t>
      </w:r>
      <w:r>
        <w:rPr>
          <w:color w:val="333333"/>
        </w:rPr>
        <w:t>监管协议主要包括以下内容：</w:t>
      </w:r>
    </w:p>
    <w:p>
      <w:pPr>
        <w:pStyle w:val="BodyText"/>
        <w:spacing w:before="214"/>
        <w:ind w:left="747"/>
      </w:pPr>
      <w:r>
        <w:rPr>
          <w:color w:val="333333"/>
        </w:rPr>
        <w:t>（一）协议三方的名称、地址；</w:t>
      </w:r>
    </w:p>
    <w:p>
      <w:pPr>
        <w:pStyle w:val="BodyText"/>
        <w:spacing w:before="214"/>
        <w:ind w:left="747"/>
      </w:pPr>
      <w:r>
        <w:rPr>
          <w:color w:val="333333"/>
        </w:rPr>
        <w:t>（二）监管项目的基本情况；</w:t>
      </w:r>
    </w:p>
    <w:p>
      <w:pPr>
        <w:pStyle w:val="BodyText"/>
        <w:spacing w:before="214"/>
        <w:ind w:left="747"/>
      </w:pPr>
      <w:r>
        <w:rPr>
          <w:color w:val="333333"/>
        </w:rPr>
        <w:t>（三）监管账户信息；</w:t>
      </w:r>
    </w:p>
    <w:p>
      <w:pPr>
        <w:pStyle w:val="BodyText"/>
        <w:spacing w:line="364" w:lineRule="auto" w:before="214"/>
        <w:ind w:right="271" w:firstLine="640"/>
      </w:pPr>
      <w:r>
        <w:rPr>
          <w:color w:val="333333"/>
        </w:rPr>
        <w:t>（四</w:t>
      </w:r>
      <w:r>
        <w:rPr>
          <w:color w:val="333333"/>
          <w:spacing w:val="-39"/>
        </w:rPr>
        <w:t>）</w:t>
      </w:r>
      <w:r>
        <w:rPr>
          <w:color w:val="333333"/>
          <w:spacing w:val="-9"/>
        </w:rPr>
        <w:t>监管项目范围、交付条件</w:t>
      </w:r>
      <w:r>
        <w:rPr>
          <w:color w:val="333333"/>
        </w:rPr>
        <w:t>（采用装修交房标准的项目还包括装修造价、装修标准等）；</w:t>
      </w:r>
    </w:p>
    <w:p>
      <w:pPr>
        <w:pStyle w:val="BodyText"/>
        <w:spacing w:before="2"/>
        <w:ind w:left="747"/>
      </w:pPr>
      <w:r>
        <w:rPr>
          <w:color w:val="333333"/>
        </w:rPr>
        <w:t>（五）额度内预售资金的总额；</w:t>
      </w:r>
    </w:p>
    <w:p>
      <w:pPr>
        <w:pStyle w:val="BodyText"/>
        <w:spacing w:before="214"/>
        <w:ind w:left="747"/>
      </w:pPr>
      <w:r>
        <w:rPr>
          <w:color w:val="333333"/>
        </w:rPr>
        <w:t>（六）监管资金拨付节点；</w:t>
      </w:r>
    </w:p>
    <w:p>
      <w:pPr>
        <w:pStyle w:val="BodyText"/>
        <w:spacing w:before="214"/>
        <w:ind w:left="747"/>
      </w:pPr>
      <w:r>
        <w:rPr>
          <w:color w:val="333333"/>
        </w:rPr>
        <w:t>（七）预售资金的收存、使用方式；</w:t>
      </w:r>
    </w:p>
    <w:p>
      <w:pPr>
        <w:pStyle w:val="BodyText"/>
        <w:spacing w:before="214"/>
        <w:ind w:left="747"/>
      </w:pPr>
      <w:r>
        <w:rPr>
          <w:color w:val="333333"/>
          <w:w w:val="95"/>
        </w:rPr>
        <w:t>（八）权利义务；</w:t>
      </w:r>
    </w:p>
    <w:p>
      <w:pPr>
        <w:pStyle w:val="BodyText"/>
        <w:spacing w:before="214"/>
        <w:ind w:left="747"/>
      </w:pPr>
      <w:r>
        <w:rPr>
          <w:color w:val="333333"/>
          <w:w w:val="95"/>
        </w:rPr>
        <w:t>（九）违约责任；</w:t>
      </w:r>
    </w:p>
    <w:p>
      <w:pPr>
        <w:pStyle w:val="BodyText"/>
        <w:spacing w:before="214"/>
        <w:ind w:left="747"/>
      </w:pPr>
      <w:r>
        <w:rPr>
          <w:color w:val="333333"/>
        </w:rPr>
        <w:t>（十）争议解决方式。</w:t>
      </w:r>
    </w:p>
    <w:p>
      <w:pPr>
        <w:pStyle w:val="BodyText"/>
        <w:spacing w:line="364" w:lineRule="auto" w:before="214"/>
        <w:ind w:right="271" w:firstLine="640"/>
        <w:jc w:val="both"/>
      </w:pPr>
      <w:r>
        <w:rPr>
          <w:rFonts w:ascii="黑体" w:hAnsi="黑体" w:eastAsia="黑体" w:hint="eastAsia"/>
          <w:color w:val="333333"/>
        </w:rPr>
        <w:t>第十五条</w:t>
      </w:r>
      <w:r>
        <w:rPr>
          <w:rFonts w:ascii="Arial" w:hAnsi="Arial" w:eastAsia="Arial"/>
          <w:color w:val="333333"/>
        </w:rPr>
        <w:t> </w:t>
      </w:r>
      <w:r>
        <w:rPr>
          <w:color w:val="333333"/>
          <w:spacing w:val="-11"/>
        </w:rPr>
        <w:t>监管协议签订后，协议内容发生变化时，开发企</w:t>
      </w:r>
      <w:r>
        <w:rPr>
          <w:color w:val="333333"/>
          <w:spacing w:val="-17"/>
        </w:rPr>
        <w:t>业应重新签订监管协议或补充协议，并将新的监管协议或补充协议予以公示，通过适当方式告知已购房人。</w:t>
      </w:r>
    </w:p>
    <w:p>
      <w:pPr>
        <w:pStyle w:val="BodyText"/>
        <w:spacing w:before="2"/>
        <w:ind w:left="747"/>
      </w:pPr>
      <w:r>
        <w:rPr>
          <w:rFonts w:ascii="黑体" w:hAnsi="黑体" w:eastAsia="黑体" w:hint="eastAsia"/>
          <w:color w:val="333333"/>
          <w:w w:val="95"/>
        </w:rPr>
        <w:t>第十六条</w:t>
      </w:r>
      <w:r>
        <w:rPr>
          <w:rFonts w:ascii="Arial" w:hAnsi="Arial" w:eastAsia="Arial"/>
          <w:color w:val="333333"/>
          <w:w w:val="95"/>
        </w:rPr>
        <w:t> </w:t>
      </w:r>
      <w:r>
        <w:rPr>
          <w:color w:val="333333"/>
          <w:w w:val="95"/>
        </w:rPr>
        <w:t>监管银行以及监管账户设立后，原则上不得更</w:t>
      </w:r>
    </w:p>
    <w:p>
      <w:pPr>
        <w:pStyle w:val="BodyText"/>
        <w:spacing w:line="359" w:lineRule="exact" w:before="214"/>
        <w:ind w:left="0" w:right="273"/>
        <w:jc w:val="right"/>
      </w:pPr>
      <w:r>
        <w:rPr>
          <w:color w:val="333333"/>
          <w:w w:val="95"/>
        </w:rPr>
        <w:t>改，因监管银行被取消监管资格等原因确需变更的，由开发企业</w:t>
      </w:r>
    </w:p>
    <w:p>
      <w:pPr>
        <w:spacing w:line="308" w:lineRule="exact" w:before="0"/>
        <w:ind w:left="0" w:right="262" w:firstLine="0"/>
        <w:jc w:val="right"/>
        <w:rPr>
          <w:rFonts w:ascii="宋体"/>
          <w:sz w:val="28"/>
        </w:rPr>
      </w:pPr>
      <w:r>
        <w:rPr>
          <w:rFonts w:ascii="宋体"/>
          <w:sz w:val="28"/>
        </w:rPr>
        <w:t>- 9 -</w:t>
      </w:r>
    </w:p>
    <w:p>
      <w:pPr>
        <w:spacing w:after="0" w:line="308" w:lineRule="exact"/>
        <w:jc w:val="right"/>
        <w:rPr>
          <w:rFonts w:ascii="宋体"/>
          <w:sz w:val="28"/>
        </w:rPr>
        <w:sectPr>
          <w:pgSz w:w="11910" w:h="16840"/>
          <w:pgMar w:header="1286" w:footer="1258" w:top="1760" w:bottom="1440" w:left="1480" w:right="1200"/>
        </w:sectPr>
      </w:pPr>
    </w:p>
    <w:p>
      <w:pPr>
        <w:pStyle w:val="BodyText"/>
        <w:spacing w:before="12"/>
        <w:ind w:left="0"/>
        <w:rPr>
          <w:rFonts w:ascii="宋体"/>
          <w:sz w:val="12"/>
        </w:rPr>
      </w:pPr>
    </w:p>
    <w:p>
      <w:pPr>
        <w:pStyle w:val="BodyText"/>
        <w:spacing w:line="36" w:lineRule="exact"/>
        <w:ind w:left="83"/>
        <w:rPr>
          <w:rFonts w:ascii="宋体"/>
          <w:sz w:val="3"/>
        </w:rPr>
      </w:pPr>
      <w:r>
        <w:rPr>
          <w:rFonts w:ascii="宋体"/>
          <w:position w:val="0"/>
          <w:sz w:val="3"/>
        </w:rPr>
        <w:pict>
          <v:group style="width:442.55pt;height:1.75pt;mso-position-horizontal-relative:char;mso-position-vertical-relative:line" coordorigin="0,0" coordsize="8851,35">
            <v:line style="position:absolute" from="0,18" to="8851,18" stroked="true" strokeweight="1.75pt" strokecolor="#005192">
              <v:stroke dashstyle="solid"/>
            </v:line>
          </v:group>
        </w:pict>
      </w:r>
      <w:r>
        <w:rPr>
          <w:rFonts w:ascii="宋体"/>
          <w:position w:val="0"/>
          <w:sz w:val="3"/>
        </w:rPr>
      </w:r>
    </w:p>
    <w:p>
      <w:pPr>
        <w:pStyle w:val="BodyText"/>
        <w:spacing w:line="364" w:lineRule="auto" w:before="93"/>
        <w:ind w:right="158"/>
      </w:pPr>
      <w:r>
        <w:rPr>
          <w:color w:val="333333"/>
          <w:spacing w:val="-5"/>
        </w:rPr>
        <w:t>在监管银行名录库中重新选取监管银行并开设监管账户，重新签</w:t>
      </w:r>
      <w:r>
        <w:rPr>
          <w:color w:val="333333"/>
          <w:spacing w:val="-11"/>
        </w:rPr>
        <w:t>订监管协议，原监管账户中所有资金全部转入新监管账户，商品</w:t>
      </w:r>
      <w:r>
        <w:rPr>
          <w:color w:val="333333"/>
          <w:spacing w:val="-16"/>
        </w:rPr>
        <w:t>房预售许可证中载明的监管账户信息也应立即变更，并向社会公示。监管账户变更期间不予办理合同网签备案、预售资金收存、使用等业务。</w:t>
      </w:r>
    </w:p>
    <w:p>
      <w:pPr>
        <w:pStyle w:val="BodyText"/>
        <w:spacing w:line="364" w:lineRule="auto" w:before="4"/>
        <w:ind w:right="158" w:firstLine="640"/>
      </w:pPr>
      <w:r>
        <w:rPr>
          <w:rFonts w:ascii="黑体" w:hAnsi="黑体" w:eastAsia="黑体" w:hint="eastAsia"/>
          <w:color w:val="333333"/>
        </w:rPr>
        <w:t>第十七条</w:t>
      </w:r>
      <w:r>
        <w:rPr>
          <w:rFonts w:ascii="Arial" w:hAnsi="Arial" w:eastAsia="Arial"/>
          <w:color w:val="333333"/>
        </w:rPr>
        <w:t> </w:t>
      </w:r>
      <w:r>
        <w:rPr>
          <w:color w:val="333333"/>
        </w:rPr>
        <w:t>监管银行应当按照监管协议内容管理监管账户， </w:t>
      </w:r>
      <w:r>
        <w:rPr>
          <w:color w:val="333333"/>
          <w:spacing w:val="5"/>
        </w:rPr>
        <w:t>每月与监管部门对账并协助监管部门做好商品房预售资金监管</w:t>
      </w:r>
      <w:r>
        <w:rPr>
          <w:color w:val="333333"/>
          <w:spacing w:val="-11"/>
        </w:rPr>
        <w:t>工作，发现其他商业银行存在为企业设立收存购房款账户及商品</w:t>
      </w:r>
      <w:r>
        <w:rPr>
          <w:color w:val="333333"/>
          <w:spacing w:val="-17"/>
        </w:rPr>
        <w:t>房预售资金监管资金被违规挪用的行为，应当立即停止预售资金</w:t>
      </w:r>
      <w:r>
        <w:rPr>
          <w:color w:val="333333"/>
          <w:spacing w:val="-14"/>
        </w:rPr>
        <w:t>拨付业务，及时告知监管部门并上报商业银行主管部门处理，待</w:t>
      </w:r>
      <w:r>
        <w:rPr>
          <w:color w:val="333333"/>
          <w:spacing w:val="-18"/>
        </w:rPr>
        <w:t>接到监管部门出具的允许恢复预售监管资金拨付业务通知后，方可继续拨付资金。</w:t>
      </w:r>
    </w:p>
    <w:p>
      <w:pPr>
        <w:pStyle w:val="BodyText"/>
        <w:spacing w:line="364" w:lineRule="auto" w:before="5"/>
        <w:ind w:right="114" w:firstLine="640"/>
      </w:pPr>
      <w:r>
        <w:rPr>
          <w:rFonts w:ascii="黑体" w:hAnsi="黑体" w:eastAsia="黑体" w:hint="eastAsia"/>
          <w:color w:val="333333"/>
          <w:spacing w:val="6"/>
        </w:rPr>
        <w:t>第十八条</w:t>
      </w:r>
      <w:r>
        <w:rPr>
          <w:rFonts w:ascii="Arial" w:hAnsi="Arial" w:eastAsia="Arial"/>
          <w:color w:val="333333"/>
          <w:spacing w:val="7"/>
        </w:rPr>
        <w:t> </w:t>
      </w:r>
      <w:r>
        <w:rPr>
          <w:color w:val="333333"/>
          <w:spacing w:val="5"/>
        </w:rPr>
        <w:t>对于人民法院或执法部门按规定要保全或冻结</w:t>
      </w:r>
      <w:r>
        <w:rPr>
          <w:color w:val="333333"/>
          <w:spacing w:val="-5"/>
        </w:rPr>
        <w:t>预售资金监管账户的，监管银行应告知监管部门；对于执行或扣</w:t>
      </w:r>
      <w:r>
        <w:rPr>
          <w:color w:val="333333"/>
        </w:rPr>
        <w:t>划监管账户预售资金的，监管银行应当按照《最高人民法院 住</w:t>
      </w:r>
      <w:r>
        <w:rPr>
          <w:color w:val="333333"/>
          <w:spacing w:val="-4"/>
        </w:rPr>
        <w:t>房和城乡建设部 中国人民银行关于规范人民法院保全执行措施</w:t>
      </w:r>
      <w:r>
        <w:rPr>
          <w:color w:val="333333"/>
          <w:spacing w:val="-5"/>
        </w:rPr>
        <w:t>确保商品房预售资金用于项目建设的通知》</w:t>
      </w:r>
      <w:r>
        <w:rPr>
          <w:color w:val="333333"/>
        </w:rPr>
        <w:t>（</w:t>
      </w:r>
      <w:r>
        <w:rPr>
          <w:color w:val="333333"/>
          <w:spacing w:val="-4"/>
        </w:rPr>
        <w:t>法〔</w:t>
      </w:r>
      <w:r>
        <w:rPr>
          <w:color w:val="333333"/>
        </w:rPr>
        <w:t>2022</w:t>
      </w:r>
      <w:r>
        <w:rPr>
          <w:color w:val="333333"/>
          <w:spacing w:val="-7"/>
        </w:rPr>
        <w:t>〕</w:t>
      </w:r>
      <w:r>
        <w:rPr>
          <w:color w:val="333333"/>
        </w:rPr>
        <w:t>12</w:t>
      </w:r>
      <w:r>
        <w:rPr>
          <w:color w:val="333333"/>
          <w:spacing w:val="-47"/>
        </w:rPr>
        <w:t> 号</w:t>
      </w:r>
      <w:r>
        <w:rPr>
          <w:color w:val="333333"/>
        </w:rPr>
        <w:t>） 文件条款执行，并书面告知人民银行、银保监、监管部门。</w:t>
      </w:r>
    </w:p>
    <w:p>
      <w:pPr>
        <w:pStyle w:val="BodyText"/>
        <w:spacing w:before="5"/>
        <w:ind w:firstLine="640"/>
      </w:pPr>
      <w:r>
        <w:rPr>
          <w:rFonts w:ascii="黑体" w:hAnsi="黑体" w:eastAsia="黑体" w:hint="eastAsia"/>
          <w:color w:val="333333"/>
          <w:w w:val="95"/>
        </w:rPr>
        <w:t>第十九条</w:t>
      </w:r>
      <w:r>
        <w:rPr>
          <w:rFonts w:ascii="Arial" w:hAnsi="Arial" w:eastAsia="Arial"/>
          <w:color w:val="333333"/>
          <w:w w:val="95"/>
        </w:rPr>
        <w:t> </w:t>
      </w:r>
      <w:r>
        <w:rPr>
          <w:color w:val="333333"/>
          <w:w w:val="95"/>
        </w:rPr>
        <w:t>监管账户对应的楼幢全部办理不动产首次登记</w:t>
      </w:r>
    </w:p>
    <w:p>
      <w:pPr>
        <w:pStyle w:val="BodyText"/>
        <w:spacing w:line="620" w:lineRule="atLeast" w:before="4"/>
        <w:ind w:right="271"/>
      </w:pPr>
      <w:r>
        <w:rPr>
          <w:color w:val="333333"/>
          <w:spacing w:val="-11"/>
        </w:rPr>
        <w:t>后，符合监管账户解除监管条件的，开发企业可以通过监管系统</w:t>
      </w:r>
      <w:r>
        <w:rPr>
          <w:color w:val="333333"/>
          <w:spacing w:val="-20"/>
        </w:rPr>
        <w:t>申请终止预售资金监管，监管部门自收到申请后 </w:t>
      </w:r>
      <w:r>
        <w:rPr>
          <w:color w:val="333333"/>
        </w:rPr>
        <w:t>3</w:t>
      </w:r>
      <w:r>
        <w:rPr>
          <w:color w:val="333333"/>
          <w:spacing w:val="-13"/>
        </w:rPr>
        <w:t> 个工作日内完</w:t>
      </w:r>
    </w:p>
    <w:p>
      <w:pPr>
        <w:spacing w:line="262" w:lineRule="exact" w:before="0"/>
        <w:ind w:left="0" w:right="123" w:firstLine="0"/>
        <w:jc w:val="right"/>
        <w:rPr>
          <w:rFonts w:ascii="宋体"/>
          <w:sz w:val="28"/>
        </w:rPr>
      </w:pPr>
      <w:r>
        <w:rPr>
          <w:rFonts w:ascii="宋体"/>
          <w:sz w:val="28"/>
        </w:rPr>
        <w:t>- 10 -</w:t>
      </w:r>
    </w:p>
    <w:p>
      <w:pPr>
        <w:spacing w:after="0" w:line="262" w:lineRule="exact"/>
        <w:jc w:val="right"/>
        <w:rPr>
          <w:rFonts w:ascii="宋体"/>
          <w:sz w:val="28"/>
        </w:rPr>
        <w:sectPr>
          <w:pgSz w:w="11910" w:h="16840"/>
          <w:pgMar w:header="1286" w:footer="1258" w:top="1760" w:bottom="1440" w:left="1480" w:right="1200"/>
        </w:sectPr>
      </w:pPr>
    </w:p>
    <w:p>
      <w:pPr>
        <w:pStyle w:val="BodyText"/>
        <w:spacing w:before="12"/>
        <w:ind w:left="0"/>
        <w:rPr>
          <w:rFonts w:ascii="宋体"/>
          <w:sz w:val="12"/>
        </w:rPr>
      </w:pPr>
    </w:p>
    <w:p>
      <w:pPr>
        <w:pStyle w:val="BodyText"/>
        <w:spacing w:line="36" w:lineRule="exact"/>
        <w:ind w:left="83"/>
        <w:rPr>
          <w:rFonts w:ascii="宋体"/>
          <w:sz w:val="3"/>
        </w:rPr>
      </w:pPr>
      <w:r>
        <w:rPr>
          <w:rFonts w:ascii="宋体"/>
          <w:position w:val="0"/>
          <w:sz w:val="3"/>
        </w:rPr>
        <w:pict>
          <v:group style="width:442.55pt;height:1.75pt;mso-position-horizontal-relative:char;mso-position-vertical-relative:line" coordorigin="0,0" coordsize="8851,35">
            <v:line style="position:absolute" from="0,18" to="8851,18" stroked="true" strokeweight="1.75pt" strokecolor="#005192">
              <v:stroke dashstyle="solid"/>
            </v:line>
          </v:group>
        </w:pict>
      </w:r>
      <w:r>
        <w:rPr>
          <w:rFonts w:ascii="宋体"/>
          <w:position w:val="0"/>
          <w:sz w:val="3"/>
        </w:rPr>
      </w:r>
    </w:p>
    <w:p>
      <w:pPr>
        <w:pStyle w:val="BodyText"/>
        <w:spacing w:line="364" w:lineRule="auto" w:before="93"/>
        <w:ind w:right="158"/>
        <w:jc w:val="both"/>
      </w:pPr>
      <w:r>
        <w:rPr>
          <w:color w:val="333333"/>
          <w:spacing w:val="-6"/>
        </w:rPr>
        <w:t>成审核，系统生成</w:t>
      </w:r>
      <w:r>
        <w:rPr>
          <w:color w:val="333333"/>
        </w:rPr>
        <w:t>（出具</w:t>
      </w:r>
      <w:r>
        <w:rPr>
          <w:color w:val="333333"/>
          <w:spacing w:val="-36"/>
        </w:rPr>
        <w:t>）</w:t>
      </w:r>
      <w:r>
        <w:rPr>
          <w:color w:val="333333"/>
          <w:spacing w:val="-4"/>
        </w:rPr>
        <w:t>《解除监管通知书》，并将信息反馈</w:t>
      </w:r>
      <w:r>
        <w:rPr>
          <w:color w:val="333333"/>
          <w:spacing w:val="-13"/>
        </w:rPr>
        <w:t>至监管银行，开发企业持《解除监管通知书》到监管银行办理监</w:t>
      </w:r>
      <w:r>
        <w:rPr>
          <w:color w:val="333333"/>
          <w:spacing w:val="-16"/>
        </w:rPr>
        <w:t>管账户解除监管事宜。监管账户解除监管信息应当在州住房和城乡建设局门户网站、德宏州房产交易综合服务平台等予以公示。</w:t>
      </w:r>
    </w:p>
    <w:p>
      <w:pPr>
        <w:pStyle w:val="BodyText"/>
        <w:ind w:left="0"/>
      </w:pPr>
    </w:p>
    <w:p>
      <w:pPr>
        <w:pStyle w:val="BodyText"/>
        <w:spacing w:before="217"/>
        <w:ind w:left="2928"/>
        <w:rPr>
          <w:rFonts w:ascii="黑体" w:hAnsi="黑体" w:eastAsia="黑体" w:hint="eastAsia"/>
        </w:rPr>
      </w:pPr>
      <w:r>
        <w:rPr>
          <w:rFonts w:ascii="黑体" w:hAnsi="黑体" w:eastAsia="黑体" w:hint="eastAsia"/>
          <w:color w:val="333333"/>
        </w:rPr>
        <w:t>第三章</w:t>
      </w:r>
      <w:r>
        <w:rPr>
          <w:rFonts w:ascii="Arial" w:hAnsi="Arial" w:eastAsia="Arial"/>
          <w:color w:val="333333"/>
        </w:rPr>
        <w:t> </w:t>
      </w:r>
      <w:r>
        <w:rPr>
          <w:rFonts w:ascii="黑体" w:hAnsi="黑体" w:eastAsia="黑体" w:hint="eastAsia"/>
          <w:color w:val="333333"/>
        </w:rPr>
        <w:t>监管额度确定</w:t>
      </w:r>
    </w:p>
    <w:p>
      <w:pPr>
        <w:pStyle w:val="BodyText"/>
        <w:ind w:left="0"/>
        <w:rPr>
          <w:rFonts w:ascii="黑体"/>
          <w:sz w:val="36"/>
        </w:rPr>
      </w:pPr>
    </w:p>
    <w:p>
      <w:pPr>
        <w:pStyle w:val="BodyText"/>
        <w:spacing w:before="5"/>
        <w:ind w:left="0"/>
        <w:rPr>
          <w:rFonts w:ascii="黑体"/>
          <w:sz w:val="29"/>
        </w:rPr>
      </w:pPr>
    </w:p>
    <w:p>
      <w:pPr>
        <w:pStyle w:val="BodyText"/>
        <w:spacing w:line="364" w:lineRule="auto"/>
        <w:ind w:right="271" w:firstLine="640"/>
        <w:jc w:val="both"/>
      </w:pPr>
      <w:r>
        <w:rPr>
          <w:rFonts w:ascii="黑体" w:hAnsi="黑体" w:eastAsia="黑体" w:hint="eastAsia"/>
          <w:color w:val="333333"/>
          <w:spacing w:val="6"/>
        </w:rPr>
        <w:t>第二十条</w:t>
      </w:r>
      <w:r>
        <w:rPr>
          <w:rFonts w:ascii="Arial" w:hAnsi="Arial" w:eastAsia="Arial"/>
          <w:color w:val="333333"/>
          <w:spacing w:val="7"/>
        </w:rPr>
        <w:t> </w:t>
      </w:r>
      <w:r>
        <w:rPr>
          <w:color w:val="333333"/>
          <w:spacing w:val="5"/>
        </w:rPr>
        <w:t>监管资金分为监管额度内预售资金和监管额度</w:t>
      </w:r>
      <w:r>
        <w:rPr>
          <w:color w:val="333333"/>
          <w:spacing w:val="-8"/>
        </w:rPr>
        <w:t>外预售资金。监管账户内的资金达到监管额度内预售资金后，超出监管额度的资金为监管额度外预售资金。</w:t>
      </w:r>
    </w:p>
    <w:p>
      <w:pPr>
        <w:pStyle w:val="BodyText"/>
        <w:spacing w:line="364" w:lineRule="auto" w:before="2"/>
        <w:ind w:right="158" w:firstLine="640"/>
      </w:pPr>
      <w:r>
        <w:rPr>
          <w:color w:val="333333"/>
        </w:rPr>
        <w:t>监管额度内预售资金，必须用于支付本项目有关工程建设， </w:t>
      </w:r>
      <w:r>
        <w:rPr>
          <w:color w:val="333333"/>
          <w:spacing w:val="-8"/>
        </w:rPr>
        <w:t>确保项目竣工交付所需的资金量，由监管部门和监管银行实施全</w:t>
      </w:r>
      <w:r>
        <w:rPr>
          <w:color w:val="333333"/>
          <w:spacing w:val="-12"/>
        </w:rPr>
        <w:t>程监管，超出监管额度内的预售资金为监管额度外预售资金。监</w:t>
      </w:r>
      <w:r>
        <w:rPr>
          <w:color w:val="333333"/>
          <w:spacing w:val="-15"/>
        </w:rPr>
        <w:t>管额度外预售资金，开发企业通过监管系统自行向监管银行申请</w:t>
      </w:r>
      <w:r>
        <w:rPr>
          <w:color w:val="333333"/>
          <w:spacing w:val="-12"/>
        </w:rPr>
        <w:t>支取，监管银行将资金审核拨付信息同步发送至监管系统，并做好登记。</w:t>
      </w:r>
    </w:p>
    <w:p>
      <w:pPr>
        <w:pStyle w:val="BodyText"/>
        <w:spacing w:line="364" w:lineRule="auto" w:before="5"/>
        <w:ind w:right="271" w:firstLine="640"/>
        <w:jc w:val="both"/>
      </w:pPr>
      <w:r>
        <w:rPr>
          <w:rFonts w:ascii="黑体" w:hAnsi="黑体" w:eastAsia="黑体" w:hint="eastAsia"/>
          <w:color w:val="333333"/>
          <w:spacing w:val="6"/>
        </w:rPr>
        <w:t>第二十一条</w:t>
      </w:r>
      <w:r>
        <w:rPr>
          <w:rFonts w:ascii="Arial" w:hAnsi="Arial" w:eastAsia="Arial"/>
          <w:color w:val="333333"/>
          <w:spacing w:val="7"/>
        </w:rPr>
        <w:t> </w:t>
      </w:r>
      <w:r>
        <w:rPr>
          <w:color w:val="333333"/>
          <w:spacing w:val="5"/>
        </w:rPr>
        <w:t>监管额度内预售资金由监管部门根据本辖区</w:t>
      </w:r>
      <w:r>
        <w:rPr>
          <w:color w:val="333333"/>
          <w:spacing w:val="-5"/>
        </w:rPr>
        <w:t>商品房项目建设工程造价、施工合同金额及项目交付使用条件等</w:t>
      </w:r>
      <w:r>
        <w:rPr>
          <w:color w:val="333333"/>
          <w:spacing w:val="-13"/>
        </w:rPr>
        <w:t>因素确定监管额度核算标准。采用全装饰或成品住宅交付的商品</w:t>
      </w:r>
      <w:r>
        <w:rPr>
          <w:color w:val="333333"/>
          <w:spacing w:val="-14"/>
        </w:rPr>
        <w:t>房项目，应将装修装饰成本纳入工程建设总额。监管额度核算标</w:t>
      </w:r>
    </w:p>
    <w:p>
      <w:pPr>
        <w:pStyle w:val="BodyText"/>
        <w:spacing w:line="359" w:lineRule="exact" w:before="3"/>
        <w:jc w:val="both"/>
      </w:pPr>
      <w:r>
        <w:rPr>
          <w:color w:val="333333"/>
          <w:w w:val="95"/>
        </w:rPr>
        <w:t>准实行动态管理，原则上每三年公告一次，并上报州住房和城乡</w:t>
      </w:r>
    </w:p>
    <w:p>
      <w:pPr>
        <w:spacing w:line="308" w:lineRule="exact" w:before="0"/>
        <w:ind w:left="0" w:right="123" w:firstLine="0"/>
        <w:jc w:val="right"/>
        <w:rPr>
          <w:rFonts w:ascii="宋体"/>
          <w:sz w:val="28"/>
        </w:rPr>
      </w:pPr>
      <w:r>
        <w:rPr>
          <w:rFonts w:ascii="宋体"/>
          <w:sz w:val="28"/>
        </w:rPr>
        <w:t>- 11 -</w:t>
      </w:r>
    </w:p>
    <w:p>
      <w:pPr>
        <w:spacing w:after="0" w:line="308" w:lineRule="exact"/>
        <w:jc w:val="right"/>
        <w:rPr>
          <w:rFonts w:ascii="宋体"/>
          <w:sz w:val="28"/>
        </w:rPr>
        <w:sectPr>
          <w:pgSz w:w="11910" w:h="16840"/>
          <w:pgMar w:header="1286" w:footer="1258" w:top="1760" w:bottom="1440" w:left="1480" w:right="1200"/>
        </w:sectPr>
      </w:pPr>
    </w:p>
    <w:p>
      <w:pPr>
        <w:pStyle w:val="BodyText"/>
        <w:spacing w:before="12"/>
        <w:ind w:left="0"/>
        <w:rPr>
          <w:rFonts w:ascii="宋体"/>
          <w:sz w:val="12"/>
        </w:rPr>
      </w:pPr>
    </w:p>
    <w:p>
      <w:pPr>
        <w:pStyle w:val="BodyText"/>
        <w:spacing w:line="36" w:lineRule="exact"/>
        <w:ind w:left="83"/>
        <w:rPr>
          <w:rFonts w:ascii="宋体"/>
          <w:sz w:val="3"/>
        </w:rPr>
      </w:pPr>
      <w:r>
        <w:rPr>
          <w:rFonts w:ascii="宋体"/>
          <w:position w:val="0"/>
          <w:sz w:val="3"/>
        </w:rPr>
        <w:pict>
          <v:group style="width:442.55pt;height:1.75pt;mso-position-horizontal-relative:char;mso-position-vertical-relative:line" coordorigin="0,0" coordsize="8851,35">
            <v:line style="position:absolute" from="0,18" to="8851,18" stroked="true" strokeweight="1.75pt" strokecolor="#005192">
              <v:stroke dashstyle="solid"/>
            </v:line>
          </v:group>
        </w:pict>
      </w:r>
      <w:r>
        <w:rPr>
          <w:rFonts w:ascii="宋体"/>
          <w:position w:val="0"/>
          <w:sz w:val="3"/>
        </w:rPr>
      </w:r>
    </w:p>
    <w:p>
      <w:pPr>
        <w:pStyle w:val="BodyText"/>
        <w:spacing w:before="93"/>
      </w:pPr>
      <w:r>
        <w:rPr>
          <w:color w:val="333333"/>
          <w:w w:val="95"/>
        </w:rPr>
        <w:t>建设局备案。</w:t>
      </w:r>
    </w:p>
    <w:p>
      <w:pPr>
        <w:pStyle w:val="BodyText"/>
        <w:spacing w:line="364" w:lineRule="auto" w:before="214"/>
        <w:ind w:right="272" w:firstLine="640"/>
        <w:jc w:val="both"/>
      </w:pPr>
      <w:r>
        <w:rPr>
          <w:color w:val="333333"/>
        </w:rPr>
        <w:t>监管额度内预售资金＝（建设工程单位造价*预售楼栋规划建筑面积+装饰装修单位造价*装修部分建筑面积）*信用系数* 保函置换额度</w:t>
      </w:r>
    </w:p>
    <w:p>
      <w:pPr>
        <w:pStyle w:val="BodyText"/>
        <w:spacing w:line="364" w:lineRule="auto" w:before="2"/>
        <w:ind w:right="271" w:firstLine="640"/>
        <w:jc w:val="both"/>
      </w:pPr>
      <w:r>
        <w:rPr>
          <w:color w:val="333333"/>
          <w:spacing w:val="-9"/>
        </w:rPr>
        <w:t>监管额度内预售资金确定后，项目因工程预算变动等原因确</w:t>
      </w:r>
      <w:r>
        <w:rPr>
          <w:color w:val="333333"/>
          <w:spacing w:val="-13"/>
        </w:rPr>
        <w:t>需调整时，开发企业应当在取得规划、工程、销售变更审批文件</w:t>
      </w:r>
      <w:r>
        <w:rPr>
          <w:color w:val="333333"/>
          <w:spacing w:val="-22"/>
        </w:rPr>
        <w:t>等相关变更材料 </w:t>
      </w:r>
      <w:r>
        <w:rPr>
          <w:color w:val="333333"/>
        </w:rPr>
        <w:t>5</w:t>
      </w:r>
      <w:r>
        <w:rPr>
          <w:color w:val="333333"/>
          <w:spacing w:val="-10"/>
        </w:rPr>
        <w:t> 个工作日内报监管部门重新核定。</w:t>
      </w:r>
    </w:p>
    <w:p>
      <w:pPr>
        <w:pStyle w:val="BodyText"/>
        <w:spacing w:line="364" w:lineRule="auto" w:before="3"/>
        <w:ind w:right="114" w:firstLine="640"/>
        <w:jc w:val="both"/>
      </w:pPr>
      <w:r>
        <w:rPr>
          <w:rFonts w:ascii="黑体" w:hAnsi="黑体" w:eastAsia="黑体" w:hint="eastAsia"/>
          <w:color w:val="333333"/>
          <w:spacing w:val="6"/>
        </w:rPr>
        <w:t>第二十二条</w:t>
      </w:r>
      <w:r>
        <w:rPr>
          <w:rFonts w:ascii="Arial" w:hAnsi="Arial" w:eastAsia="Arial"/>
          <w:color w:val="333333"/>
          <w:spacing w:val="7"/>
        </w:rPr>
        <w:t> </w:t>
      </w:r>
      <w:r>
        <w:rPr>
          <w:color w:val="333333"/>
          <w:spacing w:val="5"/>
        </w:rPr>
        <w:t>监管额度内预售资金与开发企业信用综合评</w:t>
      </w:r>
      <w:r>
        <w:rPr>
          <w:color w:val="333333"/>
          <w:spacing w:val="-10"/>
        </w:rPr>
        <w:t>价挂钩，按照企业信用等级实施差别化动态管理，对信用良好的</w:t>
      </w:r>
      <w:r>
        <w:rPr>
          <w:color w:val="333333"/>
          <w:spacing w:val="-16"/>
        </w:rPr>
        <w:t>房地产开发企业适当降低监管额度内资金，对信用不良的房地产</w:t>
      </w:r>
      <w:r>
        <w:rPr>
          <w:color w:val="333333"/>
          <w:spacing w:val="-20"/>
        </w:rPr>
        <w:t>开发企业适当上调监管额度内预售资金额度。综合评定信用等级</w:t>
      </w:r>
      <w:r>
        <w:rPr>
          <w:color w:val="333333"/>
          <w:spacing w:val="-51"/>
        </w:rPr>
        <w:t>为 </w:t>
      </w:r>
      <w:r>
        <w:rPr>
          <w:color w:val="333333"/>
        </w:rPr>
        <w:t>AAA</w:t>
      </w:r>
      <w:r>
        <w:rPr>
          <w:color w:val="333333"/>
          <w:spacing w:val="-25"/>
        </w:rPr>
        <w:t> 级企业下调 </w:t>
      </w:r>
      <w:r>
        <w:rPr>
          <w:color w:val="333333"/>
        </w:rPr>
        <w:t>10</w:t>
      </w:r>
      <w:r>
        <w:rPr>
          <w:color w:val="333333"/>
          <w:spacing w:val="-29"/>
        </w:rPr>
        <w:t>%、</w:t>
      </w:r>
      <w:r>
        <w:rPr>
          <w:color w:val="333333"/>
        </w:rPr>
        <w:t>AA</w:t>
      </w:r>
      <w:r>
        <w:rPr>
          <w:color w:val="333333"/>
          <w:spacing w:val="-25"/>
        </w:rPr>
        <w:t> 级企业下调 </w:t>
      </w:r>
      <w:r>
        <w:rPr>
          <w:color w:val="333333"/>
        </w:rPr>
        <w:t>5%</w:t>
      </w:r>
      <w:r>
        <w:rPr>
          <w:color w:val="333333"/>
          <w:spacing w:val="-58"/>
        </w:rPr>
        <w:t>、</w:t>
      </w:r>
      <w:r>
        <w:rPr>
          <w:color w:val="333333"/>
        </w:rPr>
        <w:t>A</w:t>
      </w:r>
      <w:r>
        <w:rPr>
          <w:color w:val="333333"/>
          <w:spacing w:val="-11"/>
        </w:rPr>
        <w:t> 级企业按正常值核定、B</w:t>
      </w:r>
      <w:r>
        <w:rPr>
          <w:color w:val="333333"/>
          <w:spacing w:val="-23"/>
        </w:rPr>
        <w:t> 级企业上调 </w:t>
      </w:r>
      <w:r>
        <w:rPr>
          <w:color w:val="333333"/>
        </w:rPr>
        <w:t>5%</w:t>
      </w:r>
      <w:r>
        <w:rPr>
          <w:color w:val="333333"/>
          <w:spacing w:val="5"/>
        </w:rPr>
        <w:t>、</w:t>
      </w:r>
      <w:r>
        <w:rPr>
          <w:color w:val="333333"/>
        </w:rPr>
        <w:t>C</w:t>
      </w:r>
      <w:r>
        <w:rPr>
          <w:color w:val="333333"/>
          <w:spacing w:val="-23"/>
        </w:rPr>
        <w:t> 级企业上调 </w:t>
      </w:r>
      <w:r>
        <w:rPr>
          <w:color w:val="333333"/>
        </w:rPr>
        <w:t>10%。列入白名单或德宏州</w:t>
      </w:r>
      <w:r>
        <w:rPr>
          <w:color w:val="333333"/>
          <w:spacing w:val="-9"/>
        </w:rPr>
        <w:t>优质开发企业的，在每个拨付节点的最低留存比例上可降低 </w:t>
      </w:r>
      <w:r>
        <w:rPr>
          <w:color w:val="333333"/>
        </w:rPr>
        <w:t>5%。</w:t>
      </w:r>
    </w:p>
    <w:p>
      <w:pPr>
        <w:pStyle w:val="BodyText"/>
        <w:spacing w:line="364" w:lineRule="auto" w:before="5"/>
        <w:ind w:right="271" w:firstLine="640"/>
        <w:jc w:val="both"/>
      </w:pPr>
      <w:r>
        <w:rPr>
          <w:color w:val="333333"/>
          <w:spacing w:val="-7"/>
        </w:rPr>
        <w:t>金融主管部门认为开发企业存在金融风险，或监管部门认为</w:t>
      </w:r>
      <w:r>
        <w:rPr>
          <w:color w:val="333333"/>
          <w:spacing w:val="-12"/>
          <w:w w:val="95"/>
        </w:rPr>
        <w:t>存在社会风险隐患的，经县</w:t>
      </w:r>
      <w:r>
        <w:rPr>
          <w:color w:val="333333"/>
          <w:w w:val="95"/>
        </w:rPr>
        <w:t>（市</w:t>
      </w:r>
      <w:r>
        <w:rPr>
          <w:color w:val="333333"/>
          <w:spacing w:val="-29"/>
          <w:w w:val="95"/>
        </w:rPr>
        <w:t>）</w:t>
      </w:r>
      <w:r>
        <w:rPr>
          <w:color w:val="333333"/>
          <w:spacing w:val="-4"/>
          <w:w w:val="95"/>
        </w:rPr>
        <w:t>人民政府同意，暂停上述降低 </w:t>
      </w:r>
      <w:r>
        <w:rPr>
          <w:color w:val="333333"/>
          <w:spacing w:val="-4"/>
        </w:rPr>
        <w:t>比例优惠政策。</w:t>
      </w:r>
    </w:p>
    <w:p>
      <w:pPr>
        <w:pStyle w:val="BodyText"/>
        <w:spacing w:line="364" w:lineRule="auto" w:before="2"/>
        <w:ind w:right="273" w:firstLine="640"/>
        <w:jc w:val="both"/>
      </w:pPr>
      <w:r>
        <w:rPr>
          <w:color w:val="333333"/>
          <w:spacing w:val="-8"/>
        </w:rPr>
        <w:t>因开发企业信用等级正常升、降级变化，导致预售资金监管</w:t>
      </w:r>
      <w:r>
        <w:rPr>
          <w:color w:val="333333"/>
          <w:spacing w:val="-13"/>
        </w:rPr>
        <w:t>比例不一致的，已签订三方监管协议的项目按原协议执行，新签</w:t>
      </w:r>
      <w:r>
        <w:rPr>
          <w:color w:val="333333"/>
          <w:spacing w:val="-16"/>
        </w:rPr>
        <w:t>订监管协议的项目，按照开发企业当下信用等级评定公示结果核</w:t>
      </w:r>
    </w:p>
    <w:p>
      <w:pPr>
        <w:pStyle w:val="BodyText"/>
        <w:spacing w:line="347" w:lineRule="exact" w:before="3"/>
      </w:pPr>
      <w:r>
        <w:rPr>
          <w:color w:val="333333"/>
        </w:rPr>
        <w:t>定预售资金监管政策。</w:t>
      </w:r>
    </w:p>
    <w:p>
      <w:pPr>
        <w:spacing w:line="320" w:lineRule="exact" w:before="0"/>
        <w:ind w:left="0" w:right="123" w:firstLine="0"/>
        <w:jc w:val="right"/>
        <w:rPr>
          <w:rFonts w:ascii="宋体"/>
          <w:sz w:val="28"/>
        </w:rPr>
      </w:pPr>
      <w:r>
        <w:rPr>
          <w:rFonts w:ascii="宋体"/>
          <w:sz w:val="28"/>
        </w:rPr>
        <w:t>- 12 -</w:t>
      </w:r>
    </w:p>
    <w:p>
      <w:pPr>
        <w:spacing w:after="0" w:line="320" w:lineRule="exact"/>
        <w:jc w:val="right"/>
        <w:rPr>
          <w:rFonts w:ascii="宋体"/>
          <w:sz w:val="28"/>
        </w:rPr>
        <w:sectPr>
          <w:pgSz w:w="11910" w:h="16840"/>
          <w:pgMar w:header="1286" w:footer="1258" w:top="1760" w:bottom="1440" w:left="1480" w:right="1200"/>
        </w:sectPr>
      </w:pPr>
    </w:p>
    <w:p>
      <w:pPr>
        <w:pStyle w:val="BodyText"/>
        <w:spacing w:before="12"/>
        <w:ind w:left="0"/>
        <w:rPr>
          <w:rFonts w:ascii="宋体"/>
          <w:sz w:val="12"/>
        </w:rPr>
      </w:pPr>
    </w:p>
    <w:p>
      <w:pPr>
        <w:pStyle w:val="BodyText"/>
        <w:spacing w:line="36" w:lineRule="exact"/>
        <w:ind w:left="83"/>
        <w:rPr>
          <w:rFonts w:ascii="宋体"/>
          <w:sz w:val="3"/>
        </w:rPr>
      </w:pPr>
      <w:r>
        <w:rPr>
          <w:rFonts w:ascii="宋体"/>
          <w:position w:val="0"/>
          <w:sz w:val="3"/>
        </w:rPr>
        <w:pict>
          <v:group style="width:442.55pt;height:1.75pt;mso-position-horizontal-relative:char;mso-position-vertical-relative:line" coordorigin="0,0" coordsize="8851,35">
            <v:line style="position:absolute" from="0,18" to="8851,18" stroked="true" strokeweight="1.75pt" strokecolor="#005192">
              <v:stroke dashstyle="solid"/>
            </v:line>
          </v:group>
        </w:pict>
      </w:r>
      <w:r>
        <w:rPr>
          <w:rFonts w:ascii="宋体"/>
          <w:position w:val="0"/>
          <w:sz w:val="3"/>
        </w:rPr>
      </w:r>
    </w:p>
    <w:p>
      <w:pPr>
        <w:pStyle w:val="BodyText"/>
        <w:spacing w:line="364" w:lineRule="auto" w:before="93"/>
        <w:ind w:right="114" w:firstLine="640"/>
        <w:jc w:val="both"/>
      </w:pPr>
      <w:r>
        <w:rPr>
          <w:rFonts w:ascii="黑体" w:hAnsi="黑体" w:eastAsia="黑体" w:hint="eastAsia"/>
          <w:color w:val="333333"/>
        </w:rPr>
        <w:t>第二十三条</w:t>
      </w:r>
      <w:r>
        <w:rPr>
          <w:rFonts w:ascii="Arial" w:hAnsi="Arial" w:eastAsia="Arial"/>
          <w:color w:val="333333"/>
        </w:rPr>
        <w:t> </w:t>
      </w:r>
      <w:r>
        <w:rPr>
          <w:color w:val="333333"/>
          <w:spacing w:val="-8"/>
        </w:rPr>
        <w:t>允许开发企业使用见索即付性“银行保函”替</w:t>
      </w:r>
      <w:r>
        <w:rPr>
          <w:color w:val="333333"/>
          <w:spacing w:val="-14"/>
        </w:rPr>
        <w:t>换同等额度的监管额度内预售资金。按照《中国银保监会办公厅</w:t>
      </w:r>
      <w:r>
        <w:rPr>
          <w:color w:val="333333"/>
          <w:spacing w:val="-12"/>
        </w:rPr>
        <w:t>住房和城乡建设部办公厅 中国人民银行办公厅关于商业银行出</w:t>
      </w:r>
      <w:r>
        <w:rPr>
          <w:color w:val="333333"/>
          <w:spacing w:val="-21"/>
          <w:w w:val="95"/>
        </w:rPr>
        <w:t>具保函置换预售监管资金有关工作的通知》</w:t>
      </w:r>
      <w:r>
        <w:rPr>
          <w:color w:val="333333"/>
          <w:w w:val="95"/>
        </w:rPr>
        <w:t>（</w:t>
      </w:r>
      <w:r>
        <w:rPr>
          <w:color w:val="333333"/>
          <w:spacing w:val="-16"/>
          <w:w w:val="95"/>
        </w:rPr>
        <w:t>银保监办发〔</w:t>
      </w:r>
      <w:r>
        <w:rPr>
          <w:color w:val="333333"/>
          <w:w w:val="95"/>
        </w:rPr>
        <w:t>2022〕</w:t>
      </w:r>
    </w:p>
    <w:p>
      <w:pPr>
        <w:pStyle w:val="BodyText"/>
        <w:spacing w:before="3"/>
      </w:pPr>
      <w:r>
        <w:rPr>
          <w:color w:val="333333"/>
        </w:rPr>
        <w:t>104 号）的相关规定执行。</w:t>
      </w:r>
    </w:p>
    <w:p>
      <w:pPr>
        <w:pStyle w:val="BodyText"/>
        <w:spacing w:line="364" w:lineRule="auto" w:before="214"/>
        <w:ind w:right="271" w:firstLine="640"/>
        <w:jc w:val="both"/>
      </w:pPr>
      <w:r>
        <w:rPr>
          <w:color w:val="333333"/>
        </w:rPr>
        <w:t>（一</w:t>
      </w:r>
      <w:r>
        <w:rPr>
          <w:color w:val="333333"/>
          <w:spacing w:val="-58"/>
        </w:rPr>
        <w:t>）</w:t>
      </w:r>
      <w:r>
        <w:rPr>
          <w:color w:val="333333"/>
          <w:spacing w:val="-5"/>
        </w:rPr>
        <w:t>根据开发企业信用等级，对满足合同网签备案及预售</w:t>
      </w:r>
      <w:r>
        <w:rPr>
          <w:color w:val="333333"/>
          <w:spacing w:val="-12"/>
        </w:rPr>
        <w:t>监管资金缴存正常、工程建设进度正常等条件的监管项目，可通</w:t>
      </w:r>
      <w:r>
        <w:rPr>
          <w:color w:val="333333"/>
          <w:spacing w:val="-16"/>
        </w:rPr>
        <w:t>过保函置换监管额度。保函置换金额不得超过监管账户中确保项</w:t>
      </w:r>
      <w:r>
        <w:rPr>
          <w:color w:val="333333"/>
          <w:spacing w:val="-22"/>
        </w:rPr>
        <w:t>目竣工交付所需的资金额度的 </w:t>
      </w:r>
      <w:r>
        <w:rPr>
          <w:color w:val="333333"/>
          <w:spacing w:val="-9"/>
        </w:rPr>
        <w:t>30</w:t>
      </w:r>
      <w:r>
        <w:rPr>
          <w:color w:val="333333"/>
          <w:spacing w:val="-4"/>
        </w:rPr>
        <w:t>%，置换后的监管资金不得低于</w:t>
      </w:r>
      <w:r>
        <w:rPr>
          <w:color w:val="333333"/>
          <w:spacing w:val="-8"/>
        </w:rPr>
        <w:t>监管账户中确保项目竣工交付所需的资金额度的 </w:t>
      </w:r>
      <w:r>
        <w:rPr>
          <w:color w:val="333333"/>
        </w:rPr>
        <w:t>70%。</w:t>
      </w:r>
    </w:p>
    <w:p>
      <w:pPr>
        <w:pStyle w:val="BodyText"/>
        <w:spacing w:before="4"/>
        <w:ind w:left="747"/>
      </w:pPr>
      <w:r>
        <w:rPr>
          <w:color w:val="333333"/>
        </w:rPr>
        <w:t>1.开发企业信用等级为 AAA 级的，可置换监管额度不超过</w:t>
      </w:r>
    </w:p>
    <w:p>
      <w:pPr>
        <w:pStyle w:val="BodyText"/>
        <w:spacing w:before="214"/>
      </w:pPr>
      <w:r>
        <w:rPr>
          <w:color w:val="333333"/>
        </w:rPr>
        <w:t>30%；</w:t>
      </w:r>
    </w:p>
    <w:p>
      <w:pPr>
        <w:pStyle w:val="BodyText"/>
        <w:spacing w:before="214"/>
        <w:ind w:left="747"/>
      </w:pPr>
      <w:r>
        <w:rPr>
          <w:color w:val="333333"/>
        </w:rPr>
        <w:t>2.开发企业信用等级为 AA 级的，可置换监管额度不超过</w:t>
      </w:r>
    </w:p>
    <w:p>
      <w:pPr>
        <w:pStyle w:val="BodyText"/>
        <w:spacing w:before="214"/>
      </w:pPr>
      <w:r>
        <w:rPr>
          <w:color w:val="333333"/>
        </w:rPr>
        <w:t>20%；</w:t>
      </w:r>
    </w:p>
    <w:p>
      <w:pPr>
        <w:pStyle w:val="BodyText"/>
        <w:spacing w:before="214"/>
        <w:ind w:left="747"/>
      </w:pPr>
      <w:r>
        <w:rPr>
          <w:color w:val="333333"/>
        </w:rPr>
        <w:t>3</w:t>
      </w:r>
      <w:r>
        <w:rPr>
          <w:color w:val="333333"/>
          <w:spacing w:val="-9"/>
        </w:rPr>
        <w:t>.开发企业信用等级为 </w:t>
      </w:r>
      <w:r>
        <w:rPr>
          <w:color w:val="333333"/>
        </w:rPr>
        <w:t>A</w:t>
      </w:r>
      <w:r>
        <w:rPr>
          <w:color w:val="333333"/>
          <w:spacing w:val="-27"/>
        </w:rPr>
        <w:t> 级的，可置换监管额度不超过 </w:t>
      </w:r>
      <w:r>
        <w:rPr>
          <w:color w:val="333333"/>
        </w:rPr>
        <w:t>10%。</w:t>
      </w:r>
    </w:p>
    <w:p>
      <w:pPr>
        <w:pStyle w:val="BodyText"/>
        <w:spacing w:line="620" w:lineRule="atLeast" w:before="4"/>
        <w:ind w:right="271" w:firstLine="640"/>
        <w:jc w:val="both"/>
      </w:pPr>
      <w:r>
        <w:rPr>
          <w:color w:val="333333"/>
        </w:rPr>
        <w:t>（二</w:t>
      </w:r>
      <w:r>
        <w:rPr>
          <w:color w:val="333333"/>
          <w:spacing w:val="-39"/>
        </w:rPr>
        <w:t>）</w:t>
      </w:r>
      <w:r>
        <w:rPr>
          <w:color w:val="333333"/>
          <w:spacing w:val="-5"/>
        </w:rPr>
        <w:t>出具保函的商业银行对保函的合法性、真实性、担保</w:t>
      </w:r>
      <w:r>
        <w:rPr>
          <w:color w:val="333333"/>
          <w:spacing w:val="-12"/>
        </w:rPr>
        <w:t>事项、担保金额、担保期限及保函银行赔付能力、保函的证明文件、保管保函正本、凭保函释放监管资金、保函风险事项发生时</w:t>
      </w:r>
      <w:r>
        <w:rPr>
          <w:color w:val="333333"/>
          <w:spacing w:val="-18"/>
        </w:rPr>
        <w:t>追偿保函替代释放的监管资金等事宜，在保函期限内承担不可撤</w:t>
      </w:r>
      <w:r>
        <w:rPr>
          <w:color w:val="333333"/>
          <w:spacing w:val="-16"/>
        </w:rPr>
        <w:t>销的连带责任，并且不能以任何理由对抗索赔请求，确保权利相对人权益不受损失。当出现索赔情形且监管部门发起索赔时，保</w:t>
      </w:r>
    </w:p>
    <w:p>
      <w:pPr>
        <w:spacing w:line="278" w:lineRule="exact" w:before="0"/>
        <w:ind w:left="0" w:right="123" w:firstLine="0"/>
        <w:jc w:val="right"/>
        <w:rPr>
          <w:rFonts w:ascii="宋体"/>
          <w:sz w:val="28"/>
        </w:rPr>
      </w:pPr>
      <w:r>
        <w:rPr>
          <w:rFonts w:ascii="宋体"/>
          <w:sz w:val="28"/>
        </w:rPr>
        <w:t>- 13 -</w:t>
      </w:r>
    </w:p>
    <w:p>
      <w:pPr>
        <w:spacing w:after="0" w:line="278" w:lineRule="exact"/>
        <w:jc w:val="right"/>
        <w:rPr>
          <w:rFonts w:ascii="宋体"/>
          <w:sz w:val="28"/>
        </w:rPr>
        <w:sectPr>
          <w:pgSz w:w="11910" w:h="16840"/>
          <w:pgMar w:header="1286" w:footer="1258" w:top="1760" w:bottom="1440" w:left="1480" w:right="1200"/>
        </w:sectPr>
      </w:pPr>
    </w:p>
    <w:p>
      <w:pPr>
        <w:pStyle w:val="BodyText"/>
        <w:spacing w:before="12"/>
        <w:ind w:left="0"/>
        <w:rPr>
          <w:rFonts w:ascii="宋体"/>
          <w:sz w:val="12"/>
        </w:rPr>
      </w:pPr>
    </w:p>
    <w:p>
      <w:pPr>
        <w:pStyle w:val="BodyText"/>
        <w:spacing w:line="36" w:lineRule="exact"/>
        <w:ind w:left="83"/>
        <w:rPr>
          <w:rFonts w:ascii="宋体"/>
          <w:sz w:val="3"/>
        </w:rPr>
      </w:pPr>
      <w:r>
        <w:rPr>
          <w:rFonts w:ascii="宋体"/>
          <w:position w:val="0"/>
          <w:sz w:val="3"/>
        </w:rPr>
        <w:pict>
          <v:group style="width:442.55pt;height:1.75pt;mso-position-horizontal-relative:char;mso-position-vertical-relative:line" coordorigin="0,0" coordsize="8851,35">
            <v:line style="position:absolute" from="0,18" to="8851,18" stroked="true" strokeweight="1.75pt" strokecolor="#005192">
              <v:stroke dashstyle="solid"/>
            </v:line>
          </v:group>
        </w:pict>
      </w:r>
      <w:r>
        <w:rPr>
          <w:rFonts w:ascii="宋体"/>
          <w:position w:val="0"/>
          <w:sz w:val="3"/>
        </w:rPr>
      </w:r>
    </w:p>
    <w:p>
      <w:pPr>
        <w:pStyle w:val="BodyText"/>
        <w:spacing w:before="93"/>
      </w:pPr>
      <w:r>
        <w:rPr>
          <w:color w:val="333333"/>
        </w:rPr>
        <w:t>函开具机构应当将索赔资金存入监管账户。</w:t>
      </w:r>
    </w:p>
    <w:p>
      <w:pPr>
        <w:pStyle w:val="BodyText"/>
        <w:spacing w:line="364" w:lineRule="auto" w:before="214"/>
        <w:ind w:right="158" w:firstLine="640"/>
        <w:jc w:val="both"/>
      </w:pPr>
      <w:r>
        <w:rPr>
          <w:color w:val="333333"/>
        </w:rPr>
        <w:t>（三</w:t>
      </w:r>
      <w:r>
        <w:rPr>
          <w:color w:val="333333"/>
          <w:spacing w:val="-115"/>
        </w:rPr>
        <w:t>）</w:t>
      </w:r>
      <w:r>
        <w:rPr>
          <w:color w:val="333333"/>
        </w:rPr>
        <w:t>开发企业通过监管系统向监管部门提交商业银行出具</w:t>
      </w:r>
      <w:r>
        <w:rPr>
          <w:color w:val="333333"/>
          <w:spacing w:val="-12"/>
        </w:rPr>
        <w:t>的见索即付性“银行保函”后，申请拨付预售资金监管账户相应</w:t>
      </w:r>
      <w:r>
        <w:rPr>
          <w:color w:val="333333"/>
          <w:spacing w:val="-17"/>
        </w:rPr>
        <w:t>额度资金的，监管部门自受理之日起 </w:t>
      </w:r>
      <w:r>
        <w:rPr>
          <w:color w:val="333333"/>
        </w:rPr>
        <w:t>3</w:t>
      </w:r>
      <w:r>
        <w:rPr>
          <w:color w:val="333333"/>
          <w:spacing w:val="-14"/>
        </w:rPr>
        <w:t> 个工作日内完成审核，审核通过的，由监管系统向监管银行发送同意拨款的电子信息，监</w:t>
      </w:r>
      <w:r>
        <w:rPr>
          <w:color w:val="333333"/>
          <w:spacing w:val="-26"/>
        </w:rPr>
        <w:t>管银行应在 </w:t>
      </w:r>
      <w:r>
        <w:rPr>
          <w:color w:val="333333"/>
        </w:rPr>
        <w:t>2</w:t>
      </w:r>
      <w:r>
        <w:rPr>
          <w:color w:val="333333"/>
          <w:spacing w:val="-10"/>
        </w:rPr>
        <w:t> 个工作日内拨付资金，并等额减少账户管理额度。</w:t>
      </w:r>
    </w:p>
    <w:p>
      <w:pPr>
        <w:pStyle w:val="BodyText"/>
        <w:spacing w:line="364" w:lineRule="auto" w:before="4"/>
        <w:ind w:right="273" w:firstLine="640"/>
        <w:jc w:val="both"/>
      </w:pPr>
      <w:r>
        <w:rPr>
          <w:color w:val="333333"/>
        </w:rPr>
        <w:t>（四）</w:t>
      </w:r>
      <w:r>
        <w:rPr>
          <w:color w:val="333333"/>
          <w:spacing w:val="-13"/>
        </w:rPr>
        <w:t>保函到期前 </w:t>
      </w:r>
      <w:r>
        <w:rPr>
          <w:color w:val="333333"/>
        </w:rPr>
        <w:t>10</w:t>
      </w:r>
      <w:r>
        <w:rPr>
          <w:color w:val="333333"/>
          <w:spacing w:val="-9"/>
        </w:rPr>
        <w:t> 个工作日内，开发企业应提供续保证</w:t>
      </w:r>
      <w:r>
        <w:rPr>
          <w:color w:val="333333"/>
          <w:spacing w:val="-15"/>
        </w:rPr>
        <w:t>明文件或重新开立保函，未延期或未重新开立保函的开发企业应</w:t>
      </w:r>
      <w:r>
        <w:rPr>
          <w:color w:val="333333"/>
          <w:spacing w:val="5"/>
        </w:rPr>
        <w:t>将后续工程资金使用节点的监管资金存入相应监管账户内进行监管。</w:t>
      </w:r>
    </w:p>
    <w:p>
      <w:pPr>
        <w:pStyle w:val="BodyText"/>
        <w:spacing w:line="364" w:lineRule="auto" w:before="3"/>
        <w:ind w:right="158" w:firstLine="640"/>
      </w:pPr>
      <w:r>
        <w:rPr>
          <w:color w:val="333333"/>
        </w:rPr>
        <w:t>（五</w:t>
      </w:r>
      <w:r>
        <w:rPr>
          <w:color w:val="333333"/>
          <w:spacing w:val="-58"/>
        </w:rPr>
        <w:t>）</w:t>
      </w:r>
      <w:r>
        <w:rPr>
          <w:color w:val="333333"/>
          <w:spacing w:val="-4"/>
        </w:rPr>
        <w:t>开展保函业务的商业银行提前终止保函的，应当将担保对应的金额存入监管账户后，免除保函担保责任，注销保函。</w:t>
      </w:r>
      <w:r>
        <w:rPr>
          <w:color w:val="333333"/>
          <w:spacing w:val="5"/>
        </w:rPr>
        <w:t>索赔金额应不少于担保金额中后续工程资金使用节点的监管资金。</w:t>
      </w:r>
    </w:p>
    <w:p>
      <w:pPr>
        <w:pStyle w:val="BodyText"/>
        <w:ind w:left="0"/>
      </w:pPr>
    </w:p>
    <w:p>
      <w:pPr>
        <w:pStyle w:val="BodyText"/>
        <w:spacing w:before="217"/>
        <w:ind w:left="2768"/>
        <w:rPr>
          <w:rFonts w:ascii="黑体" w:hAnsi="黑体" w:eastAsia="黑体" w:hint="eastAsia"/>
        </w:rPr>
      </w:pPr>
      <w:r>
        <w:rPr>
          <w:rFonts w:ascii="黑体" w:hAnsi="黑体" w:eastAsia="黑体" w:hint="eastAsia"/>
          <w:color w:val="333333"/>
        </w:rPr>
        <w:t>第四章</w:t>
      </w:r>
      <w:r>
        <w:rPr>
          <w:rFonts w:ascii="Arial" w:hAnsi="Arial" w:eastAsia="Arial"/>
          <w:color w:val="333333"/>
        </w:rPr>
        <w:t> </w:t>
      </w:r>
      <w:r>
        <w:rPr>
          <w:rFonts w:ascii="黑体" w:hAnsi="黑体" w:eastAsia="黑体" w:hint="eastAsia"/>
          <w:color w:val="333333"/>
        </w:rPr>
        <w:t>预售资金的收存</w:t>
      </w:r>
    </w:p>
    <w:p>
      <w:pPr>
        <w:pStyle w:val="BodyText"/>
        <w:ind w:left="0"/>
        <w:rPr>
          <w:rFonts w:ascii="黑体"/>
          <w:sz w:val="49"/>
        </w:rPr>
      </w:pPr>
    </w:p>
    <w:p>
      <w:pPr>
        <w:pStyle w:val="BodyText"/>
        <w:spacing w:line="620" w:lineRule="atLeast"/>
        <w:ind w:right="271" w:firstLine="640"/>
        <w:jc w:val="both"/>
      </w:pPr>
      <w:r>
        <w:rPr>
          <w:rFonts w:ascii="黑体" w:hAnsi="黑体" w:eastAsia="黑体" w:hint="eastAsia"/>
          <w:color w:val="333333"/>
          <w:spacing w:val="6"/>
        </w:rPr>
        <w:t>第二十四条</w:t>
      </w:r>
      <w:r>
        <w:rPr>
          <w:rFonts w:ascii="Arial" w:hAnsi="Arial" w:eastAsia="Arial"/>
          <w:color w:val="333333"/>
          <w:spacing w:val="7"/>
        </w:rPr>
        <w:t> </w:t>
      </w:r>
      <w:r>
        <w:rPr>
          <w:color w:val="333333"/>
          <w:spacing w:val="5"/>
        </w:rPr>
        <w:t>开发企业与购房人签订商品房预订协议书或</w:t>
      </w:r>
      <w:r>
        <w:rPr>
          <w:color w:val="333333"/>
          <w:spacing w:val="-5"/>
        </w:rPr>
        <w:t>商品房买卖合同时，应当将预售资金交存有关规定、监管银行及</w:t>
      </w:r>
      <w:r>
        <w:rPr>
          <w:color w:val="333333"/>
          <w:spacing w:val="-13"/>
        </w:rPr>
        <w:t>账户等信息明确告知购房人，确保购房人支付购房款时明确知晓</w:t>
      </w:r>
      <w:r>
        <w:rPr>
          <w:color w:val="333333"/>
          <w:spacing w:val="-15"/>
          <w:w w:val="95"/>
        </w:rPr>
        <w:t>资金需进入监管账户。购房人支付的定金、预付款、首付款、分</w:t>
      </w:r>
    </w:p>
    <w:p>
      <w:pPr>
        <w:spacing w:line="270" w:lineRule="exact" w:before="0"/>
        <w:ind w:left="0" w:right="123" w:firstLine="0"/>
        <w:jc w:val="right"/>
        <w:rPr>
          <w:rFonts w:ascii="宋体"/>
          <w:sz w:val="28"/>
        </w:rPr>
      </w:pPr>
      <w:r>
        <w:rPr>
          <w:rFonts w:ascii="宋体"/>
          <w:sz w:val="28"/>
        </w:rPr>
        <w:t>- 14 -</w:t>
      </w:r>
    </w:p>
    <w:p>
      <w:pPr>
        <w:spacing w:after="0" w:line="270" w:lineRule="exact"/>
        <w:jc w:val="right"/>
        <w:rPr>
          <w:rFonts w:ascii="宋体"/>
          <w:sz w:val="28"/>
        </w:rPr>
        <w:sectPr>
          <w:pgSz w:w="11910" w:h="16840"/>
          <w:pgMar w:header="1286" w:footer="1258" w:top="1760" w:bottom="1440" w:left="1480" w:right="1200"/>
        </w:sectPr>
      </w:pPr>
    </w:p>
    <w:p>
      <w:pPr>
        <w:pStyle w:val="BodyText"/>
        <w:spacing w:before="12"/>
        <w:ind w:left="0"/>
        <w:rPr>
          <w:rFonts w:ascii="宋体"/>
          <w:sz w:val="12"/>
        </w:rPr>
      </w:pPr>
    </w:p>
    <w:p>
      <w:pPr>
        <w:pStyle w:val="BodyText"/>
        <w:spacing w:line="36" w:lineRule="exact"/>
        <w:ind w:left="83"/>
        <w:rPr>
          <w:rFonts w:ascii="宋体"/>
          <w:sz w:val="3"/>
        </w:rPr>
      </w:pPr>
      <w:r>
        <w:rPr>
          <w:rFonts w:ascii="宋体"/>
          <w:position w:val="0"/>
          <w:sz w:val="3"/>
        </w:rPr>
        <w:pict>
          <v:group style="width:442.55pt;height:1.75pt;mso-position-horizontal-relative:char;mso-position-vertical-relative:line" coordorigin="0,0" coordsize="8851,35">
            <v:line style="position:absolute" from="0,18" to="8851,18" stroked="true" strokeweight="1.75pt" strokecolor="#005192">
              <v:stroke dashstyle="solid"/>
            </v:line>
          </v:group>
        </w:pict>
      </w:r>
      <w:r>
        <w:rPr>
          <w:rFonts w:ascii="宋体"/>
          <w:position w:val="0"/>
          <w:sz w:val="3"/>
        </w:rPr>
      </w:r>
    </w:p>
    <w:p>
      <w:pPr>
        <w:pStyle w:val="BodyText"/>
        <w:spacing w:line="364" w:lineRule="auto" w:before="93"/>
        <w:ind w:right="158"/>
      </w:pPr>
      <w:r>
        <w:rPr>
          <w:color w:val="333333"/>
          <w:spacing w:val="-11"/>
        </w:rPr>
        <w:t>期付款、一次性付款、银行按揭贷款、住房公积金贷款和其他形式的购房款等应当全部直接存入监管账户，不得存入其他账户， </w:t>
      </w:r>
      <w:r>
        <w:rPr>
          <w:color w:val="333333"/>
          <w:spacing w:val="-16"/>
        </w:rPr>
        <w:t>并统一使用监管系统实施监管，所有预售资金的往来均通过监管系统审批执行。</w:t>
      </w:r>
    </w:p>
    <w:p>
      <w:pPr>
        <w:pStyle w:val="BodyText"/>
        <w:spacing w:line="364" w:lineRule="auto" w:before="3"/>
        <w:ind w:right="114" w:firstLine="640"/>
      </w:pPr>
      <w:r>
        <w:rPr>
          <w:rFonts w:ascii="黑体" w:hAnsi="黑体" w:eastAsia="黑体" w:hint="eastAsia"/>
          <w:color w:val="333333"/>
          <w:spacing w:val="6"/>
        </w:rPr>
        <w:t>第二十五条</w:t>
      </w:r>
      <w:r>
        <w:rPr>
          <w:rFonts w:ascii="Arial" w:hAnsi="Arial" w:eastAsia="Arial"/>
          <w:color w:val="333333"/>
          <w:spacing w:val="7"/>
        </w:rPr>
        <w:t> </w:t>
      </w:r>
      <w:r>
        <w:rPr>
          <w:color w:val="333333"/>
          <w:spacing w:val="5"/>
        </w:rPr>
        <w:t>州住房和城乡建设局会同州市场监管局制定</w:t>
      </w:r>
      <w:r>
        <w:rPr>
          <w:color w:val="333333"/>
          <w:spacing w:val="-7"/>
          <w:w w:val="95"/>
        </w:rPr>
        <w:t>商品房预订协议书</w:t>
      </w:r>
      <w:r>
        <w:rPr>
          <w:color w:val="333333"/>
          <w:w w:val="95"/>
        </w:rPr>
        <w:t>（指导文本</w:t>
      </w:r>
      <w:r>
        <w:rPr>
          <w:color w:val="333333"/>
          <w:spacing w:val="-90"/>
          <w:w w:val="95"/>
        </w:rPr>
        <w:t>）</w:t>
      </w:r>
      <w:r>
        <w:rPr>
          <w:color w:val="333333"/>
          <w:spacing w:val="-10"/>
          <w:w w:val="95"/>
        </w:rPr>
        <w:t>，实施商品房预订协议网签制度。 </w:t>
      </w:r>
      <w:r>
        <w:rPr>
          <w:color w:val="333333"/>
          <w:spacing w:val="-26"/>
        </w:rPr>
        <w:t>商品房销售过程中有认购、预订行为的，开发企业应与购房人</w:t>
      </w:r>
      <w:r>
        <w:rPr>
          <w:color w:val="333333"/>
        </w:rPr>
        <w:t>（认购人</w:t>
      </w:r>
      <w:r>
        <w:rPr>
          <w:color w:val="333333"/>
          <w:spacing w:val="-39"/>
        </w:rPr>
        <w:t>）</w:t>
      </w:r>
      <w:r>
        <w:rPr>
          <w:color w:val="333333"/>
          <w:spacing w:val="-5"/>
        </w:rPr>
        <w:t>通过网签系统签订商品房预订协议书，填写预订信息。预</w:t>
      </w:r>
      <w:r>
        <w:rPr>
          <w:color w:val="333333"/>
          <w:spacing w:val="-18"/>
          <w:w w:val="95"/>
        </w:rPr>
        <w:t>订协议应包括当事人姓名或名称、预订房地产坐落、面积、价格、 </w:t>
      </w:r>
      <w:r>
        <w:rPr>
          <w:color w:val="333333"/>
          <w:spacing w:val="-15"/>
        </w:rPr>
        <w:t>预订期限、定金数额及违约处理办法等内容。签订商品房买卖合同时可自动读取已填写购房人（认购人）以及定金等信息。</w:t>
      </w:r>
    </w:p>
    <w:p>
      <w:pPr>
        <w:pStyle w:val="BodyText"/>
        <w:spacing w:line="364" w:lineRule="auto" w:before="6"/>
        <w:ind w:right="114" w:firstLine="640"/>
      </w:pPr>
      <w:r>
        <w:rPr>
          <w:color w:val="333333"/>
          <w:spacing w:val="-11"/>
        </w:rPr>
        <w:t>开发企业收取定金的，定金数额应当在总房价款的百分之二</w:t>
      </w:r>
      <w:r>
        <w:rPr>
          <w:color w:val="333333"/>
          <w:spacing w:val="-21"/>
          <w:w w:val="95"/>
        </w:rPr>
        <w:t>十以内确定。双方在签订商品房买卖合同后，定金应当充抵房款。 </w:t>
      </w:r>
      <w:r>
        <w:rPr>
          <w:color w:val="333333"/>
          <w:spacing w:val="-23"/>
        </w:rPr>
        <w:t>购房人</w:t>
      </w:r>
      <w:r>
        <w:rPr>
          <w:color w:val="333333"/>
          <w:spacing w:val="-3"/>
        </w:rPr>
        <w:t>（</w:t>
      </w:r>
      <w:r>
        <w:rPr>
          <w:color w:val="333333"/>
        </w:rPr>
        <w:t>认购人</w:t>
      </w:r>
      <w:r>
        <w:rPr>
          <w:color w:val="333333"/>
          <w:spacing w:val="-27"/>
        </w:rPr>
        <w:t>）</w:t>
      </w:r>
      <w:r>
        <w:rPr>
          <w:color w:val="333333"/>
          <w:spacing w:val="-7"/>
        </w:rPr>
        <w:t>在支付定金后，不购买预订商品房的，定金按照商品房预订协议书约定的办法处理。</w:t>
      </w:r>
    </w:p>
    <w:p>
      <w:pPr>
        <w:pStyle w:val="BodyText"/>
        <w:spacing w:line="364" w:lineRule="auto" w:before="3"/>
        <w:ind w:right="273" w:firstLine="640"/>
        <w:jc w:val="both"/>
      </w:pPr>
      <w:r>
        <w:rPr>
          <w:color w:val="333333"/>
          <w:spacing w:val="-5"/>
        </w:rPr>
        <w:t>若开发企业存在未通过网签系统签订商品房预订协议书、项</w:t>
      </w:r>
      <w:r>
        <w:rPr>
          <w:color w:val="333333"/>
          <w:spacing w:val="-13"/>
        </w:rPr>
        <w:t>目销售情况公示失真、定金未进入监管账户等问题，监管部门应依法依规查处。</w:t>
      </w:r>
    </w:p>
    <w:p>
      <w:pPr>
        <w:pStyle w:val="BodyText"/>
        <w:spacing w:before="2"/>
        <w:ind w:firstLine="640"/>
      </w:pPr>
      <w:r>
        <w:rPr>
          <w:rFonts w:ascii="黑体" w:hAnsi="黑体" w:eastAsia="黑体" w:hint="eastAsia"/>
          <w:color w:val="333333"/>
          <w:w w:val="95"/>
        </w:rPr>
        <w:t>第二十六条</w:t>
      </w:r>
      <w:r>
        <w:rPr>
          <w:rFonts w:ascii="Arial" w:hAnsi="Arial" w:eastAsia="Arial"/>
          <w:color w:val="333333"/>
          <w:w w:val="95"/>
        </w:rPr>
        <w:t> </w:t>
      </w:r>
      <w:r>
        <w:rPr>
          <w:color w:val="333333"/>
          <w:w w:val="95"/>
        </w:rPr>
        <w:t>开发企业与购房人签订商品房买卖合同后，网</w:t>
      </w:r>
    </w:p>
    <w:p>
      <w:pPr>
        <w:pStyle w:val="BodyText"/>
        <w:spacing w:line="620" w:lineRule="atLeast" w:before="4"/>
        <w:ind w:right="271"/>
      </w:pPr>
      <w:r>
        <w:rPr>
          <w:color w:val="333333"/>
          <w:spacing w:val="-9"/>
        </w:rPr>
        <w:t>签备案系统生成缴款通知书，购房人根据缴款通知书上的条形码</w:t>
      </w:r>
      <w:r>
        <w:rPr>
          <w:color w:val="333333"/>
          <w:spacing w:val="-12"/>
        </w:rPr>
        <w:t>通过专用 </w:t>
      </w:r>
      <w:r>
        <w:rPr>
          <w:color w:val="333333"/>
        </w:rPr>
        <w:t>pos</w:t>
      </w:r>
      <w:r>
        <w:rPr>
          <w:color w:val="333333"/>
          <w:spacing w:val="-3"/>
        </w:rPr>
        <w:t> 机或以银行转账等合法方式由购房人同名银行账</w:t>
      </w:r>
    </w:p>
    <w:p>
      <w:pPr>
        <w:spacing w:line="262" w:lineRule="exact" w:before="0"/>
        <w:ind w:left="0" w:right="123" w:firstLine="0"/>
        <w:jc w:val="right"/>
        <w:rPr>
          <w:rFonts w:ascii="宋体"/>
          <w:sz w:val="28"/>
        </w:rPr>
      </w:pPr>
      <w:r>
        <w:rPr>
          <w:rFonts w:ascii="宋体"/>
          <w:sz w:val="28"/>
        </w:rPr>
        <w:t>- 15 -</w:t>
      </w:r>
    </w:p>
    <w:p>
      <w:pPr>
        <w:spacing w:after="0" w:line="262" w:lineRule="exact"/>
        <w:jc w:val="right"/>
        <w:rPr>
          <w:rFonts w:ascii="宋体"/>
          <w:sz w:val="28"/>
        </w:rPr>
        <w:sectPr>
          <w:pgSz w:w="11910" w:h="16840"/>
          <w:pgMar w:header="1286" w:footer="1258" w:top="1760" w:bottom="1440" w:left="1480" w:right="1200"/>
        </w:sectPr>
      </w:pPr>
    </w:p>
    <w:p>
      <w:pPr>
        <w:pStyle w:val="BodyText"/>
        <w:spacing w:before="12"/>
        <w:ind w:left="0"/>
        <w:rPr>
          <w:rFonts w:ascii="宋体"/>
          <w:sz w:val="12"/>
        </w:rPr>
      </w:pPr>
    </w:p>
    <w:p>
      <w:pPr>
        <w:pStyle w:val="BodyText"/>
        <w:spacing w:line="36" w:lineRule="exact"/>
        <w:ind w:left="83"/>
        <w:rPr>
          <w:rFonts w:ascii="宋体"/>
          <w:sz w:val="3"/>
        </w:rPr>
      </w:pPr>
      <w:r>
        <w:rPr>
          <w:rFonts w:ascii="宋体"/>
          <w:position w:val="0"/>
          <w:sz w:val="3"/>
        </w:rPr>
        <w:pict>
          <v:group style="width:442.55pt;height:1.75pt;mso-position-horizontal-relative:char;mso-position-vertical-relative:line" coordorigin="0,0" coordsize="8851,35">
            <v:line style="position:absolute" from="0,18" to="8851,18" stroked="true" strokeweight="1.75pt" strokecolor="#005192">
              <v:stroke dashstyle="solid"/>
            </v:line>
          </v:group>
        </w:pict>
      </w:r>
      <w:r>
        <w:rPr>
          <w:rFonts w:ascii="宋体"/>
          <w:position w:val="0"/>
          <w:sz w:val="3"/>
        </w:rPr>
      </w:r>
    </w:p>
    <w:p>
      <w:pPr>
        <w:pStyle w:val="BodyText"/>
        <w:spacing w:before="93"/>
      </w:pPr>
      <w:r>
        <w:rPr>
          <w:color w:val="333333"/>
        </w:rPr>
        <w:t>户将全部购房款直接存入监管账户。</w:t>
      </w:r>
    </w:p>
    <w:p>
      <w:pPr>
        <w:pStyle w:val="BodyText"/>
        <w:spacing w:line="364" w:lineRule="auto" w:before="214"/>
        <w:ind w:right="271" w:firstLine="640"/>
        <w:jc w:val="both"/>
      </w:pPr>
      <w:r>
        <w:rPr>
          <w:color w:val="333333"/>
          <w:spacing w:val="-7"/>
          <w:w w:val="95"/>
        </w:rPr>
        <w:t>购房人申请商业银行按揭贷款、住房公积金方式购房的，贷 </w:t>
      </w:r>
      <w:r>
        <w:rPr>
          <w:color w:val="333333"/>
          <w:spacing w:val="-11"/>
        </w:rPr>
        <w:t>款银行或住房公积金中心与购房人签订按揭贷款合作协议时，应</w:t>
      </w:r>
      <w:r>
        <w:rPr>
          <w:color w:val="333333"/>
          <w:spacing w:val="-15"/>
        </w:rPr>
        <w:t>当约定将按揭贷款、住房公积金贷款全额直接划入监管账户，并</w:t>
      </w:r>
      <w:r>
        <w:rPr>
          <w:color w:val="333333"/>
          <w:spacing w:val="-18"/>
        </w:rPr>
        <w:t>在贷款合同中载明监管银行、监管账户。贷款银行或住房公积金</w:t>
      </w:r>
      <w:r>
        <w:rPr>
          <w:color w:val="333333"/>
          <w:spacing w:val="-17"/>
        </w:rPr>
        <w:t>中心发放贷款时，应当在确认首付款已足额交存至监管账户且商</w:t>
      </w:r>
      <w:r>
        <w:rPr>
          <w:color w:val="333333"/>
          <w:spacing w:val="-18"/>
        </w:rPr>
        <w:t>品房买卖合同完成备案后，按照《商品房买卖合同》中载明的监</w:t>
      </w:r>
      <w:r>
        <w:rPr>
          <w:color w:val="333333"/>
          <w:spacing w:val="-20"/>
        </w:rPr>
        <w:t>管账户作为发放贷款唯一到账账户，并同步将放款信息推送监管</w:t>
      </w:r>
      <w:r>
        <w:rPr>
          <w:color w:val="333333"/>
          <w:spacing w:val="-13"/>
        </w:rPr>
        <w:t>部门。贷款银行、住房公积金中心不得向未通过网签备案系统签订商品房买卖合同的预售商品房发放购房贷款。</w:t>
      </w:r>
    </w:p>
    <w:p>
      <w:pPr>
        <w:pStyle w:val="BodyText"/>
        <w:spacing w:line="364" w:lineRule="auto" w:before="7"/>
        <w:ind w:right="273" w:firstLine="640"/>
        <w:jc w:val="both"/>
      </w:pPr>
      <w:r>
        <w:rPr>
          <w:color w:val="333333"/>
        </w:rPr>
        <w:t>购房采取分期付款的，开发企业在首期资金进入监管账户后，商品房买卖合同备案时要提供尾款进入监管账户的书面承诺。</w:t>
      </w:r>
    </w:p>
    <w:p>
      <w:pPr>
        <w:pStyle w:val="BodyText"/>
        <w:spacing w:line="364" w:lineRule="auto" w:before="2"/>
        <w:ind w:right="273" w:firstLine="640"/>
        <w:jc w:val="both"/>
      </w:pPr>
      <w:r>
        <w:rPr>
          <w:rFonts w:ascii="黑体" w:hAnsi="黑体" w:eastAsia="黑体" w:hint="eastAsia"/>
          <w:color w:val="333333"/>
        </w:rPr>
        <w:t>第二十七条</w:t>
      </w:r>
      <w:r>
        <w:rPr>
          <w:rFonts w:ascii="Arial" w:hAnsi="Arial" w:eastAsia="Arial"/>
          <w:color w:val="333333"/>
        </w:rPr>
        <w:t> </w:t>
      </w:r>
      <w:r>
        <w:rPr>
          <w:color w:val="333333"/>
        </w:rPr>
        <w:t>开发企业应当将预售资金全部直接存入监管账户，不得以任何方式将预售资金存入监管账户以外的其他账户。</w:t>
      </w:r>
    </w:p>
    <w:p>
      <w:pPr>
        <w:pStyle w:val="BodyText"/>
        <w:spacing w:line="364" w:lineRule="auto" w:before="3"/>
        <w:ind w:right="273" w:firstLine="640"/>
        <w:jc w:val="both"/>
      </w:pPr>
      <w:r>
        <w:rPr>
          <w:color w:val="333333"/>
          <w:spacing w:val="-7"/>
        </w:rPr>
        <w:t>监管银行应当会同开发企业采取有效措施，保证监管账户每</w:t>
      </w:r>
      <w:r>
        <w:rPr>
          <w:color w:val="333333"/>
          <w:spacing w:val="-14"/>
          <w:w w:val="95"/>
        </w:rPr>
        <w:t>笔入账资金能够对应购房人、商品房买卖合同编号、房号，实现 </w:t>
      </w:r>
      <w:r>
        <w:rPr>
          <w:color w:val="333333"/>
          <w:spacing w:val="-14"/>
        </w:rPr>
        <w:t>预售资金入账可查。</w:t>
      </w:r>
    </w:p>
    <w:p>
      <w:pPr>
        <w:pStyle w:val="BodyText"/>
        <w:spacing w:before="2"/>
        <w:ind w:left="747"/>
      </w:pPr>
      <w:r>
        <w:rPr>
          <w:rFonts w:ascii="黑体" w:hAnsi="黑体" w:eastAsia="黑体" w:hint="eastAsia"/>
          <w:color w:val="333333"/>
        </w:rPr>
        <w:t>第二十八条</w:t>
      </w:r>
      <w:r>
        <w:rPr>
          <w:rFonts w:ascii="Arial" w:hAnsi="Arial" w:eastAsia="Arial"/>
          <w:color w:val="333333"/>
        </w:rPr>
        <w:t> </w:t>
      </w:r>
      <w:r>
        <w:rPr>
          <w:color w:val="333333"/>
        </w:rPr>
        <w:t>任何企业、单位及个人不得转存、截留或以其</w:t>
      </w:r>
    </w:p>
    <w:p>
      <w:pPr>
        <w:pStyle w:val="BodyText"/>
        <w:spacing w:line="347" w:lineRule="exact" w:before="214"/>
      </w:pPr>
      <w:r>
        <w:rPr>
          <w:color w:val="333333"/>
        </w:rPr>
        <w:t>他任何形式违规收存购房款。</w:t>
      </w:r>
    </w:p>
    <w:p>
      <w:pPr>
        <w:spacing w:line="321" w:lineRule="exact" w:before="0"/>
        <w:ind w:left="0" w:right="123" w:firstLine="0"/>
        <w:jc w:val="right"/>
        <w:rPr>
          <w:rFonts w:ascii="宋体"/>
          <w:sz w:val="28"/>
        </w:rPr>
      </w:pPr>
      <w:r>
        <w:rPr>
          <w:rFonts w:ascii="宋体"/>
          <w:sz w:val="28"/>
        </w:rPr>
        <w:t>- 16 -</w:t>
      </w:r>
    </w:p>
    <w:p>
      <w:pPr>
        <w:spacing w:after="0" w:line="321" w:lineRule="exact"/>
        <w:jc w:val="right"/>
        <w:rPr>
          <w:rFonts w:ascii="宋体"/>
          <w:sz w:val="28"/>
        </w:rPr>
        <w:sectPr>
          <w:pgSz w:w="11910" w:h="16840"/>
          <w:pgMar w:header="1286" w:footer="1258" w:top="1760" w:bottom="1440" w:left="1480" w:right="1200"/>
        </w:sectPr>
      </w:pPr>
    </w:p>
    <w:p>
      <w:pPr>
        <w:pStyle w:val="BodyText"/>
        <w:spacing w:before="12"/>
        <w:ind w:left="0"/>
        <w:rPr>
          <w:rFonts w:ascii="宋体"/>
          <w:sz w:val="12"/>
        </w:rPr>
      </w:pPr>
    </w:p>
    <w:p>
      <w:pPr>
        <w:pStyle w:val="BodyText"/>
        <w:spacing w:line="36" w:lineRule="exact"/>
        <w:ind w:left="83"/>
        <w:rPr>
          <w:rFonts w:ascii="宋体"/>
          <w:sz w:val="3"/>
        </w:rPr>
      </w:pPr>
      <w:r>
        <w:rPr>
          <w:rFonts w:ascii="宋体"/>
          <w:position w:val="0"/>
          <w:sz w:val="3"/>
        </w:rPr>
        <w:pict>
          <v:group style="width:442.55pt;height:1.75pt;mso-position-horizontal-relative:char;mso-position-vertical-relative:line" coordorigin="0,0" coordsize="8851,35">
            <v:line style="position:absolute" from="0,18" to="8851,18" stroked="true" strokeweight="1.75pt" strokecolor="#005192">
              <v:stroke dashstyle="solid"/>
            </v:line>
          </v:group>
        </w:pict>
      </w:r>
      <w:r>
        <w:rPr>
          <w:rFonts w:ascii="宋体"/>
          <w:position w:val="0"/>
          <w:sz w:val="3"/>
        </w:rPr>
      </w:r>
    </w:p>
    <w:p>
      <w:pPr>
        <w:pStyle w:val="BodyText"/>
        <w:spacing w:line="364" w:lineRule="auto" w:before="93"/>
        <w:ind w:right="158" w:firstLine="640"/>
      </w:pPr>
      <w:r>
        <w:rPr>
          <w:color w:val="333333"/>
          <w:spacing w:val="-6"/>
        </w:rPr>
        <w:t>监管部门在办理商品房买卖合同网签备案时，应当核对购房款存入监管账户信息及凭证。购房款入账金额达到监管要求时， </w:t>
      </w:r>
      <w:r>
        <w:rPr>
          <w:color w:val="333333"/>
          <w:spacing w:val="-14"/>
        </w:rPr>
        <w:t>方能办理商品房买卖合同备案。对于未按规定将预售资金存入监管账户的，不予办理商品房买卖合同网签备案。</w:t>
      </w:r>
    </w:p>
    <w:p>
      <w:pPr>
        <w:pStyle w:val="BodyText"/>
        <w:spacing w:line="364" w:lineRule="auto" w:before="3"/>
        <w:ind w:right="273" w:firstLine="640"/>
      </w:pPr>
      <w:r>
        <w:rPr>
          <w:color w:val="333333"/>
          <w:spacing w:val="-5"/>
        </w:rPr>
        <w:t>开发企业与购房人办理网上签约 </w:t>
      </w:r>
      <w:r>
        <w:rPr>
          <w:color w:val="333333"/>
        </w:rPr>
        <w:t>30</w:t>
      </w:r>
      <w:r>
        <w:rPr>
          <w:color w:val="333333"/>
          <w:spacing w:val="-9"/>
        </w:rPr>
        <w:t> 日内无资金入账的，监管部门将暂停该项目网签。</w:t>
      </w:r>
    </w:p>
    <w:p>
      <w:pPr>
        <w:pStyle w:val="BodyText"/>
        <w:ind w:left="0"/>
      </w:pPr>
    </w:p>
    <w:p>
      <w:pPr>
        <w:pStyle w:val="BodyText"/>
        <w:spacing w:before="216"/>
        <w:ind w:left="2288"/>
        <w:rPr>
          <w:rFonts w:ascii="黑体" w:hAnsi="黑体" w:eastAsia="黑体" w:hint="eastAsia"/>
        </w:rPr>
      </w:pPr>
      <w:r>
        <w:rPr>
          <w:rFonts w:ascii="黑体" w:hAnsi="黑体" w:eastAsia="黑体" w:hint="eastAsia"/>
          <w:color w:val="333333"/>
        </w:rPr>
        <w:t>第五章</w:t>
      </w:r>
      <w:r>
        <w:rPr>
          <w:rFonts w:ascii="Arial" w:hAnsi="Arial" w:eastAsia="Arial"/>
          <w:color w:val="333333"/>
        </w:rPr>
        <w:t> </w:t>
      </w:r>
      <w:r>
        <w:rPr>
          <w:rFonts w:ascii="黑体" w:hAnsi="黑体" w:eastAsia="黑体" w:hint="eastAsia"/>
          <w:color w:val="333333"/>
        </w:rPr>
        <w:t>预售资金的拨付与使用</w:t>
      </w:r>
    </w:p>
    <w:p>
      <w:pPr>
        <w:pStyle w:val="BodyText"/>
        <w:ind w:left="0"/>
        <w:rPr>
          <w:rFonts w:ascii="黑体"/>
          <w:sz w:val="36"/>
        </w:rPr>
      </w:pPr>
    </w:p>
    <w:p>
      <w:pPr>
        <w:pStyle w:val="BodyText"/>
        <w:spacing w:before="4"/>
        <w:ind w:left="0"/>
        <w:rPr>
          <w:rFonts w:ascii="黑体"/>
          <w:sz w:val="29"/>
        </w:rPr>
      </w:pPr>
    </w:p>
    <w:p>
      <w:pPr>
        <w:pStyle w:val="BodyText"/>
        <w:spacing w:line="364" w:lineRule="auto" w:before="1"/>
        <w:ind w:right="114" w:firstLine="640"/>
        <w:jc w:val="both"/>
      </w:pPr>
      <w:r>
        <w:rPr>
          <w:rFonts w:ascii="黑体" w:hAnsi="黑体" w:eastAsia="黑体" w:hint="eastAsia"/>
          <w:color w:val="333333"/>
          <w:spacing w:val="6"/>
        </w:rPr>
        <w:t>第二十九条</w:t>
      </w:r>
      <w:r>
        <w:rPr>
          <w:rFonts w:ascii="Arial" w:hAnsi="Arial" w:eastAsia="Arial"/>
          <w:color w:val="333333"/>
          <w:spacing w:val="7"/>
        </w:rPr>
        <w:t> </w:t>
      </w:r>
      <w:r>
        <w:rPr>
          <w:color w:val="333333"/>
          <w:spacing w:val="5"/>
        </w:rPr>
        <w:t>监管账户中监管额度内预售资金不同于房地</w:t>
      </w:r>
      <w:r>
        <w:rPr>
          <w:color w:val="333333"/>
          <w:spacing w:val="-7"/>
        </w:rPr>
        <w:t>产企业自有资金，应当专款专用，必须用于本预售许可范围内的</w:t>
      </w:r>
      <w:r>
        <w:rPr>
          <w:color w:val="333333"/>
          <w:spacing w:val="-14"/>
        </w:rPr>
        <w:t>有关工程建设，包括项目建设必需的建筑材料、设备和施工进度</w:t>
      </w:r>
      <w:r>
        <w:rPr>
          <w:color w:val="333333"/>
          <w:spacing w:val="-15"/>
        </w:rPr>
        <w:t>款等相关支出。在监管账户存续期间监管银行不得擅自扣划，不</w:t>
      </w:r>
      <w:r>
        <w:rPr>
          <w:color w:val="333333"/>
          <w:spacing w:val="-17"/>
        </w:rPr>
        <w:t>得用于支付任何借</w:t>
      </w:r>
      <w:r>
        <w:rPr>
          <w:color w:val="333333"/>
        </w:rPr>
        <w:t>（贷</w:t>
      </w:r>
      <w:r>
        <w:rPr>
          <w:color w:val="333333"/>
          <w:spacing w:val="-27"/>
        </w:rPr>
        <w:t>）</w:t>
      </w:r>
      <w:r>
        <w:rPr>
          <w:color w:val="333333"/>
          <w:spacing w:val="-7"/>
        </w:rPr>
        <w:t>款本金和利息、土地出让金、政府性基</w:t>
      </w:r>
      <w:r>
        <w:rPr>
          <w:color w:val="333333"/>
          <w:spacing w:val="-12"/>
        </w:rPr>
        <w:t>金、行政事业收费、经营服务性收费、罚金、营销费用及房地产</w:t>
      </w:r>
      <w:r>
        <w:rPr>
          <w:color w:val="333333"/>
          <w:spacing w:val="5"/>
        </w:rPr>
        <w:t>开发企业员工工资，也不得用于归还前期投资或股东投入等费</w:t>
      </w:r>
      <w:r>
        <w:rPr>
          <w:color w:val="333333"/>
          <w:spacing w:val="-18"/>
        </w:rPr>
        <w:t>用。设立子公司的房地产开发企业、集团公司不得抽调预售资金。</w:t>
      </w:r>
    </w:p>
    <w:p>
      <w:pPr>
        <w:pStyle w:val="BodyText"/>
        <w:spacing w:line="364" w:lineRule="auto" w:before="6"/>
        <w:ind w:right="271" w:firstLine="640"/>
        <w:jc w:val="both"/>
      </w:pPr>
      <w:r>
        <w:rPr>
          <w:rFonts w:ascii="黑体" w:hAnsi="黑体" w:eastAsia="黑体" w:hint="eastAsia"/>
          <w:color w:val="333333"/>
        </w:rPr>
        <w:t>第三十条</w:t>
      </w:r>
      <w:r>
        <w:rPr>
          <w:rFonts w:ascii="Arial" w:hAnsi="Arial" w:eastAsia="Arial"/>
          <w:color w:val="333333"/>
        </w:rPr>
        <w:t> </w:t>
      </w:r>
      <w:r>
        <w:rPr>
          <w:color w:val="333333"/>
          <w:spacing w:val="-8"/>
        </w:rPr>
        <w:t>申请使用监管额度内预售资金时，开发企业应当</w:t>
      </w:r>
      <w:r>
        <w:rPr>
          <w:color w:val="333333"/>
          <w:spacing w:val="5"/>
        </w:rPr>
        <w:t>提供相关材料，包括但不限于造价主管部门审核的进度预算报</w:t>
      </w:r>
      <w:r>
        <w:rPr>
          <w:color w:val="333333"/>
          <w:spacing w:val="-9"/>
          <w:w w:val="95"/>
        </w:rPr>
        <w:t>告、相关票据、监管银行出具的对账单以及三方</w:t>
      </w:r>
      <w:r>
        <w:rPr>
          <w:color w:val="333333"/>
          <w:w w:val="95"/>
        </w:rPr>
        <w:t>（</w:t>
      </w:r>
      <w:r>
        <w:rPr>
          <w:color w:val="333333"/>
          <w:spacing w:val="-5"/>
          <w:w w:val="95"/>
        </w:rPr>
        <w:t>开发企业、施</w:t>
      </w:r>
    </w:p>
    <w:p>
      <w:pPr>
        <w:pStyle w:val="BodyText"/>
        <w:spacing w:line="359" w:lineRule="exact" w:before="2"/>
        <w:ind w:left="255" w:right="422"/>
        <w:jc w:val="center"/>
      </w:pPr>
      <w:r>
        <w:rPr>
          <w:color w:val="333333"/>
          <w:w w:val="95"/>
        </w:rPr>
        <w:t>工单位、监理单位）共同出具的建设工程进度证明、形象进度照</w:t>
      </w:r>
    </w:p>
    <w:p>
      <w:pPr>
        <w:spacing w:line="308" w:lineRule="exact" w:before="0"/>
        <w:ind w:left="0" w:right="123" w:firstLine="0"/>
        <w:jc w:val="right"/>
        <w:rPr>
          <w:rFonts w:ascii="宋体"/>
          <w:sz w:val="28"/>
        </w:rPr>
      </w:pPr>
      <w:r>
        <w:rPr>
          <w:rFonts w:ascii="宋体"/>
          <w:sz w:val="28"/>
        </w:rPr>
        <w:t>- 17 -</w:t>
      </w:r>
    </w:p>
    <w:p>
      <w:pPr>
        <w:spacing w:after="0" w:line="308" w:lineRule="exact"/>
        <w:jc w:val="right"/>
        <w:rPr>
          <w:rFonts w:ascii="宋体"/>
          <w:sz w:val="28"/>
        </w:rPr>
        <w:sectPr>
          <w:pgSz w:w="11910" w:h="16840"/>
          <w:pgMar w:header="1286" w:footer="1258" w:top="1760" w:bottom="1440" w:left="1480" w:right="1200"/>
        </w:sectPr>
      </w:pPr>
    </w:p>
    <w:p>
      <w:pPr>
        <w:pStyle w:val="BodyText"/>
        <w:spacing w:before="12"/>
        <w:ind w:left="0"/>
        <w:rPr>
          <w:rFonts w:ascii="宋体"/>
          <w:sz w:val="12"/>
        </w:rPr>
      </w:pPr>
    </w:p>
    <w:p>
      <w:pPr>
        <w:pStyle w:val="BodyText"/>
        <w:spacing w:line="36" w:lineRule="exact"/>
        <w:ind w:left="83"/>
        <w:rPr>
          <w:rFonts w:ascii="宋体"/>
          <w:sz w:val="3"/>
        </w:rPr>
      </w:pPr>
      <w:r>
        <w:rPr>
          <w:rFonts w:ascii="宋体"/>
          <w:position w:val="0"/>
          <w:sz w:val="3"/>
        </w:rPr>
        <w:pict>
          <v:group style="width:442.55pt;height:1.75pt;mso-position-horizontal-relative:char;mso-position-vertical-relative:line" coordorigin="0,0" coordsize="8851,35">
            <v:line style="position:absolute" from="0,18" to="8851,18" stroked="true" strokeweight="1.75pt" strokecolor="#005192">
              <v:stroke dashstyle="solid"/>
            </v:line>
          </v:group>
        </w:pict>
      </w:r>
      <w:r>
        <w:rPr>
          <w:rFonts w:ascii="宋体"/>
          <w:position w:val="0"/>
          <w:sz w:val="3"/>
        </w:rPr>
      </w:r>
    </w:p>
    <w:p>
      <w:pPr>
        <w:pStyle w:val="BodyText"/>
        <w:spacing w:before="93"/>
      </w:pPr>
      <w:r>
        <w:rPr>
          <w:color w:val="333333"/>
        </w:rPr>
        <w:t>片等，首次申请时还应提交用款事项的合同。</w:t>
      </w:r>
    </w:p>
    <w:p>
      <w:pPr>
        <w:pStyle w:val="BodyText"/>
        <w:spacing w:line="364" w:lineRule="auto" w:before="214"/>
        <w:ind w:right="158" w:firstLine="640"/>
      </w:pPr>
      <w:r>
        <w:rPr>
          <w:rFonts w:ascii="黑体" w:hAnsi="黑体" w:eastAsia="黑体" w:hint="eastAsia"/>
          <w:color w:val="333333"/>
        </w:rPr>
        <w:t>第三十一条</w:t>
      </w:r>
      <w:r>
        <w:rPr>
          <w:rFonts w:ascii="Arial" w:hAnsi="Arial" w:eastAsia="Arial"/>
          <w:color w:val="333333"/>
        </w:rPr>
        <w:t> </w:t>
      </w:r>
      <w:r>
        <w:rPr>
          <w:color w:val="333333"/>
          <w:spacing w:val="-9"/>
        </w:rPr>
        <w:t>监管部门按照工程建设进度、完成节点比例拨付监管额度内预售资金。拨付节点包括：主体结构达三分之一、</w:t>
      </w:r>
      <w:r>
        <w:rPr>
          <w:color w:val="333333"/>
          <w:spacing w:val="-14"/>
        </w:rPr>
        <w:t>主体结构达二分之一、主体结构达三分之二、主体结构完成、外</w:t>
      </w:r>
      <w:r>
        <w:rPr>
          <w:color w:val="333333"/>
          <w:spacing w:val="-15"/>
        </w:rPr>
        <w:t>立面完成、配套附属工程完成、五方主体验收完成、项目竣工验</w:t>
      </w:r>
      <w:r>
        <w:rPr>
          <w:color w:val="333333"/>
          <w:spacing w:val="-14"/>
        </w:rPr>
        <w:t>收备案、不动产首次登记完成等九个环节，开发企业可自行选择所需拨付节点。</w:t>
      </w:r>
    </w:p>
    <w:p>
      <w:pPr>
        <w:pStyle w:val="BodyText"/>
        <w:spacing w:line="364" w:lineRule="auto" w:before="5"/>
        <w:ind w:right="273" w:firstLine="640"/>
        <w:jc w:val="both"/>
      </w:pPr>
      <w:r>
        <w:rPr>
          <w:rFonts w:ascii="黑体" w:hAnsi="黑体" w:eastAsia="黑体" w:hint="eastAsia"/>
          <w:color w:val="333333"/>
          <w:spacing w:val="6"/>
        </w:rPr>
        <w:t>第三十二条</w:t>
      </w:r>
      <w:r>
        <w:rPr>
          <w:rFonts w:ascii="Arial" w:hAnsi="Arial" w:eastAsia="Arial"/>
          <w:color w:val="333333"/>
          <w:spacing w:val="7"/>
        </w:rPr>
        <w:t> </w:t>
      </w:r>
      <w:r>
        <w:rPr>
          <w:color w:val="333333"/>
          <w:spacing w:val="5"/>
        </w:rPr>
        <w:t>商品房预售监管资金提取实行留存额度限制</w:t>
      </w:r>
      <w:r>
        <w:rPr>
          <w:color w:val="333333"/>
          <w:spacing w:val="-11"/>
        </w:rPr>
        <w:t>管理。对于项目建设进度未达到装修部分监管额度内预售资金使用节点的，不得申请使用装修部分监管额度内预售资金。</w:t>
      </w:r>
    </w:p>
    <w:p>
      <w:pPr>
        <w:pStyle w:val="BodyText"/>
        <w:spacing w:line="364" w:lineRule="auto" w:before="2"/>
        <w:ind w:right="274" w:firstLine="640"/>
      </w:pPr>
      <w:r>
        <w:rPr>
          <w:color w:val="333333"/>
          <w:w w:val="95"/>
        </w:rPr>
        <w:t>（一</w:t>
      </w:r>
      <w:r>
        <w:rPr>
          <w:color w:val="333333"/>
          <w:spacing w:val="-115"/>
          <w:w w:val="95"/>
        </w:rPr>
        <w:t>）</w:t>
      </w:r>
      <w:r>
        <w:rPr>
          <w:color w:val="333333"/>
          <w:w w:val="95"/>
        </w:rPr>
        <w:t>对于开发企业申请使用除装修部分以外监管额度内预 </w:t>
      </w:r>
      <w:r>
        <w:rPr>
          <w:color w:val="333333"/>
        </w:rPr>
        <w:t>售资金的，留存额度限制如下：</w:t>
      </w:r>
    </w:p>
    <w:p>
      <w:pPr>
        <w:pStyle w:val="BodyText"/>
        <w:spacing w:line="364" w:lineRule="auto" w:before="2"/>
        <w:ind w:right="271" w:firstLine="640"/>
      </w:pPr>
      <w:r>
        <w:rPr>
          <w:color w:val="333333"/>
        </w:rPr>
        <w:t>1</w:t>
      </w:r>
      <w:r>
        <w:rPr>
          <w:color w:val="333333"/>
          <w:spacing w:val="-9"/>
        </w:rPr>
        <w:t>.达到主体结构三分之一节点，留存金额不得低于额度内监</w:t>
      </w:r>
      <w:r>
        <w:rPr>
          <w:color w:val="333333"/>
          <w:spacing w:val="-20"/>
        </w:rPr>
        <w:t>管资金总额的 </w:t>
      </w:r>
      <w:r>
        <w:rPr>
          <w:color w:val="333333"/>
        </w:rPr>
        <w:t>65%；</w:t>
      </w:r>
    </w:p>
    <w:p>
      <w:pPr>
        <w:pStyle w:val="BodyText"/>
        <w:spacing w:line="364" w:lineRule="auto" w:before="1"/>
        <w:ind w:right="271" w:firstLine="640"/>
      </w:pPr>
      <w:r>
        <w:rPr>
          <w:color w:val="333333"/>
        </w:rPr>
        <w:t>2</w:t>
      </w:r>
      <w:r>
        <w:rPr>
          <w:color w:val="333333"/>
          <w:spacing w:val="-9"/>
        </w:rPr>
        <w:t>.达到主体结构二分之一节点，留存金额不得低于额度内监</w:t>
      </w:r>
      <w:r>
        <w:rPr>
          <w:color w:val="333333"/>
          <w:spacing w:val="-20"/>
        </w:rPr>
        <w:t>管资金总额的 </w:t>
      </w:r>
      <w:r>
        <w:rPr>
          <w:color w:val="333333"/>
        </w:rPr>
        <w:t>55%；</w:t>
      </w:r>
    </w:p>
    <w:p>
      <w:pPr>
        <w:pStyle w:val="BodyText"/>
        <w:spacing w:line="364" w:lineRule="auto" w:before="2"/>
        <w:ind w:right="271" w:firstLine="640"/>
      </w:pPr>
      <w:r>
        <w:rPr>
          <w:color w:val="333333"/>
        </w:rPr>
        <w:t>3</w:t>
      </w:r>
      <w:r>
        <w:rPr>
          <w:color w:val="333333"/>
          <w:spacing w:val="-9"/>
        </w:rPr>
        <w:t>.达到主体结构三分之二节点，留存金额不得低于额度内监</w:t>
      </w:r>
      <w:r>
        <w:rPr>
          <w:color w:val="333333"/>
          <w:spacing w:val="-20"/>
        </w:rPr>
        <w:t>管资金总额的 </w:t>
      </w:r>
      <w:r>
        <w:rPr>
          <w:color w:val="333333"/>
        </w:rPr>
        <w:t>45%；</w:t>
      </w:r>
    </w:p>
    <w:p>
      <w:pPr>
        <w:pStyle w:val="BodyText"/>
        <w:spacing w:line="364" w:lineRule="auto" w:before="1"/>
        <w:ind w:right="273" w:firstLine="640"/>
      </w:pPr>
      <w:r>
        <w:rPr>
          <w:color w:val="333333"/>
        </w:rPr>
        <w:t>4</w:t>
      </w:r>
      <w:r>
        <w:rPr>
          <w:color w:val="333333"/>
          <w:spacing w:val="-10"/>
        </w:rPr>
        <w:t>.达到主体结构封顶节点，留存金额不得低于额度内监管资</w:t>
      </w:r>
      <w:r>
        <w:rPr>
          <w:color w:val="333333"/>
          <w:spacing w:val="-24"/>
        </w:rPr>
        <w:t>金总额的 </w:t>
      </w:r>
      <w:r>
        <w:rPr>
          <w:color w:val="333333"/>
        </w:rPr>
        <w:t>35%；</w:t>
      </w:r>
    </w:p>
    <w:p>
      <w:pPr>
        <w:pStyle w:val="BodyText"/>
        <w:spacing w:line="359" w:lineRule="exact" w:before="2"/>
        <w:ind w:left="747"/>
      </w:pPr>
      <w:r>
        <w:rPr>
          <w:color w:val="333333"/>
        </w:rPr>
        <w:t>5.达到完成工程外立面节点，留存金额不得低于额度内监管</w:t>
      </w:r>
    </w:p>
    <w:p>
      <w:pPr>
        <w:spacing w:line="308" w:lineRule="exact" w:before="0"/>
        <w:ind w:left="0" w:right="123" w:firstLine="0"/>
        <w:jc w:val="right"/>
        <w:rPr>
          <w:rFonts w:ascii="宋体"/>
          <w:sz w:val="28"/>
        </w:rPr>
      </w:pPr>
      <w:r>
        <w:rPr>
          <w:rFonts w:ascii="宋体"/>
          <w:sz w:val="28"/>
        </w:rPr>
        <w:t>- 18 -</w:t>
      </w:r>
    </w:p>
    <w:p>
      <w:pPr>
        <w:spacing w:after="0" w:line="308" w:lineRule="exact"/>
        <w:jc w:val="right"/>
        <w:rPr>
          <w:rFonts w:ascii="宋体"/>
          <w:sz w:val="28"/>
        </w:rPr>
        <w:sectPr>
          <w:pgSz w:w="11910" w:h="16840"/>
          <w:pgMar w:header="1286" w:footer="1258" w:top="1760" w:bottom="1440" w:left="1480" w:right="1200"/>
        </w:sectPr>
      </w:pPr>
    </w:p>
    <w:p>
      <w:pPr>
        <w:pStyle w:val="BodyText"/>
        <w:spacing w:before="12"/>
        <w:ind w:left="0"/>
        <w:rPr>
          <w:rFonts w:ascii="宋体"/>
          <w:sz w:val="12"/>
        </w:rPr>
      </w:pPr>
    </w:p>
    <w:p>
      <w:pPr>
        <w:pStyle w:val="BodyText"/>
        <w:spacing w:line="36" w:lineRule="exact"/>
        <w:ind w:left="83"/>
        <w:rPr>
          <w:rFonts w:ascii="宋体"/>
          <w:sz w:val="3"/>
        </w:rPr>
      </w:pPr>
      <w:r>
        <w:rPr>
          <w:rFonts w:ascii="宋体"/>
          <w:position w:val="0"/>
          <w:sz w:val="3"/>
        </w:rPr>
        <w:pict>
          <v:group style="width:442.55pt;height:1.75pt;mso-position-horizontal-relative:char;mso-position-vertical-relative:line" coordorigin="0,0" coordsize="8851,35">
            <v:line style="position:absolute" from="0,18" to="8851,18" stroked="true" strokeweight="1.75pt" strokecolor="#005192">
              <v:stroke dashstyle="solid"/>
            </v:line>
          </v:group>
        </w:pict>
      </w:r>
      <w:r>
        <w:rPr>
          <w:rFonts w:ascii="宋体"/>
          <w:position w:val="0"/>
          <w:sz w:val="3"/>
        </w:rPr>
      </w:r>
    </w:p>
    <w:p>
      <w:pPr>
        <w:pStyle w:val="BodyText"/>
        <w:spacing w:before="93"/>
      </w:pPr>
      <w:r>
        <w:rPr>
          <w:color w:val="333333"/>
        </w:rPr>
        <w:t>资金总额的 25%；</w:t>
      </w:r>
    </w:p>
    <w:p>
      <w:pPr>
        <w:pStyle w:val="BodyText"/>
        <w:spacing w:line="364" w:lineRule="auto" w:before="214"/>
        <w:ind w:right="271" w:firstLine="640"/>
      </w:pPr>
      <w:r>
        <w:rPr>
          <w:color w:val="333333"/>
        </w:rPr>
        <w:t>6</w:t>
      </w:r>
      <w:r>
        <w:rPr>
          <w:color w:val="333333"/>
          <w:spacing w:val="-9"/>
        </w:rPr>
        <w:t>.达到完成配套附属工程节点，留存金额不得低于额度内监</w:t>
      </w:r>
      <w:r>
        <w:rPr>
          <w:color w:val="333333"/>
          <w:spacing w:val="-20"/>
        </w:rPr>
        <w:t>管资金总额的 </w:t>
      </w:r>
      <w:r>
        <w:rPr>
          <w:color w:val="333333"/>
        </w:rPr>
        <w:t>15%；</w:t>
      </w:r>
    </w:p>
    <w:p>
      <w:pPr>
        <w:pStyle w:val="BodyText"/>
        <w:spacing w:line="364" w:lineRule="auto" w:before="1"/>
        <w:ind w:right="273" w:firstLine="640"/>
      </w:pPr>
      <w:r>
        <w:rPr>
          <w:color w:val="333333"/>
        </w:rPr>
        <w:t>7</w:t>
      </w:r>
      <w:r>
        <w:rPr>
          <w:color w:val="333333"/>
          <w:spacing w:val="-8"/>
        </w:rPr>
        <w:t>.达到通过建设工程规划验核节点，留存金额不得低于额度</w:t>
      </w:r>
      <w:r>
        <w:rPr>
          <w:color w:val="333333"/>
          <w:spacing w:val="-16"/>
        </w:rPr>
        <w:t>内监管资金总额的 </w:t>
      </w:r>
      <w:r>
        <w:rPr>
          <w:color w:val="333333"/>
        </w:rPr>
        <w:t>10%；</w:t>
      </w:r>
    </w:p>
    <w:p>
      <w:pPr>
        <w:pStyle w:val="BodyText"/>
        <w:spacing w:line="364" w:lineRule="auto" w:before="2"/>
        <w:ind w:right="271" w:firstLine="640"/>
      </w:pPr>
      <w:r>
        <w:rPr>
          <w:color w:val="333333"/>
        </w:rPr>
        <w:t>8</w:t>
      </w:r>
      <w:r>
        <w:rPr>
          <w:color w:val="333333"/>
          <w:spacing w:val="-9"/>
        </w:rPr>
        <w:t>.达到完成竣工验收备案节点，留存金额不得低于额度内监</w:t>
      </w:r>
      <w:r>
        <w:rPr>
          <w:color w:val="333333"/>
          <w:spacing w:val="-20"/>
        </w:rPr>
        <w:t>管资金总额的 </w:t>
      </w:r>
      <w:r>
        <w:rPr>
          <w:color w:val="333333"/>
        </w:rPr>
        <w:t>5%；</w:t>
      </w:r>
    </w:p>
    <w:p>
      <w:pPr>
        <w:pStyle w:val="BodyText"/>
        <w:spacing w:before="2"/>
        <w:ind w:left="747"/>
      </w:pPr>
      <w:r>
        <w:rPr>
          <w:color w:val="333333"/>
        </w:rPr>
        <w:t>9.项目完成不动产首次登记，解除额度内监管资金的监管。</w:t>
      </w:r>
    </w:p>
    <w:p>
      <w:pPr>
        <w:pStyle w:val="BodyText"/>
        <w:spacing w:line="364" w:lineRule="auto" w:before="213"/>
        <w:ind w:right="274" w:firstLine="640"/>
      </w:pPr>
      <w:r>
        <w:rPr>
          <w:color w:val="333333"/>
          <w:w w:val="95"/>
        </w:rPr>
        <w:t>（二</w:t>
      </w:r>
      <w:r>
        <w:rPr>
          <w:color w:val="333333"/>
          <w:spacing w:val="-115"/>
          <w:w w:val="95"/>
        </w:rPr>
        <w:t>）</w:t>
      </w:r>
      <w:r>
        <w:rPr>
          <w:color w:val="333333"/>
          <w:w w:val="95"/>
        </w:rPr>
        <w:t>对于开发企业申请使用装修部分监管额度内预售资金 </w:t>
      </w:r>
      <w:r>
        <w:rPr>
          <w:color w:val="333333"/>
        </w:rPr>
        <w:t>的，留存额度限制如下：</w:t>
      </w:r>
    </w:p>
    <w:p>
      <w:pPr>
        <w:pStyle w:val="BodyText"/>
        <w:spacing w:line="364" w:lineRule="auto" w:before="2"/>
        <w:ind w:right="271" w:firstLine="640"/>
      </w:pPr>
      <w:r>
        <w:rPr>
          <w:color w:val="333333"/>
        </w:rPr>
        <w:t>1</w:t>
      </w:r>
      <w:r>
        <w:rPr>
          <w:color w:val="333333"/>
          <w:spacing w:val="-11"/>
        </w:rPr>
        <w:t>.基础装修工程完成后，留存金额不得低于装修部分监管总</w:t>
      </w:r>
      <w:r>
        <w:rPr>
          <w:color w:val="333333"/>
          <w:spacing w:val="-34"/>
        </w:rPr>
        <w:t>额的 </w:t>
      </w:r>
      <w:r>
        <w:rPr>
          <w:color w:val="333333"/>
        </w:rPr>
        <w:t>50%；</w:t>
      </w:r>
    </w:p>
    <w:p>
      <w:pPr>
        <w:pStyle w:val="BodyText"/>
        <w:spacing w:before="2"/>
        <w:ind w:left="747"/>
      </w:pPr>
      <w:r>
        <w:rPr>
          <w:color w:val="333333"/>
        </w:rPr>
        <w:t>2.设备安装完成后，留存金额不得低于装修部分监管总额的</w:t>
      </w:r>
    </w:p>
    <w:p>
      <w:pPr>
        <w:pStyle w:val="BodyText"/>
        <w:spacing w:before="214"/>
      </w:pPr>
      <w:r>
        <w:rPr>
          <w:color w:val="333333"/>
        </w:rPr>
        <w:t>20%；</w:t>
      </w:r>
    </w:p>
    <w:p>
      <w:pPr>
        <w:pStyle w:val="BodyText"/>
        <w:spacing w:line="364" w:lineRule="auto" w:before="214"/>
        <w:ind w:right="273" w:firstLine="640"/>
      </w:pPr>
      <w:r>
        <w:rPr>
          <w:color w:val="333333"/>
        </w:rPr>
        <w:t>3</w:t>
      </w:r>
      <w:r>
        <w:rPr>
          <w:color w:val="333333"/>
          <w:spacing w:val="-9"/>
        </w:rPr>
        <w:t>.完成装修工程竣工验收后，留存金额不得低于装修部分监</w:t>
      </w:r>
      <w:r>
        <w:rPr>
          <w:color w:val="333333"/>
          <w:spacing w:val="-24"/>
        </w:rPr>
        <w:t>管总额的 </w:t>
      </w:r>
      <w:r>
        <w:rPr>
          <w:color w:val="333333"/>
        </w:rPr>
        <w:t>10%；</w:t>
      </w:r>
    </w:p>
    <w:p>
      <w:pPr>
        <w:pStyle w:val="BodyText"/>
        <w:spacing w:before="1"/>
        <w:ind w:left="747"/>
      </w:pPr>
      <w:r>
        <w:rPr>
          <w:color w:val="333333"/>
        </w:rPr>
        <w:t>4.项目完成不动产首次登记，解除额度内监管资金的监管。</w:t>
      </w:r>
    </w:p>
    <w:p>
      <w:pPr>
        <w:pStyle w:val="BodyText"/>
        <w:spacing w:line="364" w:lineRule="auto" w:before="214"/>
        <w:ind w:right="273" w:firstLine="640"/>
        <w:jc w:val="both"/>
      </w:pPr>
      <w:r>
        <w:rPr>
          <w:color w:val="333333"/>
        </w:rPr>
        <w:t>（三</w:t>
      </w:r>
      <w:r>
        <w:rPr>
          <w:color w:val="333333"/>
          <w:spacing w:val="-115"/>
        </w:rPr>
        <w:t>）</w:t>
      </w:r>
      <w:r>
        <w:rPr>
          <w:color w:val="333333"/>
        </w:rPr>
        <w:t>监管额度外预售资金由开发企业通过监管系统申请使</w:t>
      </w:r>
      <w:r>
        <w:rPr>
          <w:color w:val="333333"/>
          <w:spacing w:val="-8"/>
          <w:w w:val="95"/>
        </w:rPr>
        <w:t>用，具体使用管理规定由监管银行制定，报送州、县</w:t>
      </w:r>
      <w:r>
        <w:rPr>
          <w:color w:val="333333"/>
          <w:w w:val="95"/>
        </w:rPr>
        <w:t>（市</w:t>
      </w:r>
      <w:r>
        <w:rPr>
          <w:color w:val="333333"/>
          <w:spacing w:val="-22"/>
          <w:w w:val="95"/>
        </w:rPr>
        <w:t>）</w:t>
      </w:r>
      <w:r>
        <w:rPr>
          <w:color w:val="333333"/>
          <w:w w:val="95"/>
        </w:rPr>
        <w:t>住房 </w:t>
      </w:r>
      <w:r>
        <w:rPr>
          <w:color w:val="333333"/>
        </w:rPr>
        <w:t>城乡建设部门备案。</w:t>
      </w:r>
    </w:p>
    <w:p>
      <w:pPr>
        <w:pStyle w:val="BodyText"/>
        <w:spacing w:line="359" w:lineRule="exact" w:before="3"/>
        <w:ind w:left="747"/>
      </w:pPr>
      <w:r>
        <w:rPr>
          <w:rFonts w:ascii="黑体" w:hAnsi="黑体" w:eastAsia="黑体" w:hint="eastAsia"/>
          <w:color w:val="333333"/>
        </w:rPr>
        <w:t>第三十三条</w:t>
      </w:r>
      <w:r>
        <w:rPr>
          <w:rFonts w:ascii="Arial" w:hAnsi="Arial" w:eastAsia="Arial"/>
          <w:color w:val="333333"/>
        </w:rPr>
        <w:t> </w:t>
      </w:r>
      <w:r>
        <w:rPr>
          <w:color w:val="333333"/>
        </w:rPr>
        <w:t>开发企业使用监管额度内预售资金应通过监</w:t>
      </w:r>
    </w:p>
    <w:p>
      <w:pPr>
        <w:spacing w:line="308" w:lineRule="exact" w:before="0"/>
        <w:ind w:left="0" w:right="123" w:firstLine="0"/>
        <w:jc w:val="right"/>
        <w:rPr>
          <w:rFonts w:ascii="宋体"/>
          <w:sz w:val="28"/>
        </w:rPr>
      </w:pPr>
      <w:r>
        <w:rPr>
          <w:rFonts w:ascii="宋体"/>
          <w:sz w:val="28"/>
        </w:rPr>
        <w:t>- 19 -</w:t>
      </w:r>
    </w:p>
    <w:p>
      <w:pPr>
        <w:spacing w:after="0" w:line="308" w:lineRule="exact"/>
        <w:jc w:val="right"/>
        <w:rPr>
          <w:rFonts w:ascii="宋体"/>
          <w:sz w:val="28"/>
        </w:rPr>
        <w:sectPr>
          <w:pgSz w:w="11910" w:h="16840"/>
          <w:pgMar w:header="1286" w:footer="1258" w:top="1760" w:bottom="1440" w:left="1480" w:right="1200"/>
        </w:sectPr>
      </w:pPr>
    </w:p>
    <w:p>
      <w:pPr>
        <w:pStyle w:val="BodyText"/>
        <w:spacing w:before="12"/>
        <w:ind w:left="0"/>
        <w:rPr>
          <w:rFonts w:ascii="宋体"/>
          <w:sz w:val="12"/>
        </w:rPr>
      </w:pPr>
    </w:p>
    <w:p>
      <w:pPr>
        <w:pStyle w:val="BodyText"/>
        <w:spacing w:line="36" w:lineRule="exact"/>
        <w:ind w:left="83"/>
        <w:rPr>
          <w:rFonts w:ascii="宋体"/>
          <w:sz w:val="3"/>
        </w:rPr>
      </w:pPr>
      <w:r>
        <w:rPr>
          <w:rFonts w:ascii="宋体"/>
          <w:position w:val="0"/>
          <w:sz w:val="3"/>
        </w:rPr>
        <w:pict>
          <v:group style="width:442.55pt;height:1.75pt;mso-position-horizontal-relative:char;mso-position-vertical-relative:line" coordorigin="0,0" coordsize="8851,35">
            <v:line style="position:absolute" from="0,18" to="8851,18" stroked="true" strokeweight="1.75pt" strokecolor="#005192">
              <v:stroke dashstyle="solid"/>
            </v:line>
          </v:group>
        </w:pict>
      </w:r>
      <w:r>
        <w:rPr>
          <w:rFonts w:ascii="宋体"/>
          <w:position w:val="0"/>
          <w:sz w:val="3"/>
        </w:rPr>
      </w:r>
    </w:p>
    <w:p>
      <w:pPr>
        <w:pStyle w:val="BodyText"/>
        <w:spacing w:line="364" w:lineRule="auto" w:before="93"/>
        <w:ind w:right="114"/>
      </w:pPr>
      <w:r>
        <w:rPr>
          <w:color w:val="333333"/>
        </w:rPr>
        <w:t>管系统提交用款申请，上传用款计划、对应合同、经办人信息、</w:t>
      </w:r>
      <w:r>
        <w:rPr>
          <w:color w:val="333333"/>
          <w:spacing w:val="-6"/>
        </w:rPr>
        <w:t>资金使用节点相关材料以及其他必要影像材料。申请使用规划验</w:t>
      </w:r>
      <w:r>
        <w:rPr>
          <w:color w:val="333333"/>
          <w:spacing w:val="-12"/>
        </w:rPr>
        <w:t>核、竣工验收、不动产首次登记节点资金的，还应提供建设工程</w:t>
      </w:r>
      <w:r>
        <w:rPr>
          <w:color w:val="333333"/>
          <w:spacing w:val="-20"/>
        </w:rPr>
        <w:t>规划验核意见书、竣工验收备案表、不动产首次登记证明等材料。</w:t>
      </w:r>
    </w:p>
    <w:p>
      <w:pPr>
        <w:pStyle w:val="BodyText"/>
        <w:spacing w:line="364" w:lineRule="auto" w:before="3"/>
        <w:ind w:right="158" w:firstLine="640"/>
        <w:jc w:val="both"/>
      </w:pPr>
      <w:r>
        <w:rPr>
          <w:rFonts w:ascii="黑体" w:hAnsi="黑体" w:eastAsia="黑体" w:hint="eastAsia"/>
          <w:color w:val="333333"/>
          <w:spacing w:val="6"/>
        </w:rPr>
        <w:t>第三十四条</w:t>
      </w:r>
      <w:r>
        <w:rPr>
          <w:rFonts w:ascii="Arial" w:hAnsi="Arial" w:eastAsia="Arial"/>
          <w:color w:val="333333"/>
          <w:spacing w:val="7"/>
        </w:rPr>
        <w:t> </w:t>
      </w:r>
      <w:r>
        <w:rPr>
          <w:color w:val="333333"/>
          <w:spacing w:val="5"/>
        </w:rPr>
        <w:t>监管部门应当自受理开发企业拨付申请之日</w:t>
      </w:r>
      <w:r>
        <w:rPr>
          <w:color w:val="333333"/>
          <w:spacing w:val="-39"/>
        </w:rPr>
        <w:t>起 </w:t>
      </w:r>
      <w:r>
        <w:rPr>
          <w:color w:val="333333"/>
        </w:rPr>
        <w:t>3</w:t>
      </w:r>
      <w:r>
        <w:rPr>
          <w:color w:val="333333"/>
          <w:spacing w:val="-16"/>
        </w:rPr>
        <w:t> 个工作日内核实完毕。对符合使用条件的，通过监管系统出</w:t>
      </w:r>
      <w:r>
        <w:rPr>
          <w:color w:val="333333"/>
          <w:spacing w:val="-11"/>
        </w:rPr>
        <w:t>具《准予拨付通知书》；对不符合使用条件的，出具《不予拨付</w:t>
      </w:r>
      <w:r>
        <w:rPr>
          <w:color w:val="333333"/>
          <w:spacing w:val="-13"/>
        </w:rPr>
        <w:t>通知书》，并说明理由。监管银行应当依据监管部门《准予拨付</w:t>
      </w:r>
      <w:r>
        <w:rPr>
          <w:color w:val="333333"/>
          <w:spacing w:val="-19"/>
        </w:rPr>
        <w:t>通知书》的电子信息，在 </w:t>
      </w:r>
      <w:r>
        <w:rPr>
          <w:color w:val="333333"/>
        </w:rPr>
        <w:t>2</w:t>
      </w:r>
      <w:r>
        <w:rPr>
          <w:color w:val="333333"/>
          <w:spacing w:val="-10"/>
        </w:rPr>
        <w:t> 个工作日内将资金拨付至指定账户。</w:t>
      </w:r>
    </w:p>
    <w:p>
      <w:pPr>
        <w:pStyle w:val="BodyText"/>
        <w:spacing w:line="364" w:lineRule="auto" w:before="4"/>
        <w:ind w:right="158" w:firstLine="640"/>
        <w:jc w:val="both"/>
      </w:pPr>
      <w:r>
        <w:rPr>
          <w:color w:val="333333"/>
          <w:spacing w:val="-11"/>
        </w:rPr>
        <w:t>施工进度、建筑材料、设备等相关款项，应直接核拨到相对</w:t>
      </w:r>
      <w:r>
        <w:rPr>
          <w:color w:val="333333"/>
          <w:spacing w:val="-14"/>
        </w:rPr>
        <w:t>应的施工企业、材料和设备供应商及相关单位的账户，不得拨付</w:t>
      </w:r>
      <w:r>
        <w:rPr>
          <w:color w:val="333333"/>
          <w:spacing w:val="-14"/>
          <w:w w:val="95"/>
        </w:rPr>
        <w:t>至房地产开发企业的一般账户，也不得拨付到其他无关联账户。</w:t>
      </w:r>
    </w:p>
    <w:p>
      <w:pPr>
        <w:pStyle w:val="BodyText"/>
        <w:spacing w:line="364" w:lineRule="auto" w:before="2"/>
        <w:ind w:right="273" w:firstLine="640"/>
        <w:jc w:val="both"/>
      </w:pPr>
      <w:r>
        <w:rPr>
          <w:rFonts w:ascii="黑体" w:hAnsi="黑体" w:eastAsia="黑体" w:hint="eastAsia"/>
          <w:color w:val="333333"/>
          <w:spacing w:val="6"/>
        </w:rPr>
        <w:t>第三十五条</w:t>
      </w:r>
      <w:r>
        <w:rPr>
          <w:rFonts w:ascii="Arial" w:hAnsi="Arial" w:eastAsia="Arial"/>
          <w:color w:val="333333"/>
          <w:spacing w:val="7"/>
        </w:rPr>
        <w:t> </w:t>
      </w:r>
      <w:r>
        <w:rPr>
          <w:color w:val="333333"/>
          <w:spacing w:val="5"/>
        </w:rPr>
        <w:t>开发企业在项目实施预售资金监管前已支付</w:t>
      </w:r>
      <w:r>
        <w:rPr>
          <w:color w:val="333333"/>
          <w:spacing w:val="-10"/>
        </w:rPr>
        <w:t>工程款项、在实施监管后监管账户余额不足的情况下以自有资金</w:t>
      </w:r>
      <w:r>
        <w:rPr>
          <w:color w:val="333333"/>
          <w:spacing w:val="-14"/>
        </w:rPr>
        <w:t>支付工程款项的，且项目工程进度均达到节点要求，经监管部门核实符合条件的，该部分资金可以拨付至开发企业一般账户。</w:t>
      </w:r>
    </w:p>
    <w:p>
      <w:pPr>
        <w:pStyle w:val="BodyText"/>
        <w:spacing w:line="364" w:lineRule="auto" w:before="4"/>
        <w:ind w:right="271" w:firstLine="640"/>
        <w:jc w:val="both"/>
      </w:pPr>
      <w:r>
        <w:rPr>
          <w:rFonts w:ascii="黑体" w:hAnsi="黑体" w:eastAsia="黑体" w:hint="eastAsia"/>
          <w:color w:val="333333"/>
        </w:rPr>
        <w:t>第三十六条</w:t>
      </w:r>
      <w:r>
        <w:rPr>
          <w:rFonts w:ascii="Arial" w:hAnsi="Arial" w:eastAsia="Arial"/>
          <w:color w:val="333333"/>
        </w:rPr>
        <w:t> </w:t>
      </w:r>
      <w:r>
        <w:rPr>
          <w:color w:val="333333"/>
          <w:spacing w:val="-11"/>
        </w:rPr>
        <w:t>监管银行应严格按照《监管协议》做好监管账</w:t>
      </w:r>
      <w:r>
        <w:rPr>
          <w:color w:val="333333"/>
          <w:spacing w:val="-12"/>
        </w:rPr>
        <w:t>户监控，发现开发企业存在违规挪用监管额度内预售资金的，应</w:t>
      </w:r>
      <w:r>
        <w:rPr>
          <w:color w:val="333333"/>
          <w:spacing w:val="-14"/>
        </w:rPr>
        <w:t>立即停止拨付，实时通过监管系统告知监管部门，并上传证明资</w:t>
      </w:r>
      <w:r>
        <w:rPr>
          <w:color w:val="333333"/>
          <w:spacing w:val="-12"/>
        </w:rPr>
        <w:t>料；监管部门要及时约谈开发企业核实情况，并根据实际情况处</w:t>
      </w:r>
    </w:p>
    <w:p>
      <w:pPr>
        <w:pStyle w:val="BodyText"/>
        <w:spacing w:line="347" w:lineRule="exact" w:before="3"/>
      </w:pPr>
      <w:r>
        <w:rPr>
          <w:color w:val="333333"/>
        </w:rPr>
        <w:t>置。</w:t>
      </w:r>
    </w:p>
    <w:p>
      <w:pPr>
        <w:spacing w:line="320" w:lineRule="exact" w:before="0"/>
        <w:ind w:left="0" w:right="123" w:firstLine="0"/>
        <w:jc w:val="right"/>
        <w:rPr>
          <w:rFonts w:ascii="宋体"/>
          <w:sz w:val="28"/>
        </w:rPr>
      </w:pPr>
      <w:r>
        <w:rPr>
          <w:rFonts w:ascii="宋体"/>
          <w:sz w:val="28"/>
        </w:rPr>
        <w:t>- 20 -</w:t>
      </w:r>
    </w:p>
    <w:p>
      <w:pPr>
        <w:spacing w:after="0" w:line="320" w:lineRule="exact"/>
        <w:jc w:val="right"/>
        <w:rPr>
          <w:rFonts w:ascii="宋体"/>
          <w:sz w:val="28"/>
        </w:rPr>
        <w:sectPr>
          <w:pgSz w:w="11910" w:h="16840"/>
          <w:pgMar w:header="1286" w:footer="1258" w:top="1760" w:bottom="1440" w:left="1480" w:right="1200"/>
        </w:sectPr>
      </w:pPr>
    </w:p>
    <w:p>
      <w:pPr>
        <w:pStyle w:val="BodyText"/>
        <w:spacing w:before="12"/>
        <w:ind w:left="0"/>
        <w:rPr>
          <w:rFonts w:ascii="宋体"/>
          <w:sz w:val="12"/>
        </w:rPr>
      </w:pPr>
    </w:p>
    <w:p>
      <w:pPr>
        <w:pStyle w:val="BodyText"/>
        <w:spacing w:line="36" w:lineRule="exact"/>
        <w:ind w:left="83"/>
        <w:rPr>
          <w:rFonts w:ascii="宋体"/>
          <w:sz w:val="3"/>
        </w:rPr>
      </w:pPr>
      <w:r>
        <w:rPr>
          <w:rFonts w:ascii="宋体"/>
          <w:position w:val="0"/>
          <w:sz w:val="3"/>
        </w:rPr>
        <w:pict>
          <v:group style="width:442.55pt;height:1.75pt;mso-position-horizontal-relative:char;mso-position-vertical-relative:line" coordorigin="0,0" coordsize="8851,35">
            <v:line style="position:absolute" from="0,18" to="8851,18" stroked="true" strokeweight="1.75pt" strokecolor="#005192">
              <v:stroke dashstyle="solid"/>
            </v:line>
          </v:group>
        </w:pict>
      </w:r>
      <w:r>
        <w:rPr>
          <w:rFonts w:ascii="宋体"/>
          <w:position w:val="0"/>
          <w:sz w:val="3"/>
        </w:rPr>
      </w:r>
    </w:p>
    <w:p>
      <w:pPr>
        <w:pStyle w:val="BodyText"/>
        <w:spacing w:line="364" w:lineRule="auto" w:before="93"/>
        <w:ind w:right="273" w:firstLine="640"/>
        <w:jc w:val="both"/>
      </w:pPr>
      <w:r>
        <w:rPr>
          <w:rFonts w:ascii="黑体" w:hAnsi="黑体" w:eastAsia="黑体" w:hint="eastAsia"/>
          <w:color w:val="333333"/>
          <w:spacing w:val="6"/>
        </w:rPr>
        <w:t>第三十七条</w:t>
      </w:r>
      <w:r>
        <w:rPr>
          <w:rFonts w:ascii="Arial" w:hAnsi="Arial" w:eastAsia="Arial"/>
          <w:color w:val="333333"/>
          <w:spacing w:val="7"/>
        </w:rPr>
        <w:t> </w:t>
      </w:r>
      <w:r>
        <w:rPr>
          <w:color w:val="333333"/>
          <w:spacing w:val="5"/>
        </w:rPr>
        <w:t>有关部门对监管账户资金进行冻结或者执行</w:t>
      </w:r>
      <w:r>
        <w:rPr>
          <w:color w:val="333333"/>
          <w:spacing w:val="-12"/>
        </w:rPr>
        <w:t>的，监管银行应当向有关部门说明监管账户和监管额度内预售资</w:t>
      </w:r>
      <w:r>
        <w:rPr>
          <w:color w:val="333333"/>
          <w:spacing w:val="-14"/>
        </w:rPr>
        <w:t>金的性质，并通过监管系统及时向监管部门提供相关冻结和执行信息。</w:t>
      </w:r>
    </w:p>
    <w:p>
      <w:pPr>
        <w:pStyle w:val="BodyText"/>
        <w:spacing w:line="364" w:lineRule="auto" w:before="3"/>
        <w:ind w:right="271" w:firstLine="640"/>
        <w:jc w:val="both"/>
      </w:pPr>
      <w:r>
        <w:rPr>
          <w:rFonts w:ascii="黑体" w:hAnsi="黑体" w:eastAsia="黑体" w:hint="eastAsia"/>
          <w:color w:val="333333"/>
        </w:rPr>
        <w:t>第三十八条</w:t>
      </w:r>
      <w:r>
        <w:rPr>
          <w:rFonts w:ascii="Arial" w:hAnsi="Arial" w:eastAsia="Arial"/>
          <w:color w:val="333333"/>
        </w:rPr>
        <w:t> </w:t>
      </w:r>
      <w:r>
        <w:rPr>
          <w:color w:val="333333"/>
          <w:spacing w:val="-11"/>
        </w:rPr>
        <w:t>工程进度未达使用节点，但面临因维稳目的需</w:t>
      </w:r>
      <w:r>
        <w:rPr>
          <w:color w:val="333333"/>
          <w:spacing w:val="-16"/>
        </w:rPr>
        <w:t>提前支取监管额度内预售资金支付农民工工资的，可由开发企业提出拨付申请，人社部门出具相关证明材料，监管部门审批出具</w:t>
      </w:r>
    </w:p>
    <w:p>
      <w:pPr>
        <w:pStyle w:val="BodyText"/>
        <w:spacing w:line="364" w:lineRule="auto" w:before="2"/>
        <w:ind w:right="158"/>
      </w:pPr>
      <w:r>
        <w:rPr>
          <w:color w:val="333333"/>
        </w:rPr>
        <w:t>《准予拨付通知书》，监管银行将资金拨付至农民工工资专户。开发企业后续销售回款应补足预支部分。</w:t>
      </w:r>
    </w:p>
    <w:p>
      <w:pPr>
        <w:pStyle w:val="BodyText"/>
        <w:spacing w:line="364" w:lineRule="auto" w:before="2"/>
        <w:ind w:right="158" w:firstLine="640"/>
      </w:pPr>
      <w:r>
        <w:rPr>
          <w:rFonts w:ascii="黑体" w:hAnsi="黑体" w:eastAsia="黑体" w:hint="eastAsia"/>
          <w:color w:val="333333"/>
        </w:rPr>
        <w:t>第三十九条</w:t>
      </w:r>
      <w:r>
        <w:rPr>
          <w:rFonts w:ascii="Arial" w:hAnsi="Arial" w:eastAsia="Arial"/>
          <w:color w:val="333333"/>
        </w:rPr>
        <w:t> </w:t>
      </w:r>
      <w:r>
        <w:rPr>
          <w:color w:val="333333"/>
          <w:spacing w:val="-8"/>
        </w:rPr>
        <w:t>非预售资金错误划入监管账户的，开发企业应</w:t>
      </w:r>
      <w:r>
        <w:rPr>
          <w:color w:val="333333"/>
          <w:spacing w:val="-14"/>
        </w:rPr>
        <w:t>通过系统申请账务冲正，上传开发企业和所涉银行共同出具的情</w:t>
      </w:r>
      <w:r>
        <w:rPr>
          <w:color w:val="333333"/>
          <w:spacing w:val="-13"/>
        </w:rPr>
        <w:t>况说明、经办人委托书及身份证明等影像件，办理账务冲正。因发放购房贷款或银行汇款等原因造成资金错误划入监管账户的， </w:t>
      </w:r>
      <w:r>
        <w:rPr>
          <w:color w:val="333333"/>
          <w:spacing w:val="-18"/>
        </w:rPr>
        <w:t>还应当提供相关发起银行出具的说明材料。因银行误传数据、拨付失败等导致账务问题的，可按上述冲正流程处理。</w:t>
      </w:r>
    </w:p>
    <w:p>
      <w:pPr>
        <w:pStyle w:val="BodyText"/>
        <w:spacing w:line="364" w:lineRule="auto" w:before="5"/>
        <w:ind w:right="271" w:firstLine="640"/>
        <w:jc w:val="both"/>
      </w:pPr>
      <w:r>
        <w:rPr>
          <w:color w:val="333333"/>
          <w:spacing w:val="-8"/>
        </w:rPr>
        <w:t>监管部门自受理申请后 </w:t>
      </w:r>
      <w:r>
        <w:rPr>
          <w:color w:val="333333"/>
        </w:rPr>
        <w:t>3</w:t>
      </w:r>
      <w:r>
        <w:rPr>
          <w:color w:val="333333"/>
          <w:spacing w:val="-15"/>
        </w:rPr>
        <w:t> 个工作日内完成审核，通过监管系</w:t>
      </w:r>
      <w:r>
        <w:rPr>
          <w:color w:val="333333"/>
          <w:spacing w:val="-19"/>
        </w:rPr>
        <w:t>统向监管银行发送电子冲正通知书，监管银行按照电子信息办理冲正手续。</w:t>
      </w:r>
    </w:p>
    <w:p>
      <w:pPr>
        <w:pStyle w:val="BodyText"/>
        <w:spacing w:before="2"/>
        <w:ind w:firstLine="640"/>
      </w:pPr>
      <w:r>
        <w:rPr>
          <w:rFonts w:ascii="黑体" w:hAnsi="黑体" w:eastAsia="黑体" w:hint="eastAsia"/>
          <w:color w:val="333333"/>
          <w:w w:val="95"/>
        </w:rPr>
        <w:t>第四十条</w:t>
      </w:r>
      <w:r>
        <w:rPr>
          <w:rFonts w:ascii="Arial" w:hAnsi="Arial" w:eastAsia="Arial"/>
          <w:color w:val="333333"/>
          <w:w w:val="95"/>
        </w:rPr>
        <w:t> </w:t>
      </w:r>
      <w:r>
        <w:rPr>
          <w:color w:val="333333"/>
          <w:w w:val="95"/>
        </w:rPr>
        <w:t>开发企业与购房人解除预签约且定金已交存至</w:t>
      </w:r>
    </w:p>
    <w:p>
      <w:pPr>
        <w:pStyle w:val="BodyText"/>
        <w:spacing w:line="620" w:lineRule="atLeast" w:before="4"/>
        <w:ind w:right="273"/>
      </w:pPr>
      <w:r>
        <w:rPr>
          <w:color w:val="333333"/>
          <w:spacing w:val="-11"/>
        </w:rPr>
        <w:t>监管账户的，开发企业应通过监管系统申请定金退款，监管部门</w:t>
      </w:r>
      <w:r>
        <w:rPr>
          <w:color w:val="333333"/>
          <w:spacing w:val="-16"/>
          <w:w w:val="95"/>
        </w:rPr>
        <w:t>核实退款申请与退款约定一致的，通过监管系统将同意退款的电</w:t>
      </w:r>
    </w:p>
    <w:p>
      <w:pPr>
        <w:spacing w:line="262" w:lineRule="exact" w:before="0"/>
        <w:ind w:left="0" w:right="123" w:firstLine="0"/>
        <w:jc w:val="right"/>
        <w:rPr>
          <w:rFonts w:ascii="宋体"/>
          <w:sz w:val="28"/>
        </w:rPr>
      </w:pPr>
      <w:r>
        <w:rPr>
          <w:rFonts w:ascii="宋体"/>
          <w:sz w:val="28"/>
        </w:rPr>
        <w:t>- 21 -</w:t>
      </w:r>
    </w:p>
    <w:p>
      <w:pPr>
        <w:spacing w:after="0" w:line="262" w:lineRule="exact"/>
        <w:jc w:val="right"/>
        <w:rPr>
          <w:rFonts w:ascii="宋体"/>
          <w:sz w:val="28"/>
        </w:rPr>
        <w:sectPr>
          <w:pgSz w:w="11910" w:h="16840"/>
          <w:pgMar w:header="1286" w:footer="1258" w:top="1760" w:bottom="1440" w:left="1480" w:right="1200"/>
        </w:sectPr>
      </w:pPr>
    </w:p>
    <w:p>
      <w:pPr>
        <w:pStyle w:val="BodyText"/>
        <w:spacing w:before="12"/>
        <w:ind w:left="0"/>
        <w:rPr>
          <w:rFonts w:ascii="宋体"/>
          <w:sz w:val="12"/>
        </w:rPr>
      </w:pPr>
    </w:p>
    <w:p>
      <w:pPr>
        <w:pStyle w:val="BodyText"/>
        <w:spacing w:line="36" w:lineRule="exact"/>
        <w:ind w:left="83"/>
        <w:rPr>
          <w:rFonts w:ascii="宋体"/>
          <w:sz w:val="3"/>
        </w:rPr>
      </w:pPr>
      <w:r>
        <w:rPr>
          <w:rFonts w:ascii="宋体"/>
          <w:position w:val="0"/>
          <w:sz w:val="3"/>
        </w:rPr>
        <w:pict>
          <v:group style="width:442.55pt;height:1.75pt;mso-position-horizontal-relative:char;mso-position-vertical-relative:line" coordorigin="0,0" coordsize="8851,35">
            <v:line style="position:absolute" from="0,18" to="8851,18" stroked="true" strokeweight="1.75pt" strokecolor="#005192">
              <v:stroke dashstyle="solid"/>
            </v:line>
          </v:group>
        </w:pict>
      </w:r>
      <w:r>
        <w:rPr>
          <w:rFonts w:ascii="宋体"/>
          <w:position w:val="0"/>
          <w:sz w:val="3"/>
        </w:rPr>
      </w:r>
    </w:p>
    <w:p>
      <w:pPr>
        <w:pStyle w:val="BodyText"/>
        <w:spacing w:line="364" w:lineRule="auto" w:before="93"/>
        <w:ind w:right="273"/>
      </w:pPr>
      <w:r>
        <w:rPr>
          <w:color w:val="333333"/>
          <w:spacing w:val="-16"/>
        </w:rPr>
        <w:t>子信息发送至监管银行，监管银行应在 </w:t>
      </w:r>
      <w:r>
        <w:rPr>
          <w:color w:val="333333"/>
        </w:rPr>
        <w:t>2</w:t>
      </w:r>
      <w:r>
        <w:rPr>
          <w:color w:val="333333"/>
          <w:spacing w:val="-10"/>
        </w:rPr>
        <w:t> 个工作日内按照原途径退回定金。</w:t>
      </w:r>
    </w:p>
    <w:p>
      <w:pPr>
        <w:pStyle w:val="BodyText"/>
        <w:spacing w:line="364" w:lineRule="auto" w:before="1"/>
        <w:ind w:right="271" w:firstLine="640"/>
        <w:jc w:val="both"/>
      </w:pPr>
      <w:r>
        <w:rPr>
          <w:color w:val="333333"/>
          <w:spacing w:val="5"/>
        </w:rPr>
        <w:t>退房房源房价款存入监管账户且发企业与购房人解除买卖</w:t>
      </w:r>
      <w:r>
        <w:rPr>
          <w:color w:val="333333"/>
          <w:spacing w:val="-10"/>
        </w:rPr>
        <w:t>合同的，退房退款优先使用监管额度外预售资金支付，监管额度</w:t>
      </w:r>
      <w:r>
        <w:rPr>
          <w:color w:val="333333"/>
          <w:spacing w:val="-13"/>
        </w:rPr>
        <w:t>外资金不足的，可申请使用监管额度内预售资金。退房退款后导</w:t>
      </w:r>
      <w:r>
        <w:rPr>
          <w:color w:val="333333"/>
          <w:spacing w:val="-17"/>
        </w:rPr>
        <w:t>致监管额度内预售资金不足的，后续房价款应补足监管额度内预售资金。</w:t>
      </w:r>
    </w:p>
    <w:p>
      <w:pPr>
        <w:pStyle w:val="BodyText"/>
        <w:spacing w:line="364" w:lineRule="auto" w:before="4"/>
        <w:ind w:right="271" w:firstLine="640"/>
        <w:jc w:val="both"/>
      </w:pPr>
      <w:r>
        <w:rPr>
          <w:color w:val="333333"/>
          <w:spacing w:val="-5"/>
        </w:rPr>
        <w:t>开发企业或退房人应通过监管系统提交退房退款申请，监管</w:t>
      </w:r>
      <w:r>
        <w:rPr>
          <w:color w:val="333333"/>
          <w:spacing w:val="-14"/>
        </w:rPr>
        <w:t>部门自受理之日起 </w:t>
      </w:r>
      <w:r>
        <w:rPr>
          <w:color w:val="333333"/>
        </w:rPr>
        <w:t>3</w:t>
      </w:r>
      <w:r>
        <w:rPr>
          <w:color w:val="333333"/>
          <w:spacing w:val="-16"/>
        </w:rPr>
        <w:t> 个工作日内完成审核，审核通过的，通过监</w:t>
      </w:r>
    </w:p>
    <w:p>
      <w:pPr>
        <w:pStyle w:val="BodyText"/>
        <w:spacing w:line="364" w:lineRule="auto" w:before="2"/>
        <w:ind w:right="273"/>
      </w:pPr>
      <w:r>
        <w:rPr>
          <w:color w:val="333333"/>
          <w:spacing w:val="-9"/>
        </w:rPr>
        <w:t>管系统向监管银行发送同意退款的电子信息。监管银行应在 </w:t>
      </w:r>
      <w:r>
        <w:rPr>
          <w:color w:val="333333"/>
        </w:rPr>
        <w:t>2</w:t>
      </w:r>
      <w:r>
        <w:rPr>
          <w:color w:val="333333"/>
          <w:spacing w:val="-43"/>
        </w:rPr>
        <w:t> 个工作日内按照原途径退回购房款。</w:t>
      </w:r>
    </w:p>
    <w:p>
      <w:pPr>
        <w:pStyle w:val="BodyText"/>
        <w:ind w:left="0"/>
      </w:pPr>
    </w:p>
    <w:p>
      <w:pPr>
        <w:pStyle w:val="BodyText"/>
        <w:spacing w:before="216"/>
        <w:ind w:left="3089"/>
        <w:rPr>
          <w:rFonts w:ascii="黑体" w:hAnsi="黑体" w:eastAsia="黑体" w:hint="eastAsia"/>
        </w:rPr>
      </w:pPr>
      <w:r>
        <w:rPr>
          <w:rFonts w:ascii="黑体" w:hAnsi="黑体" w:eastAsia="黑体" w:hint="eastAsia"/>
          <w:color w:val="333333"/>
        </w:rPr>
        <w:t>第六章</w:t>
      </w:r>
      <w:r>
        <w:rPr>
          <w:rFonts w:ascii="Arial" w:hAnsi="Arial" w:eastAsia="Arial"/>
          <w:color w:val="333333"/>
        </w:rPr>
        <w:t> </w:t>
      </w:r>
      <w:r>
        <w:rPr>
          <w:rFonts w:ascii="黑体" w:hAnsi="黑体" w:eastAsia="黑体" w:hint="eastAsia"/>
          <w:color w:val="333333"/>
        </w:rPr>
        <w:t>监管协议的解除</w:t>
      </w:r>
    </w:p>
    <w:p>
      <w:pPr>
        <w:pStyle w:val="BodyText"/>
        <w:ind w:left="0"/>
        <w:rPr>
          <w:rFonts w:ascii="黑体"/>
          <w:sz w:val="36"/>
        </w:rPr>
      </w:pPr>
    </w:p>
    <w:p>
      <w:pPr>
        <w:pStyle w:val="BodyText"/>
        <w:spacing w:before="4"/>
        <w:ind w:left="0"/>
        <w:rPr>
          <w:rFonts w:ascii="黑体"/>
          <w:sz w:val="29"/>
        </w:rPr>
      </w:pPr>
    </w:p>
    <w:p>
      <w:pPr>
        <w:pStyle w:val="BodyText"/>
        <w:spacing w:line="364" w:lineRule="auto" w:before="1"/>
        <w:ind w:right="273" w:firstLine="640"/>
        <w:jc w:val="both"/>
      </w:pPr>
      <w:r>
        <w:rPr>
          <w:rFonts w:ascii="黑体" w:hAnsi="黑体" w:eastAsia="黑体" w:hint="eastAsia"/>
          <w:color w:val="333333"/>
          <w:spacing w:val="6"/>
        </w:rPr>
        <w:t>第四十一条</w:t>
      </w:r>
      <w:r>
        <w:rPr>
          <w:rFonts w:ascii="Arial" w:hAnsi="Arial" w:eastAsia="Arial"/>
          <w:color w:val="333333"/>
          <w:spacing w:val="7"/>
        </w:rPr>
        <w:t> </w:t>
      </w:r>
      <w:r>
        <w:rPr>
          <w:color w:val="333333"/>
          <w:spacing w:val="5"/>
        </w:rPr>
        <w:t>监管项目办结不动产首次登记且代缴未售房</w:t>
      </w:r>
      <w:r>
        <w:rPr>
          <w:color w:val="333333"/>
          <w:spacing w:val="-6"/>
        </w:rPr>
        <w:t>屋住宅专项维修资金后，开发企业即可申请解除项目预售资金监管。</w:t>
      </w:r>
    </w:p>
    <w:p>
      <w:pPr>
        <w:pStyle w:val="BodyText"/>
        <w:spacing w:line="364" w:lineRule="auto" w:before="2"/>
        <w:ind w:right="273" w:firstLine="640"/>
      </w:pPr>
      <w:r>
        <w:rPr>
          <w:rFonts w:ascii="黑体" w:hAnsi="黑体" w:eastAsia="黑体" w:hint="eastAsia"/>
          <w:color w:val="333333"/>
        </w:rPr>
        <w:t>第四十二条</w:t>
      </w:r>
      <w:r>
        <w:rPr>
          <w:rFonts w:ascii="Arial" w:hAnsi="Arial" w:eastAsia="Arial"/>
          <w:color w:val="333333"/>
        </w:rPr>
        <w:t> </w:t>
      </w:r>
      <w:r>
        <w:rPr>
          <w:color w:val="333333"/>
        </w:rPr>
        <w:t>开发企业通过监管系统选择需要解除预售资金监管的项目，并在监管系统中提交以下资料：</w:t>
      </w:r>
    </w:p>
    <w:p>
      <w:pPr>
        <w:pStyle w:val="BodyText"/>
        <w:spacing w:before="2"/>
        <w:ind w:left="747"/>
      </w:pPr>
      <w:r>
        <w:rPr>
          <w:color w:val="333333"/>
        </w:rPr>
        <w:t>（一）商品房不动产首次登记办结证明；</w:t>
      </w:r>
    </w:p>
    <w:p>
      <w:pPr>
        <w:pStyle w:val="BodyText"/>
        <w:spacing w:line="347" w:lineRule="exact" w:before="214"/>
        <w:ind w:left="747"/>
      </w:pPr>
      <w:r>
        <w:rPr>
          <w:color w:val="333333"/>
        </w:rPr>
        <w:t>（二）住宅专项维修资金缴交凭证。</w:t>
      </w:r>
    </w:p>
    <w:p>
      <w:pPr>
        <w:spacing w:line="320" w:lineRule="exact" w:before="0"/>
        <w:ind w:left="0" w:right="123" w:firstLine="0"/>
        <w:jc w:val="right"/>
        <w:rPr>
          <w:rFonts w:ascii="宋体"/>
          <w:sz w:val="28"/>
        </w:rPr>
      </w:pPr>
      <w:r>
        <w:rPr>
          <w:rFonts w:ascii="宋体"/>
          <w:sz w:val="28"/>
        </w:rPr>
        <w:t>- 22 -</w:t>
      </w:r>
    </w:p>
    <w:p>
      <w:pPr>
        <w:spacing w:after="0" w:line="320" w:lineRule="exact"/>
        <w:jc w:val="right"/>
        <w:rPr>
          <w:rFonts w:ascii="宋体"/>
          <w:sz w:val="28"/>
        </w:rPr>
        <w:sectPr>
          <w:pgSz w:w="11910" w:h="16840"/>
          <w:pgMar w:header="1286" w:footer="1258" w:top="1760" w:bottom="1440" w:left="1480" w:right="1200"/>
        </w:sectPr>
      </w:pPr>
    </w:p>
    <w:p>
      <w:pPr>
        <w:pStyle w:val="BodyText"/>
        <w:spacing w:before="12"/>
        <w:ind w:left="0"/>
        <w:rPr>
          <w:rFonts w:ascii="宋体"/>
          <w:sz w:val="12"/>
        </w:rPr>
      </w:pPr>
    </w:p>
    <w:p>
      <w:pPr>
        <w:pStyle w:val="BodyText"/>
        <w:spacing w:line="36" w:lineRule="exact"/>
        <w:ind w:left="83"/>
        <w:rPr>
          <w:rFonts w:ascii="宋体"/>
          <w:sz w:val="3"/>
        </w:rPr>
      </w:pPr>
      <w:r>
        <w:rPr>
          <w:rFonts w:ascii="宋体"/>
          <w:position w:val="0"/>
          <w:sz w:val="3"/>
        </w:rPr>
        <w:pict>
          <v:group style="width:442.55pt;height:1.75pt;mso-position-horizontal-relative:char;mso-position-vertical-relative:line" coordorigin="0,0" coordsize="8851,35">
            <v:line style="position:absolute" from="0,18" to="8851,18" stroked="true" strokeweight="1.75pt" strokecolor="#005192">
              <v:stroke dashstyle="solid"/>
            </v:line>
          </v:group>
        </w:pict>
      </w:r>
      <w:r>
        <w:rPr>
          <w:rFonts w:ascii="宋体"/>
          <w:position w:val="0"/>
          <w:sz w:val="3"/>
        </w:rPr>
      </w:r>
    </w:p>
    <w:p>
      <w:pPr>
        <w:pStyle w:val="BodyText"/>
        <w:spacing w:line="364" w:lineRule="auto" w:before="93"/>
        <w:ind w:right="271" w:firstLine="640"/>
        <w:jc w:val="both"/>
      </w:pPr>
      <w:r>
        <w:rPr>
          <w:rFonts w:ascii="黑体" w:eastAsia="黑体" w:hint="eastAsia"/>
          <w:color w:val="333333"/>
          <w:spacing w:val="6"/>
        </w:rPr>
        <w:t>第四十三条 </w:t>
      </w:r>
      <w:r>
        <w:rPr>
          <w:color w:val="333333"/>
        </w:rPr>
        <w:t>监管部门受理解除资金监管申请后 2</w:t>
      </w:r>
      <w:r>
        <w:rPr>
          <w:color w:val="333333"/>
          <w:spacing w:val="-15"/>
        </w:rPr>
        <w:t> 个工作</w:t>
      </w:r>
      <w:r>
        <w:rPr>
          <w:color w:val="333333"/>
          <w:spacing w:val="-26"/>
        </w:rPr>
        <w:t>日内完成核实。核实通过后，开发企业通过监管系统自行打印《商</w:t>
      </w:r>
      <w:r>
        <w:rPr>
          <w:color w:val="333333"/>
          <w:spacing w:val="-22"/>
          <w:w w:val="95"/>
        </w:rPr>
        <w:t>品房预售资金解除监管证明》，同时在监管系统上填写《解除监 </w:t>
      </w:r>
      <w:r>
        <w:rPr>
          <w:color w:val="333333"/>
          <w:spacing w:val="-20"/>
        </w:rPr>
        <w:t>管项目资金转出确认表》办理资金转出手续，并到监管银行办理解除账户监管手续。</w:t>
      </w:r>
    </w:p>
    <w:p>
      <w:pPr>
        <w:pStyle w:val="BodyText"/>
        <w:ind w:left="0"/>
      </w:pPr>
    </w:p>
    <w:p>
      <w:pPr>
        <w:pStyle w:val="BodyText"/>
        <w:spacing w:before="218"/>
        <w:ind w:left="893" w:right="422"/>
        <w:jc w:val="center"/>
        <w:rPr>
          <w:rFonts w:ascii="黑体" w:hAnsi="黑体" w:eastAsia="黑体" w:hint="eastAsia"/>
        </w:rPr>
      </w:pPr>
      <w:r>
        <w:rPr>
          <w:rFonts w:ascii="黑体" w:hAnsi="黑体" w:eastAsia="黑体" w:hint="eastAsia"/>
          <w:color w:val="333333"/>
        </w:rPr>
        <w:t>第七章</w:t>
      </w:r>
      <w:r>
        <w:rPr>
          <w:rFonts w:ascii="Arial" w:hAnsi="Arial" w:eastAsia="Arial"/>
          <w:color w:val="333333"/>
        </w:rPr>
        <w:t> </w:t>
      </w:r>
      <w:r>
        <w:rPr>
          <w:rFonts w:ascii="黑体" w:hAnsi="黑体" w:eastAsia="黑体" w:hint="eastAsia"/>
          <w:color w:val="333333"/>
        </w:rPr>
        <w:t>监督管理</w:t>
      </w:r>
    </w:p>
    <w:p>
      <w:pPr>
        <w:pStyle w:val="BodyText"/>
        <w:ind w:left="0"/>
        <w:rPr>
          <w:rFonts w:ascii="黑体"/>
          <w:sz w:val="36"/>
        </w:rPr>
      </w:pPr>
    </w:p>
    <w:p>
      <w:pPr>
        <w:pStyle w:val="BodyText"/>
        <w:spacing w:before="5"/>
        <w:ind w:left="0"/>
        <w:rPr>
          <w:rFonts w:ascii="黑体"/>
          <w:sz w:val="29"/>
        </w:rPr>
      </w:pPr>
    </w:p>
    <w:p>
      <w:pPr>
        <w:pStyle w:val="BodyText"/>
        <w:spacing w:line="364" w:lineRule="auto"/>
        <w:ind w:right="158" w:firstLine="640"/>
      </w:pPr>
      <w:r>
        <w:rPr>
          <w:rFonts w:ascii="黑体" w:hAnsi="黑体" w:eastAsia="黑体" w:hint="eastAsia"/>
          <w:color w:val="333333"/>
        </w:rPr>
        <w:t>第四十四条</w:t>
      </w:r>
      <w:r>
        <w:rPr>
          <w:rFonts w:ascii="Arial" w:hAnsi="Arial" w:eastAsia="Arial"/>
          <w:color w:val="333333"/>
        </w:rPr>
        <w:t> </w:t>
      </w:r>
      <w:r>
        <w:rPr>
          <w:color w:val="333333"/>
        </w:rPr>
        <w:t>开发企业对提供申报材料的真实性、合法性、</w:t>
      </w:r>
      <w:r>
        <w:rPr>
          <w:color w:val="333333"/>
          <w:spacing w:val="-10"/>
        </w:rPr>
        <w:t>有效性负责。提供虚假材料开设监管账户、骗取监管内资金，未按规定将预售资金全部存入监管账户，变相逃避预售资金监管， </w:t>
      </w:r>
      <w:r>
        <w:rPr>
          <w:color w:val="333333"/>
          <w:spacing w:val="5"/>
        </w:rPr>
        <w:t>未按规定使用预售资金以及其他违反本实施细则或监管协议等</w:t>
      </w:r>
      <w:r>
        <w:rPr>
          <w:color w:val="333333"/>
          <w:spacing w:val="-9"/>
        </w:rPr>
        <w:t>行为的，监管部门对相关开发企业进行约谈，责令限期改正，逾</w:t>
      </w:r>
      <w:r>
        <w:rPr>
          <w:color w:val="333333"/>
          <w:spacing w:val="-14"/>
        </w:rPr>
        <w:t>期不改正的，关闭该项目商品房买卖合同网上签约、暂停受理预</w:t>
      </w:r>
      <w:r>
        <w:rPr>
          <w:color w:val="333333"/>
          <w:spacing w:val="-15"/>
        </w:rPr>
        <w:t>售资金拨付申请，并按照法律法规和信用管理相关规定处理，记</w:t>
      </w:r>
      <w:r>
        <w:rPr>
          <w:color w:val="333333"/>
          <w:spacing w:val="-18"/>
        </w:rPr>
        <w:t>入企业信用评价系统，向社会公示。情节严重的，依法追究其法律责任。</w:t>
      </w:r>
    </w:p>
    <w:p>
      <w:pPr>
        <w:pStyle w:val="BodyText"/>
        <w:spacing w:line="364" w:lineRule="auto" w:before="7"/>
        <w:ind w:right="271" w:firstLine="640"/>
        <w:jc w:val="both"/>
      </w:pPr>
      <w:r>
        <w:rPr>
          <w:rFonts w:ascii="黑体" w:hAnsi="黑体" w:eastAsia="黑体" w:hint="eastAsia"/>
          <w:color w:val="333333"/>
        </w:rPr>
        <w:t>第四十五条</w:t>
      </w:r>
      <w:r>
        <w:rPr>
          <w:rFonts w:ascii="Arial" w:hAnsi="Arial" w:eastAsia="Arial"/>
          <w:color w:val="333333"/>
        </w:rPr>
        <w:t> </w:t>
      </w:r>
      <w:r>
        <w:rPr>
          <w:color w:val="333333"/>
          <w:spacing w:val="-11"/>
        </w:rPr>
        <w:t>施工、监理、材料及设备供应等单位隐瞒、虚</w:t>
      </w:r>
      <w:r>
        <w:rPr>
          <w:color w:val="333333"/>
          <w:spacing w:val="-16"/>
        </w:rPr>
        <w:t>构事实或者出具虚假证明材料，套取或者协助开发企业套取预售资金的，应承担相应经济、法律责任。</w:t>
      </w:r>
    </w:p>
    <w:p>
      <w:pPr>
        <w:pStyle w:val="BodyText"/>
        <w:spacing w:line="359" w:lineRule="exact" w:before="2"/>
        <w:ind w:left="747"/>
      </w:pPr>
      <w:r>
        <w:rPr>
          <w:rFonts w:ascii="黑体" w:hAnsi="黑体" w:eastAsia="黑体" w:hint="eastAsia"/>
          <w:color w:val="333333"/>
        </w:rPr>
        <w:t>第四十六条</w:t>
      </w:r>
      <w:r>
        <w:rPr>
          <w:rFonts w:ascii="Arial" w:hAnsi="Arial" w:eastAsia="Arial"/>
          <w:color w:val="333333"/>
        </w:rPr>
        <w:t> </w:t>
      </w:r>
      <w:r>
        <w:rPr>
          <w:color w:val="333333"/>
        </w:rPr>
        <w:t>监管银行要严格按照监管协议做好监管账户</w:t>
      </w:r>
    </w:p>
    <w:p>
      <w:pPr>
        <w:spacing w:line="308" w:lineRule="exact" w:before="0"/>
        <w:ind w:left="0" w:right="123" w:firstLine="0"/>
        <w:jc w:val="right"/>
        <w:rPr>
          <w:rFonts w:ascii="宋体"/>
          <w:sz w:val="28"/>
        </w:rPr>
      </w:pPr>
      <w:r>
        <w:rPr>
          <w:rFonts w:ascii="宋体"/>
          <w:sz w:val="28"/>
        </w:rPr>
        <w:t>- 23 -</w:t>
      </w:r>
    </w:p>
    <w:p>
      <w:pPr>
        <w:spacing w:after="0" w:line="308" w:lineRule="exact"/>
        <w:jc w:val="right"/>
        <w:rPr>
          <w:rFonts w:ascii="宋体"/>
          <w:sz w:val="28"/>
        </w:rPr>
        <w:sectPr>
          <w:pgSz w:w="11910" w:h="16840"/>
          <w:pgMar w:header="1286" w:footer="1258" w:top="1760" w:bottom="1440" w:left="1480" w:right="1200"/>
        </w:sectPr>
      </w:pPr>
    </w:p>
    <w:p>
      <w:pPr>
        <w:pStyle w:val="BodyText"/>
        <w:spacing w:before="12"/>
        <w:ind w:left="0"/>
        <w:rPr>
          <w:rFonts w:ascii="宋体"/>
          <w:sz w:val="12"/>
        </w:rPr>
      </w:pPr>
    </w:p>
    <w:p>
      <w:pPr>
        <w:pStyle w:val="BodyText"/>
        <w:spacing w:line="36" w:lineRule="exact"/>
        <w:ind w:left="83"/>
        <w:rPr>
          <w:rFonts w:ascii="宋体"/>
          <w:sz w:val="3"/>
        </w:rPr>
      </w:pPr>
      <w:r>
        <w:rPr>
          <w:rFonts w:ascii="宋体"/>
          <w:position w:val="0"/>
          <w:sz w:val="3"/>
        </w:rPr>
        <w:pict>
          <v:group style="width:442.55pt;height:1.75pt;mso-position-horizontal-relative:char;mso-position-vertical-relative:line" coordorigin="0,0" coordsize="8851,35">
            <v:line style="position:absolute" from="0,18" to="8851,18" stroked="true" strokeweight="1.75pt" strokecolor="#005192">
              <v:stroke dashstyle="solid"/>
            </v:line>
          </v:group>
        </w:pict>
      </w:r>
      <w:r>
        <w:rPr>
          <w:rFonts w:ascii="宋体"/>
          <w:position w:val="0"/>
          <w:sz w:val="3"/>
        </w:rPr>
      </w:r>
    </w:p>
    <w:p>
      <w:pPr>
        <w:pStyle w:val="BodyText"/>
        <w:spacing w:line="364" w:lineRule="auto" w:before="93"/>
        <w:ind w:right="271"/>
        <w:jc w:val="both"/>
      </w:pPr>
      <w:r>
        <w:rPr>
          <w:color w:val="333333"/>
          <w:spacing w:val="-11"/>
        </w:rPr>
        <w:t>监控，根据监管协议及时与监管部门进行对账，配合监管部门对</w:t>
      </w:r>
      <w:r>
        <w:rPr>
          <w:color w:val="333333"/>
          <w:spacing w:val="-17"/>
        </w:rPr>
        <w:t>开发企业的资金使用申请进行审核等工作。发现开发企业存在违</w:t>
      </w:r>
      <w:r>
        <w:rPr>
          <w:color w:val="333333"/>
          <w:spacing w:val="-20"/>
          <w:w w:val="95"/>
        </w:rPr>
        <w:t>规挪用监管额度内预售资金问题的，应当停止拨付，并立即告知 </w:t>
      </w:r>
      <w:r>
        <w:rPr>
          <w:color w:val="333333"/>
          <w:spacing w:val="-20"/>
        </w:rPr>
        <w:t>监管部门，监管部门应及时作出处理。</w:t>
      </w:r>
    </w:p>
    <w:p>
      <w:pPr>
        <w:pStyle w:val="BodyText"/>
        <w:spacing w:line="364" w:lineRule="auto" w:before="3"/>
        <w:ind w:right="271" w:firstLine="640"/>
        <w:jc w:val="both"/>
      </w:pPr>
      <w:r>
        <w:rPr>
          <w:color w:val="333333"/>
          <w:spacing w:val="-7"/>
        </w:rPr>
        <w:t>监管银行违反本实施细则或监管协议，未经监管部门同意擅</w:t>
      </w:r>
      <w:r>
        <w:rPr>
          <w:color w:val="333333"/>
          <w:spacing w:val="-15"/>
        </w:rPr>
        <w:t>自拨付监管账户预售资金，擅自截留、挪用或者拖延支付预售资</w:t>
      </w:r>
      <w:r>
        <w:rPr>
          <w:color w:val="333333"/>
          <w:spacing w:val="-12"/>
        </w:rPr>
        <w:t>金，拒绝支付预售资金，因工作失职导致监管账户预售资金被骗</w:t>
      </w:r>
    </w:p>
    <w:p>
      <w:pPr>
        <w:pStyle w:val="BodyText"/>
        <w:spacing w:line="364" w:lineRule="auto" w:before="2"/>
        <w:ind w:right="271"/>
        <w:jc w:val="both"/>
      </w:pPr>
      <w:r>
        <w:rPr>
          <w:color w:val="333333"/>
        </w:rPr>
        <w:t>（套</w:t>
      </w:r>
      <w:r>
        <w:rPr>
          <w:color w:val="333333"/>
          <w:spacing w:val="-39"/>
        </w:rPr>
        <w:t>）</w:t>
      </w:r>
      <w:r>
        <w:rPr>
          <w:color w:val="333333"/>
          <w:spacing w:val="-8"/>
        </w:rPr>
        <w:t>取等情形的，监管部门责令限期整改，对拒不整改或者整</w:t>
      </w:r>
      <w:r>
        <w:rPr>
          <w:color w:val="333333"/>
          <w:spacing w:val="-14"/>
        </w:rPr>
        <w:t>改不到位的，终止监管资格，不得继续作为监管银行，并从监管</w:t>
      </w:r>
      <w:r>
        <w:rPr>
          <w:color w:val="333333"/>
          <w:spacing w:val="-16"/>
        </w:rPr>
        <w:t>银行名录库中剔除；造成损失的，监管银行依法承担相应赔偿责</w:t>
      </w:r>
      <w:r>
        <w:rPr>
          <w:color w:val="333333"/>
          <w:spacing w:val="-12"/>
        </w:rPr>
        <w:t>任。州住房和城乡建设部门将违规情况通报国家金融监督管理总局德宏监管分局、中国人民银行德宏州分行。</w:t>
      </w:r>
    </w:p>
    <w:p>
      <w:pPr>
        <w:pStyle w:val="BodyText"/>
        <w:spacing w:line="364" w:lineRule="auto" w:before="4"/>
        <w:ind w:right="158" w:firstLine="640"/>
      </w:pPr>
      <w:r>
        <w:rPr>
          <w:rFonts w:ascii="黑体" w:hAnsi="黑体" w:eastAsia="黑体" w:hint="eastAsia"/>
          <w:color w:val="333333"/>
        </w:rPr>
        <w:t>第四十七条</w:t>
      </w:r>
      <w:r>
        <w:rPr>
          <w:rFonts w:ascii="Arial" w:hAnsi="Arial" w:eastAsia="Arial"/>
          <w:color w:val="333333"/>
        </w:rPr>
        <w:t> </w:t>
      </w:r>
      <w:r>
        <w:rPr>
          <w:color w:val="333333"/>
        </w:rPr>
        <w:t>购房人应当配合监管部门、监管银行、公积金管理中心将预售资金存入监管账户，积极维护自身的合同权益。</w:t>
      </w:r>
    </w:p>
    <w:p>
      <w:pPr>
        <w:pStyle w:val="BodyText"/>
        <w:spacing w:line="364" w:lineRule="auto" w:before="2"/>
        <w:ind w:right="271" w:firstLine="640"/>
        <w:jc w:val="both"/>
      </w:pPr>
      <w:r>
        <w:rPr>
          <w:rFonts w:ascii="黑体" w:hAnsi="黑体" w:eastAsia="黑体" w:hint="eastAsia"/>
          <w:color w:val="333333"/>
        </w:rPr>
        <w:t>第四十八条</w:t>
      </w:r>
      <w:r>
        <w:rPr>
          <w:rFonts w:ascii="Arial" w:hAnsi="Arial" w:eastAsia="Arial"/>
          <w:color w:val="333333"/>
        </w:rPr>
        <w:t> </w:t>
      </w:r>
      <w:r>
        <w:rPr>
          <w:color w:val="333333"/>
          <w:spacing w:val="-7"/>
        </w:rPr>
        <w:t>监管部门对不符合条件的资金使用申请，不予</w:t>
      </w:r>
      <w:r>
        <w:rPr>
          <w:color w:val="333333"/>
          <w:spacing w:val="-14"/>
        </w:rPr>
        <w:t>办理审批手续，监管机构相关工作人员在资金监管工作中玩忽职守、滥用职权、徇私舞弊的，依法依规依纪予以处理。</w:t>
      </w:r>
    </w:p>
    <w:p>
      <w:pPr>
        <w:pStyle w:val="BodyText"/>
        <w:spacing w:line="364" w:lineRule="auto" w:before="2"/>
        <w:ind w:right="271" w:firstLine="640"/>
        <w:jc w:val="both"/>
      </w:pPr>
      <w:r>
        <w:rPr>
          <w:rFonts w:ascii="黑体" w:hAnsi="黑体" w:eastAsia="黑体" w:hint="eastAsia"/>
          <w:color w:val="333333"/>
        </w:rPr>
        <w:t>第四十九条</w:t>
      </w:r>
      <w:r>
        <w:rPr>
          <w:rFonts w:ascii="Arial" w:hAnsi="Arial" w:eastAsia="Arial"/>
          <w:color w:val="333333"/>
        </w:rPr>
        <w:t> </w:t>
      </w:r>
      <w:r>
        <w:rPr>
          <w:color w:val="333333"/>
          <w:spacing w:val="-11"/>
        </w:rPr>
        <w:t>州住房和城乡建设局、国家金融监督管理总局</w:t>
      </w:r>
      <w:r>
        <w:rPr>
          <w:color w:val="333333"/>
          <w:spacing w:val="-14"/>
        </w:rPr>
        <w:t>德宏监管分局、中国人民银行德宏州分行定期对监管银行进行监</w:t>
      </w:r>
      <w:r>
        <w:rPr>
          <w:color w:val="333333"/>
          <w:spacing w:val="-15"/>
        </w:rPr>
        <w:t>督检查，并将检查结果进行通报。国家金融监督管理总局德宏监</w:t>
      </w:r>
      <w:r>
        <w:rPr>
          <w:color w:val="333333"/>
          <w:spacing w:val="-14"/>
        </w:rPr>
        <w:t>管分局、中国人民银行德宏州分行对违反本实施细则相关规定的</w:t>
      </w:r>
    </w:p>
    <w:p>
      <w:pPr>
        <w:spacing w:after="0" w:line="364" w:lineRule="auto"/>
        <w:jc w:val="both"/>
        <w:sectPr>
          <w:footerReference w:type="default" r:id="rId8"/>
          <w:pgSz w:w="11910" w:h="16840"/>
          <w:pgMar w:footer="1258" w:header="1286" w:top="1760" w:bottom="1440" w:left="1480" w:right="1200"/>
          <w:pgNumType w:start="24"/>
        </w:sectPr>
      </w:pPr>
    </w:p>
    <w:p>
      <w:pPr>
        <w:pStyle w:val="BodyText"/>
        <w:spacing w:before="12"/>
        <w:ind w:left="0"/>
        <w:rPr>
          <w:sz w:val="12"/>
        </w:rPr>
      </w:pPr>
    </w:p>
    <w:p>
      <w:pPr>
        <w:pStyle w:val="BodyText"/>
        <w:spacing w:line="36" w:lineRule="exact"/>
        <w:ind w:left="83"/>
        <w:rPr>
          <w:sz w:val="3"/>
        </w:rPr>
      </w:pPr>
      <w:r>
        <w:rPr>
          <w:position w:val="0"/>
          <w:sz w:val="3"/>
        </w:rPr>
        <w:pict>
          <v:group style="width:442.55pt;height:1.75pt;mso-position-horizontal-relative:char;mso-position-vertical-relative:line" coordorigin="0,0" coordsize="8851,35">
            <v:line style="position:absolute" from="0,18" to="8851,18" stroked="true" strokeweight="1.75pt" strokecolor="#005192">
              <v:stroke dashstyle="solid"/>
            </v:line>
          </v:group>
        </w:pict>
      </w:r>
      <w:r>
        <w:rPr>
          <w:position w:val="0"/>
          <w:sz w:val="3"/>
        </w:rPr>
      </w:r>
    </w:p>
    <w:p>
      <w:pPr>
        <w:pStyle w:val="BodyText"/>
        <w:spacing w:before="93"/>
      </w:pPr>
      <w:r>
        <w:rPr>
          <w:color w:val="333333"/>
        </w:rPr>
        <w:t>商业银行，依据相关职责依法予以查处。</w:t>
      </w:r>
    </w:p>
    <w:p>
      <w:pPr>
        <w:pStyle w:val="BodyText"/>
        <w:ind w:left="0"/>
      </w:pPr>
    </w:p>
    <w:p>
      <w:pPr>
        <w:pStyle w:val="BodyText"/>
        <w:spacing w:before="5"/>
        <w:ind w:left="0"/>
        <w:rPr>
          <w:sz w:val="33"/>
        </w:rPr>
      </w:pPr>
    </w:p>
    <w:p>
      <w:pPr>
        <w:pStyle w:val="BodyText"/>
        <w:ind w:left="3727"/>
        <w:rPr>
          <w:rFonts w:ascii="黑体" w:hAnsi="黑体" w:eastAsia="黑体" w:hint="eastAsia"/>
        </w:rPr>
      </w:pPr>
      <w:r>
        <w:rPr>
          <w:rFonts w:ascii="黑体" w:hAnsi="黑体" w:eastAsia="黑体" w:hint="eastAsia"/>
          <w:color w:val="333333"/>
        </w:rPr>
        <w:t>第八章</w:t>
      </w:r>
      <w:r>
        <w:rPr>
          <w:rFonts w:ascii="Arial" w:hAnsi="Arial" w:eastAsia="Arial"/>
          <w:color w:val="333333"/>
        </w:rPr>
        <w:t> </w:t>
      </w:r>
      <w:r>
        <w:rPr>
          <w:rFonts w:ascii="黑体" w:hAnsi="黑体" w:eastAsia="黑体" w:hint="eastAsia"/>
          <w:color w:val="333333"/>
        </w:rPr>
        <w:t>附</w:t>
      </w:r>
      <w:r>
        <w:rPr>
          <w:rFonts w:ascii="Arial" w:hAnsi="Arial" w:eastAsia="Arial"/>
          <w:color w:val="333333"/>
        </w:rPr>
        <w:t> </w:t>
      </w:r>
      <w:r>
        <w:rPr>
          <w:rFonts w:ascii="黑体" w:hAnsi="黑体" w:eastAsia="黑体" w:hint="eastAsia"/>
          <w:color w:val="333333"/>
        </w:rPr>
        <w:t>则</w:t>
      </w:r>
    </w:p>
    <w:p>
      <w:pPr>
        <w:pStyle w:val="BodyText"/>
        <w:ind w:left="0"/>
        <w:rPr>
          <w:rFonts w:ascii="黑体"/>
          <w:sz w:val="36"/>
        </w:rPr>
      </w:pPr>
    </w:p>
    <w:p>
      <w:pPr>
        <w:pStyle w:val="BodyText"/>
        <w:spacing w:before="5"/>
        <w:ind w:left="0"/>
        <w:rPr>
          <w:rFonts w:ascii="黑体"/>
          <w:sz w:val="29"/>
        </w:rPr>
      </w:pPr>
    </w:p>
    <w:p>
      <w:pPr>
        <w:pStyle w:val="BodyText"/>
        <w:spacing w:line="364" w:lineRule="auto"/>
        <w:ind w:right="271" w:firstLine="640"/>
        <w:jc w:val="both"/>
      </w:pPr>
      <w:r>
        <w:rPr>
          <w:rFonts w:ascii="黑体" w:hAnsi="黑体" w:eastAsia="黑体" w:hint="eastAsia"/>
          <w:color w:val="333333"/>
        </w:rPr>
        <w:t>第五十条</w:t>
      </w:r>
      <w:r>
        <w:rPr>
          <w:rFonts w:ascii="Arial" w:hAnsi="Arial" w:eastAsia="Arial"/>
          <w:color w:val="333333"/>
        </w:rPr>
        <w:t> </w:t>
      </w:r>
      <w:r>
        <w:rPr>
          <w:color w:val="333333"/>
          <w:spacing w:val="-7"/>
        </w:rPr>
        <w:t>本实施细则由德宏州住房和城乡建设局、国家金</w:t>
      </w:r>
      <w:r>
        <w:rPr>
          <w:color w:val="333333"/>
          <w:spacing w:val="-13"/>
        </w:rPr>
        <w:t>融监督管理总局德宏监管分局、中国人民银行德宏州分行、德宏</w:t>
      </w:r>
      <w:r>
        <w:rPr>
          <w:color w:val="333333"/>
          <w:spacing w:val="-15"/>
        </w:rPr>
        <w:t>州市场监管局、德宏州住房公积金管理中心按照职责共同对应解释。</w:t>
      </w:r>
    </w:p>
    <w:p>
      <w:pPr>
        <w:pStyle w:val="BodyText"/>
        <w:spacing w:line="364" w:lineRule="auto" w:before="3"/>
        <w:ind w:right="271" w:firstLine="640"/>
        <w:jc w:val="both"/>
      </w:pPr>
      <w:r>
        <w:rPr>
          <w:rFonts w:ascii="黑体" w:hAnsi="黑体" w:eastAsia="黑体" w:hint="eastAsia"/>
          <w:color w:val="333333"/>
        </w:rPr>
        <w:t>第五十一条</w:t>
      </w:r>
      <w:r>
        <w:rPr>
          <w:rFonts w:ascii="Arial" w:hAnsi="Arial" w:eastAsia="Arial"/>
          <w:color w:val="333333"/>
        </w:rPr>
        <w:t> </w:t>
      </w:r>
      <w:r>
        <w:rPr>
          <w:color w:val="333333"/>
          <w:spacing w:val="-11"/>
        </w:rPr>
        <w:t>本实施细则自 </w:t>
      </w:r>
      <w:r>
        <w:rPr>
          <w:color w:val="333333"/>
        </w:rPr>
        <w:t>2024</w:t>
      </w:r>
      <w:r>
        <w:rPr>
          <w:color w:val="333333"/>
          <w:spacing w:val="-53"/>
        </w:rPr>
        <w:t> 年 </w:t>
      </w:r>
      <w:r>
        <w:rPr>
          <w:color w:val="333333"/>
        </w:rPr>
        <w:t>4</w:t>
      </w:r>
      <w:r>
        <w:rPr>
          <w:color w:val="333333"/>
          <w:spacing w:val="-53"/>
        </w:rPr>
        <w:t> 月 </w:t>
      </w:r>
      <w:r>
        <w:rPr>
          <w:color w:val="333333"/>
        </w:rPr>
        <w:t>1</w:t>
      </w:r>
      <w:r>
        <w:rPr>
          <w:color w:val="333333"/>
          <w:spacing w:val="-11"/>
        </w:rPr>
        <w:t> 日起施行，有效</w:t>
      </w:r>
      <w:r>
        <w:rPr>
          <w:color w:val="333333"/>
          <w:spacing w:val="-12"/>
        </w:rPr>
        <w:t>期五年。现有规定及各县</w:t>
      </w:r>
      <w:r>
        <w:rPr>
          <w:color w:val="333333"/>
        </w:rPr>
        <w:t>（市</w:t>
      </w:r>
      <w:r>
        <w:rPr>
          <w:color w:val="333333"/>
          <w:spacing w:val="-39"/>
        </w:rPr>
        <w:t>）</w:t>
      </w:r>
      <w:r>
        <w:rPr>
          <w:color w:val="333333"/>
        </w:rPr>
        <w:t>出台的商品房预售资金监管文件</w:t>
      </w:r>
      <w:r>
        <w:rPr>
          <w:color w:val="333333"/>
          <w:spacing w:val="-8"/>
        </w:rPr>
        <w:t>与本实施细则不一致的，以本实施细则为准。国家、省另有新规定的，按新规定执行。</w:t>
      </w:r>
    </w:p>
    <w:sectPr>
      <w:pgSz w:w="11910" w:h="16840"/>
      <w:pgMar w:header="1286" w:footer="1258" w:top="1760" w:bottom="1440" w:left="1480" w:right="1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仿宋">
    <w:altName w:val="仿宋"/>
    <w:charset w:val="86"/>
    <w:family w:val="modern"/>
    <w:pitch w:val="fixed"/>
  </w:font>
  <w:font w:name="楷体">
    <w:altName w:val="楷体"/>
    <w:charset w:val="86"/>
    <w:family w:val="modern"/>
    <w:pitch w:val="fixed"/>
  </w:font>
  <w:font w:name="黑体">
    <w:altName w:val="黑体"/>
    <w:charset w:val="86"/>
    <w:family w:val="modern"/>
    <w:pitch w:val="fixed"/>
  </w:font>
  <w:font w:name="宋体">
    <w:altName w:val="宋体"/>
    <w:charset w:val="86"/>
    <w:family w:val="auto"/>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line style="position:absolute;mso-position-horizontal-relative:page;mso-position-vertical-relative:page;z-index:-12256" from="79.349998pt,765.925049pt" to="521.599998pt,765.925049pt" stroked="true" strokeweight="1.9pt" strokecolor="#005192">
          <v:stroke dashstyle="solid"/>
          <w10:wrap type="none"/>
        </v:line>
      </w:pict>
    </w:r>
    <w:r>
      <w:rPr/>
      <w:pict>
        <v:shape style="position:absolute;margin-left:302.839996pt;margin-top:774.175781pt;width:212.85pt;height:16.05pt;mso-position-horizontal-relative:page;mso-position-vertical-relative:page;z-index:-12232" type="#_x0000_t202" filled="false" stroked="false">
          <v:textbox inset="0,0,0,0">
            <w:txbxContent>
              <w:p>
                <w:pPr>
                  <w:spacing w:line="321" w:lineRule="exact" w:before="0"/>
                  <w:ind w:left="20" w:right="0" w:firstLine="0"/>
                  <w:jc w:val="left"/>
                  <w:rPr>
                    <w:rFonts w:ascii="宋体" w:eastAsia="宋体" w:hint="eastAsia"/>
                    <w:b/>
                    <w:sz w:val="28"/>
                  </w:rPr>
                </w:pPr>
                <w:r>
                  <w:rPr>
                    <w:rFonts w:ascii="宋体" w:eastAsia="宋体" w:hint="eastAsia"/>
                    <w:b/>
                    <w:color w:val="005192"/>
                    <w:sz w:val="28"/>
                  </w:rPr>
                  <w:t>德宏州住房和城乡建设局政府发布</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line style="position:absolute;mso-position-horizontal-relative:page;mso-position-vertical-relative:page;z-index:-12160" from="79.349998pt,765.925049pt" to="521.599998pt,765.925049pt" stroked="true" strokeweight="1.9pt" strokecolor="#005192">
          <v:stroke dashstyle="solid"/>
          <w10:wrap type="none"/>
        </v:line>
      </w:pict>
    </w:r>
    <w:r>
      <w:rPr/>
      <w:pict>
        <v:shape style="position:absolute;margin-left:486.079987pt;margin-top:743.815796pt;width:43.95pt;height:16.05pt;mso-position-horizontal-relative:page;mso-position-vertical-relative:page;z-index:-12136" type="#_x0000_t202" filled="false" stroked="false">
          <v:textbox inset="0,0,0,0">
            <w:txbxContent>
              <w:p>
                <w:pPr>
                  <w:spacing w:line="321" w:lineRule="exact" w:before="0"/>
                  <w:ind w:left="20" w:right="0" w:firstLine="0"/>
                  <w:jc w:val="left"/>
                  <w:rPr>
                    <w:rFonts w:ascii="宋体"/>
                    <w:sz w:val="28"/>
                  </w:rPr>
                </w:pPr>
                <w:r>
                  <w:rPr>
                    <w:rFonts w:ascii="宋体"/>
                    <w:sz w:val="28"/>
                  </w:rPr>
                  <w:t>- </w:t>
                </w:r>
                <w:r>
                  <w:rPr/>
                  <w:fldChar w:fldCharType="begin"/>
                </w:r>
                <w:r>
                  <w:rPr>
                    <w:rFonts w:ascii="宋体"/>
                    <w:sz w:val="28"/>
                  </w:rPr>
                  <w:instrText> PAGE </w:instrText>
                </w:r>
                <w:r>
                  <w:rPr/>
                  <w:fldChar w:fldCharType="separate"/>
                </w:r>
                <w:r>
                  <w:rPr/>
                  <w:t>24</w:t>
                </w:r>
                <w:r>
                  <w:rPr/>
                  <w:fldChar w:fldCharType="end"/>
                </w:r>
                <w:r>
                  <w:rPr>
                    <w:rFonts w:ascii="宋体"/>
                    <w:sz w:val="28"/>
                  </w:rPr>
                  <w:t> -</w:t>
                </w:r>
              </w:p>
            </w:txbxContent>
          </v:textbox>
          <w10:wrap type="none"/>
        </v:shape>
      </w:pict>
    </w:r>
    <w:r>
      <w:rPr/>
      <w:pict>
        <v:shape style="position:absolute;margin-left:302.839996pt;margin-top:774.175781pt;width:212.85pt;height:16.05pt;mso-position-horizontal-relative:page;mso-position-vertical-relative:page;z-index:-12112" type="#_x0000_t202" filled="false" stroked="false">
          <v:textbox inset="0,0,0,0">
            <w:txbxContent>
              <w:p>
                <w:pPr>
                  <w:spacing w:line="321" w:lineRule="exact" w:before="0"/>
                  <w:ind w:left="20" w:right="0" w:firstLine="0"/>
                  <w:jc w:val="left"/>
                  <w:rPr>
                    <w:rFonts w:ascii="宋体" w:eastAsia="宋体" w:hint="eastAsia"/>
                    <w:b/>
                    <w:sz w:val="28"/>
                  </w:rPr>
                </w:pPr>
                <w:r>
                  <w:rPr>
                    <w:rFonts w:ascii="宋体" w:eastAsia="宋体" w:hint="eastAsia"/>
                    <w:b/>
                    <w:color w:val="005192"/>
                    <w:sz w:val="28"/>
                  </w:rPr>
                  <w:t>德宏州住房和城乡建设局政府发布</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3127">
          <wp:simplePos x="0" y="0"/>
          <wp:positionH relativeFrom="page">
            <wp:posOffset>1007363</wp:posOffset>
          </wp:positionH>
          <wp:positionV relativeFrom="page">
            <wp:posOffset>816864</wp:posOffset>
          </wp:positionV>
          <wp:extent cx="309372" cy="30937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309372" cy="309372"/>
                  </a:xfrm>
                  <a:prstGeom prst="rect">
                    <a:avLst/>
                  </a:prstGeom>
                </pic:spPr>
              </pic:pic>
            </a:graphicData>
          </a:graphic>
        </wp:anchor>
      </w:drawing>
    </w:r>
    <w:r>
      <w:rPr/>
      <w:pict>
        <v:line style="position:absolute;mso-position-horizontal-relative:page;mso-position-vertical-relative:page;z-index:-12304" from="79.050003pt,97.900024pt" to="521.600003pt,97.900024pt" stroked="true" strokeweight="1.75pt" strokecolor="#005192">
          <v:stroke dashstyle="solid"/>
          <w10:wrap type="none"/>
        </v:line>
      </w:pict>
    </w:r>
    <w:r>
      <w:rPr/>
      <w:pict>
        <v:shapetype id="_x0000_t202" o:spt="202" coordsize="21600,21600" path="m,l,21600r21600,l21600,xe">
          <v:stroke joinstyle="miter"/>
          <v:path gradientshapeok="t" o:connecttype="rect"/>
        </v:shapetype>
        <v:shape style="position:absolute;margin-left:103.879997pt;margin-top:68.14299pt;width:290.95pt;height:17.95pt;mso-position-horizontal-relative:page;mso-position-vertical-relative:page;z-index:-12280" type="#_x0000_t202" filled="false" stroked="false">
          <v:textbox inset="0,0,0,0">
            <w:txbxContent>
              <w:p>
                <w:pPr>
                  <w:spacing w:line="359" w:lineRule="exact" w:before="0"/>
                  <w:ind w:left="20" w:right="0" w:firstLine="0"/>
                  <w:jc w:val="left"/>
                  <w:rPr>
                    <w:rFonts w:ascii="宋体" w:eastAsia="宋体" w:hint="eastAsia"/>
                    <w:b/>
                    <w:sz w:val="32"/>
                  </w:rPr>
                </w:pPr>
                <w:r>
                  <w:rPr>
                    <w:rFonts w:ascii="宋体" w:eastAsia="宋体" w:hint="eastAsia"/>
                    <w:b/>
                    <w:color w:val="005192"/>
                    <w:sz w:val="32"/>
                  </w:rPr>
                  <w:t>德宏州住房和城乡建设局行政规范性文件</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3247">
          <wp:simplePos x="0" y="0"/>
          <wp:positionH relativeFrom="page">
            <wp:posOffset>1007363</wp:posOffset>
          </wp:positionH>
          <wp:positionV relativeFrom="page">
            <wp:posOffset>816864</wp:posOffset>
          </wp:positionV>
          <wp:extent cx="309372" cy="309372"/>
          <wp:effectExtent l="0" t="0" r="0" b="0"/>
          <wp:wrapNone/>
          <wp:docPr id="3" name="image1.png" descr=""/>
          <wp:cNvGraphicFramePr>
            <a:graphicFrameLocks noChangeAspect="1"/>
          </wp:cNvGraphicFramePr>
          <a:graphic>
            <a:graphicData uri="http://schemas.openxmlformats.org/drawingml/2006/picture">
              <pic:pic>
                <pic:nvPicPr>
                  <pic:cNvPr id="4" name="image1.png"/>
                  <pic:cNvPicPr/>
                </pic:nvPicPr>
                <pic:blipFill>
                  <a:blip r:embed="rId1" cstate="print"/>
                  <a:stretch>
                    <a:fillRect/>
                  </a:stretch>
                </pic:blipFill>
                <pic:spPr>
                  <a:xfrm>
                    <a:off x="0" y="0"/>
                    <a:ext cx="309372" cy="309372"/>
                  </a:xfrm>
                  <a:prstGeom prst="rect">
                    <a:avLst/>
                  </a:prstGeom>
                </pic:spPr>
              </pic:pic>
            </a:graphicData>
          </a:graphic>
        </wp:anchor>
      </w:drawing>
    </w:r>
    <w:r>
      <w:rPr/>
      <w:pict>
        <v:shape style="position:absolute;margin-left:103.879997pt;margin-top:68.14299pt;width:290.95pt;height:17.95pt;mso-position-horizontal-relative:page;mso-position-vertical-relative:page;z-index:-12184" type="#_x0000_t202" filled="false" stroked="false">
          <v:textbox inset="0,0,0,0">
            <w:txbxContent>
              <w:p>
                <w:pPr>
                  <w:spacing w:line="359" w:lineRule="exact" w:before="0"/>
                  <w:ind w:left="20" w:right="0" w:firstLine="0"/>
                  <w:jc w:val="left"/>
                  <w:rPr>
                    <w:rFonts w:ascii="宋体" w:eastAsia="宋体" w:hint="eastAsia"/>
                    <w:b/>
                    <w:sz w:val="32"/>
                  </w:rPr>
                </w:pPr>
                <w:r>
                  <w:rPr>
                    <w:rFonts w:ascii="宋体" w:eastAsia="宋体" w:hint="eastAsia"/>
                    <w:b/>
                    <w:color w:val="005192"/>
                    <w:sz w:val="32"/>
                  </w:rPr>
                  <w:t>德宏州住房和城乡建设局行政规范性文件</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仿宋" w:hAnsi="仿宋" w:eastAsia="仿宋" w:cs="仿宋"/>
    </w:rPr>
  </w:style>
  <w:style w:styleId="BodyText" w:type="paragraph">
    <w:name w:val="Body Text"/>
    <w:basedOn w:val="Normal"/>
    <w:uiPriority w:val="1"/>
    <w:qFormat/>
    <w:pPr>
      <w:ind w:left="106"/>
    </w:pPr>
    <w:rPr>
      <w:rFonts w:ascii="仿宋" w:hAnsi="仿宋" w:eastAsia="仿宋" w:cs="仿宋"/>
      <w:sz w:val="32"/>
      <w:szCs w:val="3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莫米</dc:creator>
  <dcterms:created xsi:type="dcterms:W3CDTF">2024-11-20T09:37:32Z</dcterms:created>
  <dcterms:modified xsi:type="dcterms:W3CDTF">2024-11-20T09:37:32Z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2023-12-06T00:00:00Z</vt:filetime>
  </property>
  <property fmtid="{D5CDD505-2E9C-101B-9397-08002B2CF9AE}" pid="3" name="Creator">
    <vt:lpwstr>WPS 文字</vt:lpwstr>
  </property>
  <property fmtid="{D5CDD505-2E9C-101B-9397-08002B2CF9AE}" pid="4" name="LastSaved">
    <vt:filetime>2024-11-20T00:00:00Z</vt:filetime>
  </property>
</Properties>
</file>