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right="0"/>
        <w:jc w:val="both"/>
        <w:rPr>
          <w:rFonts w:hint="eastAsia" w:ascii="Times New Roman" w:hAnsi="Times New Roman" w:eastAsia="方正黑体_GBK" w:cs="方正黑体_GBK"/>
          <w:b w:val="0"/>
          <w:bCs w:val="0"/>
          <w:color w:val="333333"/>
          <w:sz w:val="32"/>
          <w:szCs w:val="32"/>
          <w:lang w:val="en-US" w:eastAsia="zh-CN"/>
        </w:rPr>
      </w:pPr>
      <w:r>
        <w:rPr>
          <w:rFonts w:hint="eastAsia" w:ascii="Times New Roman" w:hAnsi="Times New Roman" w:eastAsia="方正黑体_GBK" w:cs="方正黑体_GBK"/>
          <w:b w:val="0"/>
          <w:bCs w:val="0"/>
          <w:color w:val="333333"/>
          <w:sz w:val="32"/>
          <w:szCs w:val="32"/>
          <w:lang w:eastAsia="zh-CN"/>
        </w:rPr>
        <w:t>附件</w:t>
      </w:r>
      <w:r>
        <w:rPr>
          <w:rFonts w:hint="eastAsia" w:ascii="Times New Roman" w:hAnsi="Times New Roman" w:eastAsia="方正黑体_GBK" w:cs="方正黑体_GBK"/>
          <w:b w:val="0"/>
          <w:bCs w:val="0"/>
          <w:color w:val="333333"/>
          <w:sz w:val="32"/>
          <w:szCs w:val="32"/>
          <w:lang w:val="en-US" w:eastAsia="zh-CN"/>
        </w:rPr>
        <w:t>2</w:t>
      </w:r>
    </w:p>
    <w:p>
      <w:pPr>
        <w:pStyle w:val="2"/>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lang w:eastAsia="zh-CN"/>
        </w:rPr>
        <w:t>调整一批原</w:t>
      </w:r>
      <w:r>
        <w:rPr>
          <w:rFonts w:hint="eastAsia" w:ascii="方正小标宋_GBK" w:hAnsi="方正小标宋_GBK" w:eastAsia="方正小标宋_GBK" w:cs="方正小标宋_GBK"/>
          <w:b w:val="0"/>
          <w:bCs w:val="0"/>
          <w:sz w:val="32"/>
          <w:szCs w:val="32"/>
        </w:rPr>
        <w:t>赋予中国（云南）自由贸易试验区德宏片区</w:t>
      </w:r>
      <w:r>
        <w:rPr>
          <w:rFonts w:hint="eastAsia" w:ascii="方正小标宋_GBK" w:hAnsi="方正小标宋_GBK" w:eastAsia="方正小标宋_GBK" w:cs="方正小标宋_GBK"/>
          <w:b w:val="0"/>
          <w:bCs w:val="0"/>
          <w:sz w:val="32"/>
          <w:szCs w:val="32"/>
          <w:lang w:eastAsia="zh-CN"/>
        </w:rPr>
        <w:t>行使</w:t>
      </w:r>
      <w:r>
        <w:rPr>
          <w:rFonts w:hint="eastAsia" w:ascii="方正小标宋_GBK" w:hAnsi="方正小标宋_GBK" w:eastAsia="方正小标宋_GBK" w:cs="方正小标宋_GBK"/>
          <w:b w:val="0"/>
          <w:bCs w:val="0"/>
          <w:sz w:val="32"/>
          <w:szCs w:val="32"/>
        </w:rPr>
        <w:t>的州级行政职权事项目录</w:t>
      </w:r>
    </w:p>
    <w:tbl>
      <w:tblPr>
        <w:tblStyle w:val="5"/>
        <w:tblW w:w="15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2"/>
        <w:gridCol w:w="1951"/>
        <w:gridCol w:w="739"/>
        <w:gridCol w:w="3496"/>
        <w:gridCol w:w="3681"/>
        <w:gridCol w:w="992"/>
        <w:gridCol w:w="4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序号</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事项名称</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事项类型</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设定和实施依据</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调整完善内容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州级主管部门</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印刷企业设立、变更、兼并、合并、分立审批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《印刷业管理条例》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《出版管理条例》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将从事包装装潢印刷品和其他印刷品印刷经营活动企业的设立、变更、兼并、合并、分立审批州级权限委托自贸试验区德宏片区管委行使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州新闻出版</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版权</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对实行告知承诺的审批事项实行全覆盖例行检查；开展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抽查，并将检查结果通过多种渠道及时向社会公布；严格落实印刷企业年度报告制度；根据</w:t>
            </w:r>
            <w:r>
              <w:rPr>
                <w:rFonts w:hint="eastAsia" w:eastAsia="方正仿宋_GBK" w:cs="Times New Roman"/>
                <w:i w:val="0"/>
                <w:color w:val="000000"/>
                <w:kern w:val="0"/>
                <w:sz w:val="24"/>
                <w:szCs w:val="24"/>
                <w:u w:val="none"/>
                <w:lang w:val="en-US" w:eastAsia="zh-CN" w:bidi="ar"/>
              </w:rPr>
              <w:t>《印刷业管理条例》</w:t>
            </w:r>
            <w:r>
              <w:rPr>
                <w:rFonts w:hint="default" w:ascii="Times New Roman" w:hAnsi="Times New Roman" w:eastAsia="方正仿宋_GBK" w:cs="Times New Roman"/>
                <w:i w:val="0"/>
                <w:color w:val="000000"/>
                <w:kern w:val="0"/>
                <w:sz w:val="24"/>
                <w:szCs w:val="24"/>
                <w:u w:val="none"/>
                <w:lang w:val="en-US" w:eastAsia="zh-CN" w:bidi="ar"/>
              </w:rPr>
              <w:t>相关规定进行行政处罚。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2"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民办、中外合作开办中等及以下学校和其他教育机构筹设审批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《中华人民共和国中外合作办学条例》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《国务院关于当前发展学前教育的若干意见》（国发〔2010〕41号）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《云南省人民政府关于第五轮取消和调整行政审批项目的决定》（云南省人民政府令第171号）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将民办普通高中、民办中等职业学校的筹设审批州级权限委托自贸试验区德宏片区管委行使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指导自贸试验区德宏片区规范办理事项；按照</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谁审批谁监管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的原则，由审批机关每年对审批的民办学校和办学机构进行年检，同年通过</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等方式对审批的民办学校和办学机构进行检查。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中等及以下学校和其他教育机构设置审批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《中华人民共和国教育法》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《中华人民共和国民办教育促进法实施条例》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《中华人民共和国中外合作办学条例》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《国务院关于当前发展学前教育的若干意见》（国发〔2010〕41号）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《国务院办公厅关于规范校外培训机构发展的意见》（国办发〔2018〕80号）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《云南省实施〈中华人民共和国义务教育法〉办法》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《云南省职业教育条例》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《云南省民办教育条例》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《云南省人民政府关于第五轮取消和调整行政审批项目的决定》（云南省人民政府令第171号）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将民办普通高中、民办中等职业学校的设立、变更和终止审批州级权限委托自贸试验区德宏片区管委行使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指导自贸试验区德宏片区规范办理事项；按照</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谁审批谁监管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的原则，由审批机关每年对审批的民办学校和办学机构进行年检，同年通过</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等方式对审批的民办学校和办学机构进行检查。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基层法律服务工作者执业核准</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《国务院关于第六批取消和调整行政审批项目的决定》（国发〔2012〕52号）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将基层法律服务工作者执业、变更、注销许可州级权限委托自贸试验区德宏片区管委行使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依法依规组织开展基层法律服务工作者年度考核，检验履行《基层法律服务工作者管理办法》规定的各项义务情况；加强日常检查，认真做好违法违规行为投诉处理工作，严肃查处违法违规行为；对于发现的问题，依法依规进行处理，促进基层法律服务工作依法开展业务；按照</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谁审批、谁监管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和</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属地管理</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原则，做好该事项的监管工作。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外国人来华工作许可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《中华人民共和国出境入境管理法》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《国家外国专家局关于印发外国人来华工作许可服务指南（暂行）的通知》（外专发〔2017〕36号）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《中央编办关于外国人来华工作许可职责分工的通知》（中央编办发〔2018〕97号）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《云南省人民政府行政审批制度改革办公室关于取消和下放一批行政许可事项的通知》（云审改办发〔2017〕1号）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将涉及除中央驻滇单位、在昆的省属企事业单位及境外非政府组织的其他外国人（C类）来华工作许可的州级权限委托自贸试验区德宏片区管委行使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完善</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工作机制，加强外国人来华工作领域的政务诚信和个人诚信体系建设，建立用人单位、在华工作外国人、受委托专门机构信用记录形成、归集、公示、使用机制，运用大数据加强对市场主体服务监管，健全守信激励和失信惩戒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一般建设项目环境影响评价审批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《中华人民共和国环境保护法》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《中华人民共和国环境影响评价法》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《中华人民共和国大气污染防治法》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《中华人民共和国土壤污染防治法》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《中华人民共和国噪声污染防治法》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《建设项目环境保护管理条例》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《中共云南省委办公厅云南省人民政府办公厅关于印发〈云南省生态环境机构监测监察执法垂直管理制度改革实施方案〉的通知》（云办发〔2019〕9号）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将涉及未列入国家和省级生态环境部门目录的建设项目环境影响评价审批的州级权限委托自贸试验区德宏片区管委行使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严格按照《建设项目环境影响报告书（表）编制监督管理办法》、《关于强化建设项目环境影响评价事中事后监管的实施意见》加强监管，开展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执法抽查和</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专项行动。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5"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排污许可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《中华人民共和国环境保护法》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《中华人民共和国大气污染防治法》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《中华人民共和国土壤污染防治法》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《排污许可管理条例》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将涉及纳入《固定污染源排污许可分类管理名录》的排污许可证核发州级权限委托自贸试验区德宏片区管委行使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严格按照《排污许可管理条例》《排污许可管理办法（试行）》《关于加强排污许可执法监管的指导意见》加强监管，开展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执法抽查和</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专项行动</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江河、湖泊新建、改建或者扩大排污口审批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《中华人民共和国长江保护法》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《中央编办关于生态环境部流域生态环境监管机构设置有关事项的通知》（中央编办发〔2019〕26号）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《中共云南省委办公厅云南省人民政府办公厅关于印发〈云南省生态环境机构监测监察执法垂直管理制度改革实施方案〉的通知》（云办发〔2019〕9号）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州、县级水行政主管部门审批的河道建设项目和取水许可项目中涉及在江河、湖泊新建、改建或者扩大排污口的审核，州级、县级审批环境影响评价文件的建设项目中涉及在江河、湖泊新建、改建或者扩大排污口设置审核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加强对受委托部门的业务指导，由专业评估机构和专家进行评定；督促受委托审批部门及时将审批结果进行公示；对委托的行政许可事项按照</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要求开展监督检查，依法查处违法违规行为并公开结果；加强信用监管，对失信主体开展联合惩戒。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3"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房屋建筑工程与市政工程初步设计审批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《云南省建设工程勘察设计管理条例》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德宏片区投资主管部门审批核准的房屋和市政工程总建筑面积5万平方米以上的大型公共建筑和涉及国家、省、州投资主管部门审批核准的大、中型（含中型）以下建设项目的房屋建筑工程与市政工程初步设计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加强监督检查，依法查处违法违规行为，按照有关法律法规做好指导审批和日常监管等工作，接受上级监督。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房地产估价机构备案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《中华人民共和国资产评估法》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《住房城乡建设部关于贯彻落实资产评估法规范房地产估价行业管理有关问题的通知》（建房〔2016〕275号）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《云南省人民政府关于简政放权取消和调整部分省级行政审批项目的决定》（云政发〔2013〕44号）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将三级房地产估价机构备案州级权限委托自贸试验区德宏片区管委行使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加强监督检查，依法查处违法违规行为，按照有关法律法规做好指导审批和日常监管等工作，接受上级监督。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应建防空地下室的民用建筑项目报建审批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《中共中央国务院中央军委关于加强人民防空工作的决定》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《国务院关于印发清理规范投资项目报建审批事项实施方案的通知》（国发〔2016〕29号）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《云南省实施〈中华人民共和国人民防空法〉办法》</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不再委托中国（云南）自由贸易试验区德宏片区行使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农业野生植物采集、出售、收购、野外考察审批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《中华人民共和国野生植物保护条例》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《云南省人民政府关于进一步精简行政审批项目的决定》（云政发〔2013〕157号）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将采集、出售、收购国家二级保护野生植物（农业类）审批州级权限委托自贸试验区德宏片区管委行使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，根据风险程度，合理确定抽查比例，对风险等级高的领域、投诉举报多的企业实施重点监管；强化社会监督，依法及时处理举报、投诉问题，调查处理结果向社会公开。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生猪定点屠宰厂（场）设置审查</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《生猪屠宰管理条例》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将生猪定点屠宰厂（场）设置审查州级权限委托自贸试验区德宏片区管委行使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，根据风险程度，合理确定抽查比例，对风险等级高的领域、投诉举报多的企业实施重点监管；强化社会监督，依法及时处理举报、投诉问题，调查处理结果向社会公开。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水利基建项目初步设计文件审批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将坝高低于 70 米，不涉及跨国界河流、跨州（市）水资源配置调整的中型水库项目，新建小（1）型水库工程，除险加固小（1）型水库及以下工程；引水流量小于每秒 10 立方米，不涉及跨州（市）的水电站水资源综合利用项目、水系连通工程项目；流域面积小于3000平方公里的中小河流治理项目的初步设计文件审批州级权限委托自贸试验区德宏片区管委行使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取水许可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《取水许可和水资源费征收管理条例》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市</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水资源配置调整的中型水库项目，以及引水流量小于毎秒10立方米，不涉及跨州</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市</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的水电站水资源综合利用项目的取水许可州级权限委托自贸试验区德宏片区管委行使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洪水影响评价类审批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《中华人民共和国防洪法》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《中华人民共和国水文条例》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坝高低于70米，不涉及跨国界河流、跨州（市）水资源配置调整的中型水库项目，以及引水流量小于每秒10立方米，不涉及跨州（市）的水电站水资源综合利用项目的洪水影响评价审批；德宏州行政区域内县市边界河流（河段）、湖泊和跨县市河流（河段）、湖泊上建设的水工程；小</w:t>
            </w:r>
            <w:r>
              <w:rPr>
                <w:rFonts w:hint="eastAsia" w:ascii="Times New Roman" w:hAnsi="Times New Roman" w:eastAsia="方正仿宋_GBK" w:cs="Times New Roman"/>
                <w:i w:val="0"/>
                <w:color w:val="000000"/>
                <w:kern w:val="0"/>
                <w:sz w:val="24"/>
                <w:szCs w:val="24"/>
                <w:u w:val="none"/>
                <w:lang w:val="en-US" w:eastAsia="zh-CN" w:bidi="ar"/>
              </w:rPr>
              <w:t>（1）</w:t>
            </w:r>
            <w:r>
              <w:rPr>
                <w:rFonts w:hint="default" w:ascii="Times New Roman" w:hAnsi="Times New Roman" w:eastAsia="方正仿宋_GBK" w:cs="Times New Roman"/>
                <w:i w:val="0"/>
                <w:color w:val="000000"/>
                <w:kern w:val="0"/>
                <w:sz w:val="24"/>
                <w:szCs w:val="24"/>
                <w:u w:val="none"/>
                <w:lang w:val="en-US" w:eastAsia="zh-CN" w:bidi="ar"/>
              </w:rPr>
              <w:t>型水利基建项目；州级核准的水电站项目</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25兆瓦以下的水电站工程</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在蓄滞洪区、洪泛区内州级审批或核准的非防洪建设项目；涉及州重要江河（芒市大河、南底河、南宛河、萝卜坝河）干流坝区段和县市间界河河道管理范围的各类工程，以及州级审批或核准的跨河、穿河、穿堤、临河的桥梁、码头、道路、渡口、管道、缆线等各类涉河工程的洪水影响评价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生产建设项目水土保持方案审批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《中华人民共和国水土保持法》</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将在州级核准或备案的生产建设项目水土保持方案审批委托自贸试验区德宏片区管委行使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按照法律法规做好审批工作，定期开展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河道管理范围内特定活动审批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将跨县、市河流（河段）河道管理范围内有关活动（不含河道采砂）审批州级权限委托自贸试验区德宏片区管委行使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占用农业灌溉水源、灌排工程设施审批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将大</w:t>
            </w:r>
            <w:r>
              <w:rPr>
                <w:rFonts w:hint="eastAsia" w:ascii="Times New Roman" w:hAnsi="Times New Roman" w:eastAsia="方正仿宋_GBK" w:cs="Times New Roman"/>
                <w:i w:val="0"/>
                <w:color w:val="000000"/>
                <w:kern w:val="0"/>
                <w:sz w:val="24"/>
                <w:szCs w:val="24"/>
                <w:u w:val="none"/>
                <w:lang w:val="en-US" w:eastAsia="zh-CN" w:bidi="ar"/>
              </w:rPr>
              <w:t>（2）</w:t>
            </w:r>
            <w:r>
              <w:rPr>
                <w:rFonts w:hint="default" w:ascii="Times New Roman" w:hAnsi="Times New Roman" w:eastAsia="方正仿宋_GBK" w:cs="Times New Roman"/>
                <w:i w:val="0"/>
                <w:color w:val="000000"/>
                <w:kern w:val="0"/>
                <w:sz w:val="24"/>
                <w:szCs w:val="24"/>
                <w:u w:val="none"/>
                <w:lang w:val="en-US" w:eastAsia="zh-CN" w:bidi="ar"/>
              </w:rPr>
              <w:t>型水利工程及跨县灌排工程设施审批州级权限委托自贸试验区德宏片区管委行使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大坝管理和保护范围内修建码头、渔塘许可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《水库大坝安全管理条例》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将在大</w:t>
            </w:r>
            <w:r>
              <w:rPr>
                <w:rFonts w:hint="eastAsia" w:ascii="Times New Roman" w:hAnsi="Times New Roman" w:eastAsia="方正仿宋_GBK" w:cs="Times New Roman"/>
                <w:i w:val="0"/>
                <w:color w:val="000000"/>
                <w:kern w:val="0"/>
                <w:sz w:val="24"/>
                <w:szCs w:val="24"/>
                <w:u w:val="none"/>
                <w:lang w:val="en-US" w:eastAsia="zh-CN" w:bidi="ar"/>
              </w:rPr>
              <w:t>（2）</w:t>
            </w:r>
            <w:r>
              <w:rPr>
                <w:rFonts w:hint="default" w:ascii="Times New Roman" w:hAnsi="Times New Roman" w:eastAsia="方正仿宋_GBK" w:cs="Times New Roman"/>
                <w:i w:val="0"/>
                <w:color w:val="000000"/>
                <w:kern w:val="0"/>
                <w:sz w:val="24"/>
                <w:szCs w:val="24"/>
                <w:u w:val="none"/>
                <w:lang w:val="en-US" w:eastAsia="zh-CN" w:bidi="ar"/>
              </w:rPr>
              <w:t>型水库修建码头、渔塘许可审批州级权限委托自贸试验区德宏片区管委行使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lang w:val="en-US" w:eastAsia="zh-CN"/>
              </w:rPr>
            </w:pPr>
            <w:r>
              <w:rPr>
                <w:rFonts w:hint="eastAsia" w:ascii="Times New Roman" w:hAnsi="Times New Roman" w:eastAsia="方正仿宋_GBK" w:cs="Times New Roman"/>
                <w:i w:val="0"/>
                <w:color w:val="000000"/>
                <w:sz w:val="24"/>
                <w:szCs w:val="24"/>
                <w:u w:val="none"/>
                <w:lang w:val="en-US" w:eastAsia="zh-CN"/>
              </w:rPr>
              <w:t>21</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对外劳务合作人员派出备案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其它行政权力</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《对外劳务合作管理条例》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将企业的对外劳务合作人员派出备案州级权限委托自贸试验区德宏片区管委行使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，发现违法违规行为依法查处并公开结果；支持行业协会发挥自律作用。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eastAsia" w:ascii="Times New Roman" w:hAnsi="Times New Roman" w:eastAsia="方正仿宋_GBK" w:cs="Times New Roman"/>
                <w:i w:val="0"/>
                <w:color w:val="000000"/>
                <w:kern w:val="0"/>
                <w:sz w:val="24"/>
                <w:szCs w:val="24"/>
                <w:u w:val="none"/>
                <w:lang w:val="en-US" w:eastAsia="zh-CN" w:bidi="ar"/>
              </w:rPr>
              <w:t>22</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成品油零售经营资格审批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将成品油零售经营资格审批州级权限委托自贸试验区德宏片区管委行使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，发现违法违规行为依法查处并公开结果；支持行业协会发挥自律作用。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护士执业注册</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《护士条例》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不再委托中国（云南）</w:t>
            </w:r>
            <w:bookmarkStart w:id="0" w:name="_GoBack"/>
            <w:bookmarkEnd w:id="0"/>
            <w:r>
              <w:rPr>
                <w:rFonts w:hint="eastAsia" w:eastAsia="方正仿宋_GBK" w:cs="Times New Roman"/>
                <w:i w:val="0"/>
                <w:color w:val="000000"/>
                <w:kern w:val="0"/>
                <w:sz w:val="24"/>
                <w:szCs w:val="24"/>
                <w:u w:val="none"/>
                <w:lang w:val="en-US" w:eastAsia="zh-CN" w:bidi="ar"/>
              </w:rPr>
              <w:t>自贸试验区</w:t>
            </w:r>
            <w:r>
              <w:rPr>
                <w:rFonts w:hint="default" w:ascii="Times New Roman" w:hAnsi="Times New Roman" w:eastAsia="方正仿宋_GBK" w:cs="Times New Roman"/>
                <w:i w:val="0"/>
                <w:color w:val="000000"/>
                <w:kern w:val="0"/>
                <w:sz w:val="24"/>
                <w:szCs w:val="24"/>
                <w:u w:val="none"/>
                <w:lang w:val="en-US" w:eastAsia="zh-CN" w:bidi="ar"/>
              </w:rPr>
              <w:t>德宏片区行使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医疗广告审查</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《中华人民共和国广告法》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《医疗广告管理办法》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《云南省医疗机构管理条例》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将医疗广告审查州级权限委托自贸试验区德宏片区管委行使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加强业务指导培训，督促加强自我管理和依法执业自查；有针对性的组织开展检查，对发现的疑似违法违规行为及时通报市场监督管理部门查处；推进政务信息公开，拓宽社会公众参与监管的渠道和方式；公开投诉举报电话，及时答复、核实、处理，并将处理结果向投诉或举报人进行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尸检机构认定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行政确认</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《卫生部 国家中医药管理局关于印发〈医疗事故争议中尸检机构及专业技术人员资格认定办法〉的通知》（卫医发〔2002〕191号）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将尸检机构认定州级权限委托自贸试验区德宏片区管委行使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自贸试验区德宏片区认定的有关通知、方案等文件和认定机构报州卫生健康委备案；加强对审批工作人员培训，做好尸检机构认定工作；畅通投诉举报渠道，支持</w:t>
            </w:r>
            <w:r>
              <w:rPr>
                <w:rFonts w:hint="eastAsia" w:eastAsia="方正仿宋_GBK" w:cs="Times New Roman"/>
                <w:i w:val="0"/>
                <w:color w:val="000000"/>
                <w:kern w:val="0"/>
                <w:sz w:val="24"/>
                <w:szCs w:val="24"/>
                <w:u w:val="none"/>
                <w:lang w:val="en-US" w:eastAsia="zh-CN" w:bidi="ar"/>
              </w:rPr>
              <w:t>社会各界</w:t>
            </w:r>
            <w:r>
              <w:rPr>
                <w:rFonts w:hint="default" w:ascii="Times New Roman" w:hAnsi="Times New Roman" w:eastAsia="方正仿宋_GBK" w:cs="Times New Roman"/>
                <w:i w:val="0"/>
                <w:color w:val="000000"/>
                <w:kern w:val="0"/>
                <w:sz w:val="24"/>
                <w:szCs w:val="24"/>
                <w:u w:val="none"/>
                <w:lang w:val="en-US" w:eastAsia="zh-CN" w:bidi="ar"/>
              </w:rPr>
              <w:t>参与医疗机构的监督管理，发挥社会监督作用。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26</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外籍医师在华短期执业许可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将外籍和香港、澳门、台湾医师在医疗机构短期执业许可（在省级直属和联系的医疗机构执业的除外）州级权限委托自贸试验区德宏片区管委行使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按照</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要求开展监督检查，及时公开抽查结果，督促整改相关问题；加强业务指导培训，督促加强自我管理和依法执业自查；有针对性的组织开展检查，对发现的疑似违法违规行为及时通报市场监督管理部门查处；推进政务信息公开，拓宽社会公众参与监管的渠道和方式；公开投诉举报电话，及时答复、核实、处理，并将处理结果向投诉或举报人进行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消毒产品卫生安全评价报告备案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《消毒管理办法》（卫生部令第27号发布，国家卫生和计划生育委员会令第8号第一次修正，国家卫生和计划生育委员会令第18号第二次修正）</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将消毒产品卫生安全评价报告备案（生产、进口利用新材料、新工艺技术和新杀菌原理生产消毒剂和消毒器械产品除外）州级权限部分委托自贸试验区德宏片区管委行使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按照</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sz w:val="24"/>
                <w:szCs w:val="24"/>
                <w:u w:val="none"/>
              </w:rPr>
              <w:t>要求开展监督检查，及时公开抽查结果，督促整改相关问题；加强业务指导培训，督促加强自我管理和依法执业自查；有针对性的组织开展检查，对发现的疑似违法违规行为及时通报市场监督管理部门查处；推进政务信息公开，拓宽社会公众参与监管的渠道和方式；公开投诉举报电话，及时答复、核实、处理，并将处理结果向投诉或举报人进行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7"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建设项目使用林地及在森林和野生动物类型国家级自然保护区建设审批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《森林和野生动物类型自然保护区管理办法》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《云南省林地管理条例》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《国家林业和草原局公告》（2022年第17号）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《国家林业和草原局公告》（2023年第3号）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将临时占用防护林林地或者特种用途林林地5公顷以上，其他林地20公顷以上的初审转报；临时占用防护林林地或者特种用途林林地5公顷（不含）以下，其他林地20公顷（不含）以下的审批等州级权限</w:t>
            </w:r>
            <w:r>
              <w:rPr>
                <w:rFonts w:hint="eastAsia" w:ascii="Times New Roman" w:hAnsi="Times New Roman" w:eastAsia="方正仿宋_GBK" w:cs="Times New Roman"/>
                <w:i w:val="0"/>
                <w:color w:val="000000"/>
                <w:kern w:val="0"/>
                <w:sz w:val="24"/>
                <w:szCs w:val="24"/>
                <w:u w:val="none"/>
                <w:lang w:val="en-US" w:eastAsia="zh-CN" w:bidi="ar"/>
              </w:rPr>
              <w:t>委托</w:t>
            </w:r>
            <w:r>
              <w:rPr>
                <w:rFonts w:hint="default" w:ascii="Times New Roman" w:hAnsi="Times New Roman" w:eastAsia="方正仿宋_GBK" w:cs="Times New Roman"/>
                <w:i w:val="0"/>
                <w:color w:val="000000"/>
                <w:kern w:val="0"/>
                <w:sz w:val="24"/>
                <w:szCs w:val="24"/>
                <w:u w:val="none"/>
                <w:lang w:val="en-US" w:eastAsia="zh-CN" w:bidi="ar"/>
              </w:rPr>
              <w:t>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加强业务指导，明确工作要求和标准，定期开展监督检查，对监督检查中发现违规问题的，督促纠正。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森林植被恢复费征收</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行政征收</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《云南省林地管理办法》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《财政部 国家林业局关于调整森林植被恢复费征收标准引导节约集约利用林地的通知》（财税〔2015〕122号）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收回森林植被恢复费征收的州级权限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07AC3"/>
    <w:rsid w:val="44E622E8"/>
    <w:rsid w:val="4F5F4FCC"/>
    <w:rsid w:val="5D207AC3"/>
    <w:rsid w:val="6F711B89"/>
    <w:rsid w:val="7C7D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3"/>
    <w:next w:val="3"/>
    <w:qFormat/>
    <w:uiPriority w:val="0"/>
    <w:pPr>
      <w:spacing w:after="160" w:line="259" w:lineRule="auto"/>
      <w:ind w:left="200" w:leftChars="200" w:hanging="200" w:hangingChars="200"/>
    </w:pPr>
    <w:rPr>
      <w:rFonts w:ascii="Times New Roman" w:hAnsi="Times New Roman" w:eastAsia="宋体"/>
      <w:snapToGrid/>
      <w:kern w:val="2"/>
      <w:sz w:val="21"/>
      <w:szCs w:val="2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jc w:val="both"/>
    </w:pPr>
    <w:rPr>
      <w:rFonts w:ascii="Calibri" w:hAnsi="Calibri" w:eastAsia="Calibri" w:cs="Times New Roman"/>
      <w:kern w:val="2"/>
      <w:sz w:val="21"/>
      <w:szCs w:val="22"/>
      <w:lang w:val="en-US" w:eastAsia="zh-CN" w:bidi="ar-SA"/>
    </w:rPr>
  </w:style>
  <w:style w:type="paragraph" w:styleId="4">
    <w:name w:val="Normal (Web)"/>
    <w:basedOn w:val="1"/>
    <w:qFormat/>
    <w:uiPriority w:val="0"/>
    <w:pPr>
      <w:spacing w:before="100" w:beforeAutospacing="1" w:after="100" w:afterAutospacing="1" w:line="240" w:lineRule="atLeast"/>
      <w:ind w:left="0" w:right="0"/>
      <w:jc w:val="left"/>
    </w:pPr>
    <w:rPr>
      <w:rFonts w:ascii="Times New Roman" w:hAnsi="Times New Roman" w:eastAsia="仿宋_GB2312" w:cs="Times New Roman"/>
      <w:spacing w:val="-6"/>
      <w:kern w:val="0"/>
      <w:sz w:val="24"/>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2023-08-24T00:54:00Z</dcterms:created>
  <dc:creator>Administrator</dc:creator>
  <cp:lastModifiedBy>Administrator</cp:lastModifiedBy>
  <dcterms:modified xsi:type="dcterms:W3CDTF">2024-03-14T02:25:38Z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FDF7E7FBEFB7423A90274A8FF58F3C02</vt:lpwstr>
  </property>
</Properties>
</file>