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eastAsia="方正黑体_GBK" w:cs="方正黑体_GBK"/>
          <w:color w:val="000000"/>
          <w:sz w:val="30"/>
          <w:szCs w:val="30"/>
        </w:rPr>
      </w:pPr>
      <w:bookmarkStart w:id="6" w:name="_GoBack"/>
      <w:bookmarkEnd w:id="6"/>
      <w:bookmarkStart w:id="0" w:name="_Toc563073445"/>
      <w:bookmarkStart w:id="1" w:name="_Toc100677438"/>
      <w:bookmarkStart w:id="2" w:name="_Toc19908"/>
      <w:bookmarkStart w:id="3" w:name="_Toc17456"/>
      <w:bookmarkStart w:id="4" w:name="_Toc17726"/>
      <w:bookmarkStart w:id="5" w:name="_Toc15579"/>
      <w:r>
        <w:rPr>
          <w:rFonts w:hint="eastAsia" w:eastAsia="方正黑体_GBK" w:cs="方正黑体_GBK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0"/>
          <w:szCs w:val="30"/>
        </w:rPr>
        <w:t>1</w:t>
      </w:r>
      <w:bookmarkEnd w:id="0"/>
      <w:bookmarkEnd w:id="1"/>
      <w:bookmarkEnd w:id="2"/>
      <w:bookmarkEnd w:id="3"/>
      <w:bookmarkEnd w:id="4"/>
      <w:bookmarkEnd w:id="5"/>
    </w:p>
    <w:p>
      <w:pPr>
        <w:overflowPunct w:val="0"/>
        <w:spacing w:before="156" w:beforeLines="50" w:after="156" w:afterLines="50" w:line="584" w:lineRule="exact"/>
        <w:jc w:val="center"/>
        <w:outlineLvl w:val="0"/>
        <w:rPr>
          <w:rFonts w:ascii="宋体" w:hAnsi="宋体" w:cs="仿宋_GB2312"/>
          <w:szCs w:val="32"/>
        </w:rPr>
      </w:pPr>
      <w:r>
        <w:rPr>
          <w:rFonts w:hint="eastAsia" w:ascii="宋体" w:hAnsi="宋体" w:eastAsia="方正小标宋_GBK" w:cs="方正小标宋_GBK"/>
          <w:bCs/>
          <w:sz w:val="36"/>
          <w:szCs w:val="40"/>
        </w:rPr>
        <w:t>德宏州气象灾害预警分级标准（州级）</w:t>
      </w:r>
    </w:p>
    <w:tbl>
      <w:tblPr>
        <w:tblStyle w:val="4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61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  <w:t>灾害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  <w:t>预警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  <w:t>等级</w:t>
            </w:r>
          </w:p>
        </w:tc>
        <w:tc>
          <w:tcPr>
            <w:tcW w:w="697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145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1.暴雨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left="1680"/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left="1680"/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1680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4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IV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1）预计未来24小时2个及以上县(市)部分地区（1/4以上站点）将出现≥50毫米降雨。</w:t>
            </w:r>
          </w:p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2）过去12小时内2个及以上县(市)部分地区（1/4站点）已出现≥25毫米的降雨，预计未来12小时内上述地区降水仍将持续，24小时累积雨量将≥50毫米</w:t>
            </w:r>
            <w:r>
              <w:rPr>
                <w:rFonts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3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1）预计未来24小时2个及以上县(市)部分地区（1/4以上站点）将出现≥50毫米降雨，并有2站及以上站点雨量≥100毫米。</w:t>
            </w:r>
          </w:p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2）过去12小时内2个及以上县(市)部分地区（1/4站点）已出现≥50毫米降雨，预计未来12小时内上述地区降水仍将持续，2站及以上站点24小时累积雨量将≥100毫米。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2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1）预</w:t>
            </w:r>
            <w:r>
              <w:rPr>
                <w:rFonts w:hint="eastAsia" w:ascii="宋体" w:hAnsi="宋体"/>
                <w:spacing w:val="-6"/>
                <w:sz w:val="24"/>
              </w:rPr>
              <w:t>计未来24小时2个及以上县(市)部分地区（1/10以上站点）将出现≥100毫米降雨，并有1站及以上站点将出现≥200毫米降雨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2）过去12小时内2个及以上县(市)部分地区（1/10站点）已出现≥100毫米降雨，预计未来12小时内上述地区降水仍将持续，1站及以上站点24小时累积雨量将≥200毫米。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1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（1）预计未来24小时2个及以上县(市)部分地区（1/4以上站点）将出现100毫米以上降雨，并有2个县（市）的2站及以上站点将出现≥200毫米降雨。</w:t>
            </w:r>
          </w:p>
          <w:p>
            <w:pPr>
              <w:overflowPunct w:val="0"/>
              <w:spacing w:line="340" w:lineRule="exact"/>
            </w:pPr>
            <w:r>
              <w:rPr>
                <w:rFonts w:hint="eastAsia" w:ascii="宋体" w:hAnsi="宋体"/>
                <w:sz w:val="24"/>
              </w:rPr>
              <w:t>（2）过去12小时内2个及以上县(市)部分地区（1/4站点）已出现100毫米以上降雨，预计未来12小时内上述地区降水仍将持续，2个县（市）的2站及以上站点24小时累积雨量将≥200毫米。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default" w:cs="仿宋_GB2312"/>
                <w:snapToGrid w:val="0"/>
                <w:kern w:val="0"/>
                <w:sz w:val="24"/>
                <w:lang w:val="en"/>
              </w:rPr>
              <w:t>2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t>干旱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2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II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重旱及以上站点占比达到50%以上，其中特旱占比在20%以上，并且持续3天以上，未来干旱可能进一步发展。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1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重旱及以上站点占比达到60%以上，其中特旱占比在30%以上，并且持续3天以上，未来干旱可能进一步发展。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default" w:cs="仿宋_GB2312"/>
                <w:snapToGrid w:val="0"/>
                <w:kern w:val="0"/>
                <w:sz w:val="24"/>
                <w:lang w:val="en"/>
              </w:rPr>
              <w:t>3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t>雷电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4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IV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未来12小时2个及以上县(市)部分地区，将出现较强雷电活动，出现雷击灾害事故的可能性大，或伴有平均风力7级或阵风9级以上大风、大冰雹、1小时30毫米以上降水等强对流天气；或上述情况已出现并将持续。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3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未来6小时2个及以上县(市)部分地区，将出现强雷电活动，出现雷击灾害事故的可能性非常大，或伴有平均风力8级或阵风10级以上大风、大冰雹、1小时50毫米以上降水等强对流天气；或上述情况已出现并将持续。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default" w:cs="仿宋_GB2312"/>
                <w:snapToGrid w:val="0"/>
                <w:kern w:val="0"/>
                <w:sz w:val="24"/>
                <w:lang w:val="en"/>
              </w:rPr>
              <w:t>4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t>大风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4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IV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未来12小时内2个及以上县(市)部分地区，将出现平均风力8级或阵风9级以上的大风；或上述情况已出现并将持续。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3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未来6小时内2个及以上县(市)部分地区将出现阵风10级以上大风，并伴有强雷电；或上述情况已出现并将持续。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2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未来6小时内2个及以上县(市)部分地区将出现阵风12级以上大风，并伴有强雷电；或上述情况已出现并将持续。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default" w:cs="仿宋_GB2312"/>
                <w:snapToGrid w:val="0"/>
                <w:kern w:val="0"/>
                <w:sz w:val="24"/>
                <w:lang w:val="en"/>
              </w:rPr>
              <w:t>5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t>冰雹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4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IV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预计未来6小时内2个及以上县(市)的部分地区将出现冰雹，可能造成雹灾，或上述情况已出现并将持续。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3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28" w:type="dxa"/>
              <w:left w:w="108" w:type="dxa"/>
              <w:bottom w:w="28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预计未来6小时内2个及以上县(市)部分地区将出现大冰雹，可能造成重雹灾；或上述情况已出现并将持续。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default" w:cs="仿宋_GB2312"/>
                <w:snapToGrid w:val="0"/>
                <w:kern w:val="0"/>
                <w:sz w:val="24"/>
                <w:lang w:val="en"/>
              </w:rPr>
              <w:t>6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t>高温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4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IV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未来3天内某日，2个及以上县(市)部分地区日最高气温将达到37℃以上。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3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未来3天内某日，2个及以上县(市)部分地区日最高气温将达到40℃以上。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default" w:cs="仿宋_GB2312"/>
                <w:snapToGrid w:val="0"/>
                <w:kern w:val="0"/>
                <w:sz w:val="24"/>
                <w:lang w:val="en"/>
              </w:rPr>
              <w:t>7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t>大雾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4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IV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未来24小时内2个及以上县(市)部分地区，将出现能见度≤500米的浓雾,局地有能见度≤200米的强浓雾；或上述情况已出现并将持续。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3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未来24小时内2个及以上县(市)部分地区，将出现能见度≤200米的强浓雾，局地有能见度≤50米的特强浓雾；或上述情况已出现并将持续。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hint="default" w:cs="仿宋_GB2312"/>
                <w:snapToGrid w:val="0"/>
                <w:kern w:val="0"/>
                <w:sz w:val="24"/>
                <w:lang w:val="en"/>
              </w:rPr>
              <w:t>8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t>霜冻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_GB2312"/>
                <w:snapToGrid w:val="0"/>
                <w:kern w:val="0"/>
                <w:sz w:val="24"/>
              </w:rPr>
              <w:instrText xml:space="preserve">= 4 \* ROMAN</w:instrTex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t>IV</w:t>
            </w:r>
            <w:r>
              <w:rPr>
                <w:rFonts w:ascii="宋体" w:hAnsi="宋体" w:cs="仿宋_GB2312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未来3天内某日，2个及以上县(市)大部地区日最低气温将≤2℃，霜冻风险高。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snapToGrid w:val="0"/>
                <w:kern w:val="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instrText xml:space="preserve">= 3 \* ROMAN</w:instrTex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snapToGrid w:val="0"/>
                <w:kern w:val="0"/>
                <w:sz w:val="24"/>
              </w:rPr>
              <w:t>III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fldChar w:fldCharType="end"/>
            </w:r>
          </w:p>
        </w:tc>
        <w:tc>
          <w:tcPr>
            <w:tcW w:w="6974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overflowPunct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未来3天内某日，2个及以上县(市)大部地区日最低气温将≤0℃，霜冻风险很高。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6204"/>
    <w:rsid w:val="43CA4F19"/>
    <w:rsid w:val="6769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240" w:lineRule="atLeast"/>
    </w:pPr>
    <w:rPr>
      <w:rFonts w:ascii="Calibri" w:hAnsi="Calibri" w:eastAsia="宋体" w:cs="Times New Roman"/>
      <w:spacing w:val="-6"/>
      <w:sz w:val="32"/>
      <w:szCs w:val="20"/>
    </w:rPr>
  </w:style>
  <w:style w:type="paragraph" w:styleId="3">
    <w:name w:val="toc 5"/>
    <w:basedOn w:val="1"/>
    <w:next w:val="1"/>
    <w:qFormat/>
    <w:uiPriority w:val="0"/>
    <w:pPr>
      <w:spacing w:line="240" w:lineRule="atLeast"/>
      <w:ind w:left="1680"/>
    </w:pPr>
    <w:rPr>
      <w:rFonts w:ascii="Calibri" w:hAnsi="Calibri" w:eastAsia="宋体" w:cs="Times New Roman"/>
      <w:spacing w:val="-6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2023-08-31T07:34:00Z</dcterms:created>
  <dc:creator>Administrator</dc:creator>
  <cp:lastModifiedBy>Administrator</cp:lastModifiedBy>
  <dcterms:modified xsi:type="dcterms:W3CDTF">2023-08-31T07:35:13Z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