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eastAsia" w:ascii="方正黑体_GBK" w:hAnsi="方正黑体_GBK" w:eastAsia="方正黑体_GBK" w:cs="方正黑体_GBK"/>
          <w:color w:val="auto"/>
          <w:sz w:val="32"/>
          <w:szCs w:val="32"/>
          <w:lang w:val="en-US" w:eastAsia="zh-CN"/>
        </w:rPr>
      </w:pPr>
      <w:r>
        <w:rPr>
          <w:rFonts w:hint="eastAsia" w:ascii="方正黑体_GBK" w:hAnsi="方正黑体_GBK" w:eastAsia="方正黑体_GBK" w:cs="方正黑体_GBK"/>
          <w:color w:val="auto"/>
          <w:sz w:val="32"/>
          <w:szCs w:val="32"/>
          <w:lang w:val="en-US" w:eastAsia="zh-CN"/>
        </w:rPr>
        <w:t>附件1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5720" w:firstLineChars="1300"/>
        <w:jc w:val="both"/>
        <w:textAlignment w:val="auto"/>
        <w:rPr>
          <w:rFonts w:hint="default" w:ascii="Times New Roman" w:hAnsi="Times New Roman" w:eastAsia="方正小标宋_GBK" w:cs="Times New Roman"/>
          <w:color w:val="auto"/>
          <w:sz w:val="44"/>
          <w:szCs w:val="44"/>
          <w:lang w:val="en-US" w:eastAsia="zh-CN"/>
        </w:rPr>
      </w:pPr>
      <w:r>
        <w:rPr>
          <w:rFonts w:hint="default" w:ascii="Times New Roman" w:hAnsi="Times New Roman" w:eastAsia="方正小标宋_GBK" w:cs="Times New Roman"/>
          <w:color w:val="auto"/>
          <w:sz w:val="44"/>
          <w:szCs w:val="44"/>
          <w:lang w:val="en-US" w:eastAsia="zh-CN"/>
        </w:rPr>
        <w:t>目标任务表</w:t>
      </w:r>
    </w:p>
    <w:tbl>
      <w:tblPr>
        <w:tblStyle w:val="5"/>
        <w:tblW w:w="1391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9"/>
        <w:gridCol w:w="4293"/>
        <w:gridCol w:w="865"/>
        <w:gridCol w:w="1512"/>
        <w:gridCol w:w="1777"/>
        <w:gridCol w:w="1759"/>
        <w:gridCol w:w="1718"/>
        <w:gridCol w:w="98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  <w:jc w:val="center"/>
        </w:trPr>
        <w:tc>
          <w:tcPr>
            <w:tcW w:w="1009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32"/>
                <w:szCs w:val="32"/>
                <w:vertAlign w:val="baseline"/>
                <w:lang w:val="en-US" w:eastAsia="zh-CN"/>
              </w:rPr>
              <w:t>序号</w:t>
            </w:r>
          </w:p>
        </w:tc>
        <w:tc>
          <w:tcPr>
            <w:tcW w:w="4293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32"/>
                <w:szCs w:val="32"/>
                <w:vertAlign w:val="baseline"/>
                <w:lang w:val="en-US" w:eastAsia="zh-CN"/>
              </w:rPr>
              <w:t>指 标</w:t>
            </w:r>
          </w:p>
        </w:tc>
        <w:tc>
          <w:tcPr>
            <w:tcW w:w="865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32"/>
                <w:szCs w:val="32"/>
                <w:vertAlign w:val="baseline"/>
                <w:lang w:val="en-US" w:eastAsia="zh-CN"/>
              </w:rPr>
              <w:t>单位</w:t>
            </w:r>
          </w:p>
        </w:tc>
        <w:tc>
          <w:tcPr>
            <w:tcW w:w="1512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32"/>
                <w:szCs w:val="32"/>
                <w:vertAlign w:val="baseline"/>
                <w:lang w:val="en-US" w:eastAsia="zh-CN"/>
              </w:rPr>
              <w:t>2022年基 数</w:t>
            </w:r>
          </w:p>
        </w:tc>
        <w:tc>
          <w:tcPr>
            <w:tcW w:w="5254" w:type="dxa"/>
            <w:gridSpan w:val="3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32"/>
                <w:szCs w:val="32"/>
                <w:vertAlign w:val="baseline"/>
                <w:lang w:val="en-US" w:eastAsia="zh-CN"/>
              </w:rPr>
              <w:t>未来三年目标值</w:t>
            </w:r>
          </w:p>
        </w:tc>
        <w:tc>
          <w:tcPr>
            <w:tcW w:w="983" w:type="dxa"/>
            <w:vMerge w:val="restart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32"/>
                <w:szCs w:val="32"/>
                <w:vertAlign w:val="baseline"/>
                <w:lang w:val="en-US" w:eastAsia="zh-CN"/>
              </w:rPr>
              <w:t>年均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32"/>
                <w:szCs w:val="32"/>
                <w:vertAlign w:val="baseline"/>
                <w:lang w:val="en-US" w:eastAsia="zh-CN"/>
              </w:rPr>
              <w:t>增量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1" w:hRule="atLeast"/>
          <w:jc w:val="center"/>
        </w:trPr>
        <w:tc>
          <w:tcPr>
            <w:tcW w:w="1009" w:type="dxa"/>
            <w:vMerge w:val="continue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vertAlign w:val="baseline"/>
                <w:lang w:val="en-US" w:eastAsia="zh-CN"/>
              </w:rPr>
            </w:pPr>
          </w:p>
        </w:tc>
        <w:tc>
          <w:tcPr>
            <w:tcW w:w="4293" w:type="dxa"/>
            <w:vMerge w:val="continue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vertAlign w:val="baseline"/>
                <w:lang w:val="en-US" w:eastAsia="zh-CN"/>
              </w:rPr>
            </w:pPr>
          </w:p>
        </w:tc>
        <w:tc>
          <w:tcPr>
            <w:tcW w:w="865" w:type="dxa"/>
            <w:vMerge w:val="continue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vertAlign w:val="baseline"/>
                <w:lang w:val="en-US" w:eastAsia="zh-CN"/>
              </w:rPr>
            </w:pPr>
          </w:p>
        </w:tc>
        <w:tc>
          <w:tcPr>
            <w:tcW w:w="1512" w:type="dxa"/>
            <w:vMerge w:val="continue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vertAlign w:val="baseline"/>
                <w:lang w:val="en-US" w:eastAsia="zh-CN"/>
              </w:rPr>
            </w:pPr>
          </w:p>
        </w:tc>
        <w:tc>
          <w:tcPr>
            <w:tcW w:w="1777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both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  <w:t>2023年累计</w:t>
            </w:r>
          </w:p>
        </w:tc>
        <w:tc>
          <w:tcPr>
            <w:tcW w:w="1759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  <w:t>2024年累计</w:t>
            </w:r>
          </w:p>
        </w:tc>
        <w:tc>
          <w:tcPr>
            <w:tcW w:w="1718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  <w:t>2025年累计</w:t>
            </w:r>
          </w:p>
        </w:tc>
        <w:tc>
          <w:tcPr>
            <w:tcW w:w="983" w:type="dxa"/>
            <w:vMerge w:val="continue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009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429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  <w:t>餐饮业营业额</w:t>
            </w:r>
          </w:p>
        </w:tc>
        <w:tc>
          <w:tcPr>
            <w:tcW w:w="8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  <w:t>亿元</w:t>
            </w:r>
          </w:p>
        </w:tc>
        <w:tc>
          <w:tcPr>
            <w:tcW w:w="151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  <w:t>42.64</w:t>
            </w:r>
          </w:p>
        </w:tc>
        <w:tc>
          <w:tcPr>
            <w:tcW w:w="177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  <w:t>49.03</w:t>
            </w:r>
          </w:p>
        </w:tc>
        <w:tc>
          <w:tcPr>
            <w:tcW w:w="175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  <w:t>56.39</w:t>
            </w:r>
          </w:p>
        </w:tc>
        <w:tc>
          <w:tcPr>
            <w:tcW w:w="171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  <w:t>65</w:t>
            </w:r>
          </w:p>
        </w:tc>
        <w:tc>
          <w:tcPr>
            <w:tcW w:w="98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  <w:t>15%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009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  <w:t>2</w:t>
            </w:r>
          </w:p>
        </w:tc>
        <w:tc>
          <w:tcPr>
            <w:tcW w:w="429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  <w:t>限上餐饮业营业收入占全省比重</w:t>
            </w:r>
          </w:p>
        </w:tc>
        <w:tc>
          <w:tcPr>
            <w:tcW w:w="8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  <w:t>%</w:t>
            </w:r>
          </w:p>
        </w:tc>
        <w:tc>
          <w:tcPr>
            <w:tcW w:w="151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  <w:t>2.51</w:t>
            </w:r>
          </w:p>
        </w:tc>
        <w:tc>
          <w:tcPr>
            <w:tcW w:w="177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  <w:t>2.55</w:t>
            </w:r>
          </w:p>
        </w:tc>
        <w:tc>
          <w:tcPr>
            <w:tcW w:w="175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  <w:t>2.57</w:t>
            </w:r>
          </w:p>
        </w:tc>
        <w:tc>
          <w:tcPr>
            <w:tcW w:w="171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  <w:t>2.6</w:t>
            </w:r>
          </w:p>
        </w:tc>
        <w:tc>
          <w:tcPr>
            <w:tcW w:w="98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009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  <w:t>3</w:t>
            </w:r>
          </w:p>
        </w:tc>
        <w:tc>
          <w:tcPr>
            <w:tcW w:w="429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  <w:t>年营业收入过千万企业（大个体）</w:t>
            </w:r>
          </w:p>
        </w:tc>
        <w:tc>
          <w:tcPr>
            <w:tcW w:w="8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  <w:t>家</w:t>
            </w:r>
          </w:p>
        </w:tc>
        <w:tc>
          <w:tcPr>
            <w:tcW w:w="151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  <w:vertAlign w:val="baseline"/>
                <w:lang w:val="en" w:eastAsia="zh-CN"/>
              </w:rPr>
            </w:pPr>
          </w:p>
        </w:tc>
        <w:tc>
          <w:tcPr>
            <w:tcW w:w="177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  <w:vertAlign w:val="baseline"/>
                <w:lang w:val="en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175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  <w:vertAlign w:val="baseline"/>
                <w:lang w:val="en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  <w:t>2</w:t>
            </w:r>
          </w:p>
        </w:tc>
        <w:tc>
          <w:tcPr>
            <w:tcW w:w="171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  <w:vertAlign w:val="baseline"/>
                <w:lang w:val="en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  <w:t>3</w:t>
            </w:r>
          </w:p>
        </w:tc>
        <w:tc>
          <w:tcPr>
            <w:tcW w:w="98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atLeast"/>
          <w:jc w:val="center"/>
        </w:trPr>
        <w:tc>
          <w:tcPr>
            <w:tcW w:w="1009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  <w:t>4</w:t>
            </w:r>
          </w:p>
        </w:tc>
        <w:tc>
          <w:tcPr>
            <w:tcW w:w="429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  <w:t>全州限额以上餐饮业</w:t>
            </w:r>
          </w:p>
        </w:tc>
        <w:tc>
          <w:tcPr>
            <w:tcW w:w="8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  <w:t>家</w:t>
            </w:r>
          </w:p>
        </w:tc>
        <w:tc>
          <w:tcPr>
            <w:tcW w:w="151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  <w:lang w:val="en-US" w:eastAsia="zh-CN"/>
              </w:rPr>
              <w:t>65</w:t>
            </w:r>
          </w:p>
          <w:p>
            <w:pPr>
              <w:pStyle w:val="2"/>
              <w:jc w:val="center"/>
              <w:rPr>
                <w:rFonts w:hint="default" w:ascii="Times New Roman" w:hAnsi="Times New Roman" w:eastAsia="方正仿宋_GBK" w:cs="Times New Roman"/>
                <w:color w:val="auto"/>
                <w:lang w:val="en-US" w:eastAsia="zh-CN"/>
              </w:rPr>
            </w:pPr>
          </w:p>
        </w:tc>
        <w:tc>
          <w:tcPr>
            <w:tcW w:w="1777" w:type="dxa"/>
            <w:noWrap w:val="0"/>
            <w:vAlign w:val="center"/>
          </w:tcPr>
          <w:p>
            <w:pPr>
              <w:pStyle w:val="2"/>
              <w:jc w:val="both"/>
              <w:rPr>
                <w:rFonts w:hint="default" w:ascii="Times New Roman" w:hAnsi="Times New Roman" w:eastAsia="方正仿宋_GBK" w:cs="Times New Roman"/>
                <w:color w:val="auto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  <w:t>73</w:t>
            </w:r>
          </w:p>
        </w:tc>
        <w:tc>
          <w:tcPr>
            <w:tcW w:w="175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  <w:t>82</w:t>
            </w:r>
          </w:p>
        </w:tc>
        <w:tc>
          <w:tcPr>
            <w:tcW w:w="1718" w:type="dxa"/>
            <w:noWrap w:val="0"/>
            <w:vAlign w:val="center"/>
          </w:tcPr>
          <w:p>
            <w:pPr>
              <w:pStyle w:val="2"/>
              <w:ind w:left="0" w:leftChars="0" w:firstLine="560" w:firstLineChars="200"/>
              <w:jc w:val="both"/>
              <w:rPr>
                <w:rFonts w:hint="default" w:ascii="Times New Roman" w:hAnsi="Times New Roman" w:eastAsia="方正仿宋_GBK" w:cs="Times New Roman"/>
                <w:color w:val="auto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  <w:lang w:val="en-US" w:eastAsia="zh-CN"/>
              </w:rPr>
              <w:t>92</w:t>
            </w:r>
          </w:p>
        </w:tc>
        <w:tc>
          <w:tcPr>
            <w:tcW w:w="98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  <w:t>11.5%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009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  <w:t>5</w:t>
            </w:r>
          </w:p>
        </w:tc>
        <w:tc>
          <w:tcPr>
            <w:tcW w:w="429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  <w:t>制定出台德宏小吃标准数量</w:t>
            </w:r>
          </w:p>
        </w:tc>
        <w:tc>
          <w:tcPr>
            <w:tcW w:w="8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  <w:t>项</w:t>
            </w:r>
          </w:p>
        </w:tc>
        <w:tc>
          <w:tcPr>
            <w:tcW w:w="151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77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  <w:t>3</w:t>
            </w:r>
          </w:p>
        </w:tc>
        <w:tc>
          <w:tcPr>
            <w:tcW w:w="175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  <w:t>5</w:t>
            </w:r>
          </w:p>
        </w:tc>
        <w:tc>
          <w:tcPr>
            <w:tcW w:w="171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  <w:t>10</w:t>
            </w:r>
          </w:p>
        </w:tc>
        <w:tc>
          <w:tcPr>
            <w:tcW w:w="98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009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  <w:t>6</w:t>
            </w:r>
          </w:p>
        </w:tc>
        <w:tc>
          <w:tcPr>
            <w:tcW w:w="429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  <w:t>争创省、州级特色餐饮美食街区（示范村）</w:t>
            </w:r>
          </w:p>
        </w:tc>
        <w:tc>
          <w:tcPr>
            <w:tcW w:w="8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  <w:t>条</w:t>
            </w:r>
          </w:p>
        </w:tc>
        <w:tc>
          <w:tcPr>
            <w:tcW w:w="151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77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175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  <w:t>3</w:t>
            </w:r>
          </w:p>
        </w:tc>
        <w:tc>
          <w:tcPr>
            <w:tcW w:w="171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  <w:t>5</w:t>
            </w:r>
          </w:p>
        </w:tc>
        <w:tc>
          <w:tcPr>
            <w:tcW w:w="98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009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  <w:t>7</w:t>
            </w:r>
          </w:p>
        </w:tc>
        <w:tc>
          <w:tcPr>
            <w:tcW w:w="429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  <w:t>培育预制菜企业</w:t>
            </w:r>
          </w:p>
        </w:tc>
        <w:tc>
          <w:tcPr>
            <w:tcW w:w="8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  <w:t>家</w:t>
            </w:r>
          </w:p>
        </w:tc>
        <w:tc>
          <w:tcPr>
            <w:tcW w:w="151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77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175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  <w:vertAlign w:val="baseline"/>
                <w:lang w:val="en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  <w:vertAlign w:val="baseline"/>
                <w:lang w:val="en" w:eastAsia="zh-CN"/>
              </w:rPr>
              <w:t>2</w:t>
            </w:r>
          </w:p>
        </w:tc>
        <w:tc>
          <w:tcPr>
            <w:tcW w:w="171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  <w:vertAlign w:val="baseline"/>
                <w:lang w:val="en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  <w:vertAlign w:val="baseline"/>
                <w:lang w:val="en" w:eastAsia="zh-CN"/>
              </w:rPr>
              <w:t>5</w:t>
            </w:r>
          </w:p>
        </w:tc>
        <w:tc>
          <w:tcPr>
            <w:tcW w:w="98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009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  <w:t>8</w:t>
            </w:r>
          </w:p>
        </w:tc>
        <w:tc>
          <w:tcPr>
            <w:tcW w:w="429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  <w:t>德宏小吃连锁企业（含个体）</w:t>
            </w:r>
          </w:p>
        </w:tc>
        <w:tc>
          <w:tcPr>
            <w:tcW w:w="8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  <w:t>个</w:t>
            </w:r>
          </w:p>
        </w:tc>
        <w:tc>
          <w:tcPr>
            <w:tcW w:w="151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77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  <w:vertAlign w:val="baseline"/>
                <w:lang w:val="en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  <w:t>3</w:t>
            </w:r>
          </w:p>
        </w:tc>
        <w:tc>
          <w:tcPr>
            <w:tcW w:w="175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  <w:vertAlign w:val="baseline"/>
                <w:lang w:val="en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  <w:t>5</w:t>
            </w:r>
          </w:p>
        </w:tc>
        <w:tc>
          <w:tcPr>
            <w:tcW w:w="171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  <w:vertAlign w:val="baseline"/>
                <w:lang w:val="en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  <w:t>1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  <w:vertAlign w:val="baseline"/>
                <w:lang w:val="en" w:eastAsia="zh-CN"/>
              </w:rPr>
              <w:t>0</w:t>
            </w:r>
          </w:p>
        </w:tc>
        <w:tc>
          <w:tcPr>
            <w:tcW w:w="98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</w:tr>
    </w:tbl>
    <w:p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1B12663"/>
    <w:rsid w:val="51B126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next w:val="1"/>
    <w:qFormat/>
    <w:uiPriority w:val="0"/>
    <w:pPr>
      <w:ind w:firstLine="420" w:firstLineChars="200"/>
    </w:pPr>
    <w:rPr>
      <w:rFonts w:ascii="Calibri" w:hAnsi="Calibri" w:eastAsia="宋体" w:cs="Times New Roman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德宏州直属党政机关单位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Office_11.8.6.8810_F1E327BC-269C-435d-A152-05C5408002CA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2023-08-03T08:59:00Z</dcterms:created>
  <dc:creator>Administrator</dc:creator>
  <cp:lastModifiedBy>Administrator</cp:lastModifiedBy>
  <dcterms:modified xsi:type="dcterms:W3CDTF">2023-08-03T08:59:46Z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2052-11.8.6.8810</vt:lpwstr>
  </property>
</Properties>
</file>