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sz w:val="44"/>
          <w:szCs w:val="44"/>
        </w:rPr>
      </w:pPr>
      <w:bookmarkStart w:id="0" w:name="_Toc20854"/>
      <w:bookmarkStart w:id="5" w:name="_GoBack"/>
      <w:bookmarkEnd w:id="5"/>
      <w:r>
        <w:rPr>
          <w:rFonts w:hint="eastAsia" w:ascii="方正小标宋简体" w:hAnsi="方正小标宋简体" w:eastAsia="方正小标宋简体" w:cs="方正小标宋简体"/>
          <w:sz w:val="44"/>
          <w:szCs w:val="44"/>
          <w:lang w:eastAsia="zh-CN"/>
        </w:rPr>
        <w:t>德宏州</w:t>
      </w:r>
      <w:r>
        <w:rPr>
          <w:rFonts w:hint="eastAsia" w:ascii="方正小标宋简体" w:hAnsi="方正小标宋简体" w:eastAsia="方正小标宋简体" w:cs="方正小标宋简体"/>
          <w:sz w:val="44"/>
          <w:szCs w:val="44"/>
        </w:rPr>
        <w:t>地上附着物和青苗补偿标准表</w:t>
      </w:r>
      <w:bookmarkEnd w:id="0"/>
    </w:p>
    <w:p>
      <w:pPr>
        <w:spacing w:line="560" w:lineRule="exact"/>
        <w:jc w:val="center"/>
        <w:outlineLvl w:val="1"/>
        <w:rPr>
          <w:rFonts w:hint="default" w:ascii="Times New Roman" w:hAnsi="Times New Roman" w:eastAsia="方正仿宋_GBK" w:cs="Times New Roman"/>
          <w:bCs/>
          <w:sz w:val="28"/>
          <w:szCs w:val="28"/>
        </w:rPr>
      </w:pPr>
      <w:bookmarkStart w:id="1" w:name="_Toc98400601"/>
    </w:p>
    <w:p>
      <w:pPr>
        <w:spacing w:line="560" w:lineRule="exact"/>
        <w:jc w:val="center"/>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附表1 建筑物补偿标准</w:t>
      </w:r>
      <w:bookmarkEnd w:id="1"/>
    </w:p>
    <w:tbl>
      <w:tblPr>
        <w:tblStyle w:val="4"/>
        <w:tblW w:w="5671" w:type="pct"/>
        <w:tblInd w:w="-839" w:type="dxa"/>
        <w:tblLayout w:type="fixed"/>
        <w:tblCellMar>
          <w:top w:w="0" w:type="dxa"/>
          <w:left w:w="108" w:type="dxa"/>
          <w:bottom w:w="0" w:type="dxa"/>
          <w:right w:w="108" w:type="dxa"/>
        </w:tblCellMar>
      </w:tblPr>
      <w:tblGrid>
        <w:gridCol w:w="879"/>
        <w:gridCol w:w="1462"/>
        <w:gridCol w:w="1097"/>
        <w:gridCol w:w="876"/>
        <w:gridCol w:w="879"/>
        <w:gridCol w:w="1952"/>
        <w:gridCol w:w="1373"/>
        <w:gridCol w:w="991"/>
        <w:gridCol w:w="1279"/>
        <w:gridCol w:w="1458"/>
        <w:gridCol w:w="1565"/>
        <w:gridCol w:w="902"/>
      </w:tblGrid>
      <w:tr>
        <w:tblPrEx>
          <w:tblCellMar>
            <w:top w:w="0" w:type="dxa"/>
            <w:left w:w="108" w:type="dxa"/>
            <w:bottom w:w="0" w:type="dxa"/>
            <w:right w:w="108" w:type="dxa"/>
          </w:tblCellMar>
        </w:tblPrEx>
        <w:trPr>
          <w:trHeight w:val="315" w:hRule="atLeast"/>
        </w:trPr>
        <w:tc>
          <w:tcPr>
            <w:tcW w:w="29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序号</w:t>
            </w:r>
          </w:p>
        </w:tc>
        <w:tc>
          <w:tcPr>
            <w:tcW w:w="49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一级分类</w:t>
            </w:r>
          </w:p>
        </w:tc>
        <w:tc>
          <w:tcPr>
            <w:tcW w:w="372"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二级分类</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三级分类</w:t>
            </w:r>
          </w:p>
        </w:tc>
        <w:tc>
          <w:tcPr>
            <w:tcW w:w="29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说明</w:t>
            </w:r>
          </w:p>
        </w:tc>
        <w:tc>
          <w:tcPr>
            <w:tcW w:w="663"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w:t>
            </w:r>
          </w:p>
        </w:tc>
        <w:tc>
          <w:tcPr>
            <w:tcW w:w="2265" w:type="pct"/>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补偿标准</w:t>
            </w:r>
          </w:p>
        </w:tc>
        <w:tc>
          <w:tcPr>
            <w:tcW w:w="3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备注</w:t>
            </w:r>
          </w:p>
        </w:tc>
      </w:tr>
      <w:tr>
        <w:tblPrEx>
          <w:tblCellMar>
            <w:top w:w="0" w:type="dxa"/>
            <w:left w:w="108" w:type="dxa"/>
            <w:bottom w:w="0" w:type="dxa"/>
            <w:right w:w="108" w:type="dxa"/>
          </w:tblCellMar>
        </w:tblPrEx>
        <w:trPr>
          <w:trHeight w:val="285"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4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7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466"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瑞丽市</w:t>
            </w:r>
          </w:p>
        </w:tc>
        <w:tc>
          <w:tcPr>
            <w:tcW w:w="336"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芒市</w:t>
            </w:r>
          </w:p>
        </w:tc>
        <w:tc>
          <w:tcPr>
            <w:tcW w:w="434"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盈江县</w:t>
            </w:r>
          </w:p>
        </w:tc>
        <w:tc>
          <w:tcPr>
            <w:tcW w:w="495"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梁河县</w:t>
            </w:r>
          </w:p>
        </w:tc>
        <w:tc>
          <w:tcPr>
            <w:tcW w:w="531"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陇川县</w:t>
            </w:r>
          </w:p>
        </w:tc>
        <w:tc>
          <w:tcPr>
            <w:tcW w:w="306" w:type="pct"/>
            <w:tcBorders>
              <w:top w:val="single" w:color="000000" w:sz="4" w:space="0"/>
              <w:left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29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49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钢混</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框架结构</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1700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4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钢混结构</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1750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1750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1750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4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砖混</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1550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4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砖木</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1050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4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土木</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4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简易</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380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900" w:hRule="atLeast"/>
        </w:trPr>
        <w:tc>
          <w:tcPr>
            <w:tcW w:w="5000" w:type="pct"/>
            <w:gridSpan w:val="12"/>
            <w:tcBorders>
              <w:top w:val="single" w:color="000000" w:sz="4" w:space="0"/>
              <w:left w:val="single" w:color="000000" w:sz="4" w:space="0"/>
              <w:bottom w:val="single" w:color="000000" w:sz="4" w:space="0"/>
              <w:right w:val="single" w:color="000000" w:sz="4" w:space="0"/>
            </w:tcBorders>
            <w:noWrap w:val="0"/>
            <w:vAlign w:val="center"/>
          </w:tcPr>
          <w:p>
            <w:pPr>
              <w:ind w:left="630" w:leftChars="0" w:hanging="630" w:hangingChars="300"/>
              <w:jc w:val="left"/>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备</w:t>
            </w:r>
            <w:r>
              <w:rPr>
                <w:rFonts w:hint="default" w:ascii="Times New Roman" w:hAnsi="Times New Roman" w:eastAsia="方正仿宋_GBK" w:cs="Times New Roman"/>
                <w:szCs w:val="21"/>
              </w:rPr>
              <w:t>注：1</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本次建筑物补偿标准不包含装修、不细分折旧；</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2</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补偿标准未覆盖的可按价值相近原则参照执行，如无法参照或在征地过程中遇到特殊情况的，可委托有资质的机构进行评估或协商认定；</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3</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农村村民住宅补偿标准参照本标准执行。</w:t>
            </w:r>
          </w:p>
        </w:tc>
      </w:tr>
    </w:tbl>
    <w:p>
      <w:pPr>
        <w:pStyle w:val="2"/>
        <w:ind w:firstLine="560"/>
        <w:rPr>
          <w:rFonts w:hint="default" w:ascii="Times New Roman" w:hAnsi="Times New Roman" w:eastAsia="方正仿宋_GBK" w:cs="Times New Roman"/>
          <w:bCs/>
          <w:color w:val="auto"/>
          <w:sz w:val="28"/>
        </w:rPr>
      </w:pPr>
    </w:p>
    <w:p>
      <w:pPr>
        <w:pStyle w:val="2"/>
        <w:ind w:firstLine="560"/>
        <w:rPr>
          <w:rFonts w:hint="default" w:ascii="Times New Roman" w:hAnsi="Times New Roman" w:eastAsia="方正仿宋_GBK" w:cs="Times New Roman"/>
          <w:bCs/>
          <w:color w:val="auto"/>
          <w:sz w:val="28"/>
        </w:rPr>
      </w:pPr>
    </w:p>
    <w:p>
      <w:pPr>
        <w:pStyle w:val="2"/>
        <w:ind w:firstLine="560"/>
        <w:rPr>
          <w:rFonts w:hint="default" w:ascii="Times New Roman" w:hAnsi="Times New Roman" w:eastAsia="方正仿宋_GBK" w:cs="Times New Roman"/>
          <w:bCs/>
          <w:color w:val="auto"/>
          <w:sz w:val="28"/>
        </w:rPr>
      </w:pPr>
    </w:p>
    <w:p>
      <w:pPr>
        <w:pStyle w:val="2"/>
        <w:ind w:firstLine="560"/>
        <w:rPr>
          <w:rFonts w:hint="default" w:ascii="Times New Roman" w:hAnsi="Times New Roman" w:eastAsia="方正仿宋_GBK" w:cs="Times New Roman"/>
          <w:bCs/>
          <w:color w:val="auto"/>
          <w:sz w:val="28"/>
        </w:rPr>
      </w:pPr>
    </w:p>
    <w:p>
      <w:pPr>
        <w:spacing w:line="560" w:lineRule="exact"/>
        <w:jc w:val="center"/>
        <w:outlineLvl w:val="1"/>
        <w:rPr>
          <w:rFonts w:hint="default" w:ascii="Times New Roman" w:hAnsi="Times New Roman" w:eastAsia="方正黑体_GBK" w:cs="Times New Roman"/>
          <w:bCs/>
          <w:sz w:val="32"/>
          <w:szCs w:val="32"/>
        </w:rPr>
      </w:pPr>
      <w:bookmarkStart w:id="2" w:name="_Toc98400602"/>
      <w:r>
        <w:rPr>
          <w:rFonts w:hint="default" w:ascii="Times New Roman" w:hAnsi="Times New Roman" w:eastAsia="方正黑体_GBK" w:cs="Times New Roman"/>
          <w:bCs/>
          <w:sz w:val="32"/>
          <w:szCs w:val="32"/>
        </w:rPr>
        <w:t>附表2 构筑物及附属设施补偿标准</w:t>
      </w:r>
      <w:bookmarkEnd w:id="2"/>
    </w:p>
    <w:tbl>
      <w:tblPr>
        <w:tblStyle w:val="4"/>
        <w:tblW w:w="14295" w:type="dxa"/>
        <w:tblInd w:w="-494" w:type="dxa"/>
        <w:tblLayout w:type="fixed"/>
        <w:tblCellMar>
          <w:top w:w="0" w:type="dxa"/>
          <w:left w:w="108" w:type="dxa"/>
          <w:bottom w:w="0" w:type="dxa"/>
          <w:right w:w="108" w:type="dxa"/>
        </w:tblCellMar>
      </w:tblPr>
      <w:tblGrid>
        <w:gridCol w:w="570"/>
        <w:gridCol w:w="824"/>
        <w:gridCol w:w="846"/>
        <w:gridCol w:w="2562"/>
        <w:gridCol w:w="1620"/>
        <w:gridCol w:w="1268"/>
        <w:gridCol w:w="1393"/>
        <w:gridCol w:w="1393"/>
        <w:gridCol w:w="1273"/>
        <w:gridCol w:w="1273"/>
        <w:gridCol w:w="1273"/>
      </w:tblGrid>
      <w:tr>
        <w:tblPrEx>
          <w:tblCellMar>
            <w:top w:w="0" w:type="dxa"/>
            <w:left w:w="108" w:type="dxa"/>
            <w:bottom w:w="0" w:type="dxa"/>
            <w:right w:w="108" w:type="dxa"/>
          </w:tblCellMar>
        </w:tblPrEx>
        <w:trPr>
          <w:trHeight w:val="283" w:hRule="atLeast"/>
          <w:tblHead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 号</w:t>
            </w:r>
          </w:p>
        </w:tc>
        <w:tc>
          <w:tcPr>
            <w:tcW w:w="82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一级分类</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二级分类</w:t>
            </w:r>
          </w:p>
        </w:tc>
        <w:tc>
          <w:tcPr>
            <w:tcW w:w="256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三级分类</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说明</w:t>
            </w:r>
          </w:p>
        </w:tc>
        <w:tc>
          <w:tcPr>
            <w:tcW w:w="126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w:t>
            </w:r>
          </w:p>
        </w:tc>
        <w:tc>
          <w:tcPr>
            <w:tcW w:w="660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补偿标准</w:t>
            </w:r>
          </w:p>
        </w:tc>
      </w:tr>
      <w:tr>
        <w:tblPrEx>
          <w:tblCellMar>
            <w:top w:w="0" w:type="dxa"/>
            <w:left w:w="108" w:type="dxa"/>
            <w:bottom w:w="0" w:type="dxa"/>
            <w:right w:w="108" w:type="dxa"/>
          </w:tblCellMar>
        </w:tblPrEx>
        <w:trPr>
          <w:trHeight w:val="283" w:hRule="atLeast"/>
          <w:tblHead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25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39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瑞丽市</w:t>
            </w:r>
          </w:p>
        </w:tc>
        <w:tc>
          <w:tcPr>
            <w:tcW w:w="139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芒市</w:t>
            </w:r>
          </w:p>
        </w:tc>
        <w:tc>
          <w:tcPr>
            <w:tcW w:w="127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盈江县</w:t>
            </w:r>
          </w:p>
        </w:tc>
        <w:tc>
          <w:tcPr>
            <w:tcW w:w="127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梁河县</w:t>
            </w:r>
          </w:p>
        </w:tc>
        <w:tc>
          <w:tcPr>
            <w:tcW w:w="127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陇川县</w:t>
            </w:r>
          </w:p>
        </w:tc>
      </w:tr>
      <w:tr>
        <w:tblPrEx>
          <w:tblCellMar>
            <w:top w:w="0" w:type="dxa"/>
            <w:left w:w="108" w:type="dxa"/>
            <w:bottom w:w="0" w:type="dxa"/>
            <w:right w:w="108" w:type="dxa"/>
          </w:tblCellMar>
        </w:tblPrEx>
        <w:trPr>
          <w:trHeight w:val="285"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82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砌体</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围墙</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土围墙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机制砖</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空心砖围墙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红砖围墙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青砖围墙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挡墙</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干砌、干垒</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石砌挡墙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水泥砂浆支砌</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砌体</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砖砌体</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石砌体</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土砌体</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砼砌体</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r>
      <w:tr>
        <w:tblPrEx>
          <w:tblCellMar>
            <w:top w:w="0" w:type="dxa"/>
            <w:left w:w="108" w:type="dxa"/>
            <w:bottom w:w="0" w:type="dxa"/>
            <w:right w:w="108" w:type="dxa"/>
          </w:tblCellMar>
        </w:tblPrEx>
        <w:trPr>
          <w:trHeight w:val="285" w:hRule="atLeast"/>
        </w:trPr>
        <w:tc>
          <w:tcPr>
            <w:tcW w:w="570" w:type="dxa"/>
            <w:vMerge w:val="restart"/>
            <w:tcBorders>
              <w:top w:val="nil"/>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82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环境卫生设施</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沼气池</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沼气池</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 口</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r>
      <w:tr>
        <w:tblPrEx>
          <w:tblCellMar>
            <w:top w:w="0" w:type="dxa"/>
            <w:left w:w="108" w:type="dxa"/>
            <w:bottom w:w="0" w:type="dxa"/>
            <w:right w:w="108" w:type="dxa"/>
          </w:tblCellMar>
        </w:tblPrEx>
        <w:trPr>
          <w:trHeight w:val="285" w:hRule="atLeast"/>
        </w:trPr>
        <w:tc>
          <w:tcPr>
            <w:tcW w:w="5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化粪池</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砼砌化粪池</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r>
      <w:tr>
        <w:tblPrEx>
          <w:tblCellMar>
            <w:top w:w="0" w:type="dxa"/>
            <w:left w:w="108" w:type="dxa"/>
            <w:bottom w:w="0" w:type="dxa"/>
            <w:right w:w="108" w:type="dxa"/>
          </w:tblCellMar>
        </w:tblPrEx>
        <w:trPr>
          <w:trHeight w:val="285" w:hRule="atLeast"/>
        </w:trPr>
        <w:tc>
          <w:tcPr>
            <w:tcW w:w="570" w:type="dxa"/>
            <w:vMerge w:val="continue"/>
            <w:tcBorders>
              <w:top w:val="nil"/>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砖砌化粪池</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养殖设施</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棚</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石棉瓦棚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r>
      <w:tr>
        <w:tblPrEx>
          <w:tblCellMar>
            <w:top w:w="0" w:type="dxa"/>
            <w:left w:w="108" w:type="dxa"/>
            <w:bottom w:w="0" w:type="dxa"/>
            <w:right w:w="108" w:type="dxa"/>
          </w:tblCellMar>
        </w:tblPrEx>
        <w:trPr>
          <w:trHeight w:val="33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彩钢瓦棚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r>
      <w:tr>
        <w:tblPrEx>
          <w:tblCellMar>
            <w:top w:w="0" w:type="dxa"/>
            <w:left w:w="108" w:type="dxa"/>
            <w:bottom w:w="0" w:type="dxa"/>
            <w:right w:w="108" w:type="dxa"/>
          </w:tblCellMar>
        </w:tblPrEx>
        <w:trPr>
          <w:trHeight w:val="27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简易棚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30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鱼塘</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鱼塘</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r>
      <w:tr>
        <w:tblPrEx>
          <w:tblCellMar>
            <w:top w:w="0" w:type="dxa"/>
            <w:left w:w="108" w:type="dxa"/>
            <w:bottom w:w="0" w:type="dxa"/>
            <w:right w:w="108" w:type="dxa"/>
          </w:tblCellMar>
        </w:tblPrEx>
        <w:trPr>
          <w:trHeight w:val="363" w:hRule="atLeast"/>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生产设施</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大棚</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永久性钢架大棚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r>
      <w:tr>
        <w:tblPrEx>
          <w:tblCellMar>
            <w:top w:w="0" w:type="dxa"/>
            <w:left w:w="108" w:type="dxa"/>
            <w:bottom w:w="0" w:type="dxa"/>
            <w:right w:w="108" w:type="dxa"/>
          </w:tblCellMar>
        </w:tblPrEx>
        <w:trPr>
          <w:trHeight w:val="40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简易性钢架大棚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r>
      <w:tr>
        <w:tblPrEx>
          <w:tblCellMar>
            <w:top w:w="0" w:type="dxa"/>
            <w:left w:w="108" w:type="dxa"/>
            <w:bottom w:w="0" w:type="dxa"/>
            <w:right w:w="108" w:type="dxa"/>
          </w:tblCellMar>
        </w:tblPrEx>
        <w:trPr>
          <w:trHeight w:val="36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竹木结构大棚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r>
      <w:tr>
        <w:tblPrEx>
          <w:tblCellMar>
            <w:top w:w="0" w:type="dxa"/>
            <w:left w:w="108" w:type="dxa"/>
            <w:bottom w:w="0" w:type="dxa"/>
            <w:right w:w="108" w:type="dxa"/>
          </w:tblCellMar>
        </w:tblPrEx>
        <w:trPr>
          <w:trHeight w:val="33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砖瓦窑</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砖瓦窑</w:t>
            </w:r>
          </w:p>
        </w:tc>
        <w:tc>
          <w:tcPr>
            <w:tcW w:w="1620" w:type="dxa"/>
            <w:tcBorders>
              <w:top w:val="single" w:color="000000"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须有合法手续</w:t>
            </w:r>
          </w:p>
        </w:tc>
        <w:tc>
          <w:tcPr>
            <w:tcW w:w="1268" w:type="dxa"/>
            <w:tcBorders>
              <w:top w:val="single" w:color="000000" w:sz="4" w:space="0"/>
              <w:left w:val="single" w:color="000000" w:sz="4" w:space="0"/>
              <w:bottom w:val="single" w:color="auto"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7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储水设施</w:t>
            </w:r>
          </w:p>
        </w:tc>
        <w:tc>
          <w:tcPr>
            <w:tcW w:w="846" w:type="dxa"/>
            <w:vMerge w:val="restart"/>
            <w:tcBorders>
              <w:top w:val="single" w:color="auto"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水井</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砖（石）砌井</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土井</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水池</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砼砌</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浆砌片石</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水塔</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水塔</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default" w:ascii="Times New Roman" w:hAnsi="Times New Roman" w:eastAsia="方正仿宋_GBK" w:cs="Times New Roman"/>
                <w:szCs w:val="21"/>
              </w:rPr>
              <w:t>钢筋</w:t>
            </w:r>
            <w:r>
              <w:rPr>
                <w:rFonts w:hint="eastAsia" w:eastAsia="方正仿宋_GBK" w:cs="Times New Roman"/>
                <w:szCs w:val="21"/>
                <w:lang w:eastAsia="zh-CN"/>
              </w:rPr>
              <w:t>混凝土</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交通水利设施</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沟渠</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单面</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双面</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三面</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生活附属设施</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大门</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铝合金门</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铁门</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木门</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简易门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门墩、门头</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330"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花池（台）</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砖砌花池（台）</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一般花池（台）</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地坪（晒场）</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水泥地坪（晒场）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水泥混凝土地坪（晒场）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20cm</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瓷砖（小砖）地坪（晒场）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石块地坪（晒场）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草地坪（晒场）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太阳能</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太阳能</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元/管</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灶</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砖砌灶</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二锅二门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元/个</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土灶</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二锅二门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元/个</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砖砌灶</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单锅单门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元/个</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土灶</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单锅单门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元/个</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电力设施</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电线杆</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木电杆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木制</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水泥电杆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小水泥电杆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铁电杆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坟墓迁移</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土坟</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合葬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砖坟</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合葬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石坟</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合葬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8500</w:t>
            </w:r>
          </w:p>
        </w:tc>
      </w:tr>
      <w:tr>
        <w:tblPrEx>
          <w:tblCellMar>
            <w:top w:w="0" w:type="dxa"/>
            <w:left w:w="108" w:type="dxa"/>
            <w:bottom w:w="0" w:type="dxa"/>
            <w:right w:w="108" w:type="dxa"/>
          </w:tblCellMar>
        </w:tblPrEx>
        <w:trPr>
          <w:trHeight w:val="720" w:hRule="atLeast"/>
        </w:trPr>
        <w:tc>
          <w:tcPr>
            <w:tcW w:w="14295" w:type="dxa"/>
            <w:gridSpan w:val="11"/>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szCs w:val="21"/>
                <w:lang w:val="en-US" w:eastAsia="zh-CN"/>
              </w:rPr>
            </w:pPr>
            <w:r>
              <w:rPr>
                <w:rFonts w:hint="default" w:ascii="Times New Roman" w:hAnsi="Times New Roman" w:eastAsia="方正仿宋_GBK" w:cs="Times New Roman"/>
                <w:szCs w:val="21"/>
              </w:rPr>
              <w:t>备注：1.坟墓迁移：适用于征收土地地上的坟墓搬迁，本补偿标准不含安置补助费用等其他额外奖励性费用，各地可根据地方实际自行制定</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 xml:space="preserve"> </w:t>
            </w:r>
            <w:r>
              <w:rPr>
                <w:rFonts w:hint="eastAsia" w:ascii="Times New Roman" w:hAnsi="Times New Roman" w:eastAsia="方正仿宋_GBK" w:cs="Times New Roman"/>
                <w:szCs w:val="21"/>
                <w:lang w:val="en-US" w:eastAsia="zh-CN"/>
              </w:rPr>
              <w:t xml:space="preserve">     </w:t>
            </w:r>
            <w:r>
              <w:rPr>
                <w:rFonts w:hint="default" w:ascii="Times New Roman" w:hAnsi="Times New Roman" w:eastAsia="方正仿宋_GBK" w:cs="Times New Roman"/>
                <w:szCs w:val="21"/>
              </w:rPr>
              <w:t>2.本补偿标准未覆盖或者无法参照补偿的以及在征地过程中遇到特殊情况的，由各地可委托有资质的机 构进行评估或协商，评估或协商结果经过依</w:t>
            </w:r>
            <w:r>
              <w:rPr>
                <w:rFonts w:hint="eastAsia" w:ascii="Times New Roman" w:hAnsi="Times New Roman" w:eastAsia="方正仿宋_GBK" w:cs="Times New Roman"/>
                <w:szCs w:val="21"/>
                <w:lang w:val="en-US" w:eastAsia="zh-CN"/>
              </w:rPr>
              <w:t xml:space="preserve">        </w:t>
            </w:r>
          </w:p>
          <w:p>
            <w:pPr>
              <w:ind w:firstLine="630" w:firstLineChars="30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法依规确认后，按照确认结果进行补偿。</w:t>
            </w:r>
          </w:p>
        </w:tc>
      </w:tr>
    </w:tbl>
    <w:p>
      <w:pPr>
        <w:pStyle w:val="2"/>
        <w:ind w:firstLine="600"/>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br w:type="page"/>
      </w:r>
    </w:p>
    <w:p>
      <w:pPr>
        <w:spacing w:line="560" w:lineRule="exact"/>
        <w:jc w:val="center"/>
        <w:outlineLvl w:val="1"/>
        <w:rPr>
          <w:rFonts w:hint="default" w:ascii="Times New Roman" w:hAnsi="Times New Roman" w:eastAsia="方正黑体_GBK" w:cs="Times New Roman"/>
          <w:bCs/>
          <w:sz w:val="32"/>
          <w:szCs w:val="32"/>
        </w:rPr>
      </w:pPr>
      <w:bookmarkStart w:id="3" w:name="_Toc98400603"/>
      <w:r>
        <w:rPr>
          <w:rFonts w:hint="default" w:ascii="Times New Roman" w:hAnsi="Times New Roman" w:eastAsia="方正黑体_GBK" w:cs="Times New Roman"/>
          <w:bCs/>
          <w:sz w:val="32"/>
          <w:szCs w:val="32"/>
        </w:rPr>
        <w:t>附表3 林木补偿标准</w:t>
      </w:r>
      <w:bookmarkEnd w:id="3"/>
    </w:p>
    <w:tbl>
      <w:tblPr>
        <w:tblStyle w:val="4"/>
        <w:tblW w:w="12975" w:type="dxa"/>
        <w:tblInd w:w="93" w:type="dxa"/>
        <w:tblLayout w:type="fixed"/>
        <w:tblCellMar>
          <w:top w:w="0" w:type="dxa"/>
          <w:left w:w="108" w:type="dxa"/>
          <w:bottom w:w="0" w:type="dxa"/>
          <w:right w:w="108" w:type="dxa"/>
        </w:tblCellMar>
      </w:tblPr>
      <w:tblGrid>
        <w:gridCol w:w="555"/>
        <w:gridCol w:w="945"/>
        <w:gridCol w:w="742"/>
        <w:gridCol w:w="1308"/>
        <w:gridCol w:w="3035"/>
        <w:gridCol w:w="900"/>
        <w:gridCol w:w="900"/>
        <w:gridCol w:w="765"/>
        <w:gridCol w:w="870"/>
        <w:gridCol w:w="870"/>
        <w:gridCol w:w="870"/>
        <w:gridCol w:w="1215"/>
      </w:tblGrid>
      <w:tr>
        <w:tblPrEx>
          <w:tblCellMar>
            <w:top w:w="0" w:type="dxa"/>
            <w:left w:w="108" w:type="dxa"/>
            <w:bottom w:w="0" w:type="dxa"/>
            <w:right w:w="108" w:type="dxa"/>
          </w:tblCellMar>
        </w:tblPrEx>
        <w:trPr>
          <w:trHeight w:val="31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序号</w:t>
            </w:r>
          </w:p>
        </w:tc>
        <w:tc>
          <w:tcPr>
            <w:tcW w:w="9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一级分类</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二级分类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三级分类</w:t>
            </w:r>
          </w:p>
        </w:tc>
        <w:tc>
          <w:tcPr>
            <w:tcW w:w="303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说明</w:t>
            </w:r>
          </w:p>
        </w:tc>
        <w:tc>
          <w:tcPr>
            <w:tcW w:w="900" w:type="dxa"/>
            <w:vMerge w:val="restar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w:t>
            </w:r>
          </w:p>
        </w:tc>
        <w:tc>
          <w:tcPr>
            <w:tcW w:w="427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补偿标准</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备注（德宏州上限种植密度）</w:t>
            </w:r>
          </w:p>
        </w:tc>
      </w:tr>
      <w:tr>
        <w:tblPrEx>
          <w:tblCellMar>
            <w:top w:w="0" w:type="dxa"/>
            <w:left w:w="108" w:type="dxa"/>
            <w:bottom w:w="0" w:type="dxa"/>
            <w:right w:w="108" w:type="dxa"/>
          </w:tblCellMar>
        </w:tblPrEx>
        <w:trPr>
          <w:trHeight w:val="548"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30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900" w:type="dxa"/>
            <w:vMerge w:val="continue"/>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b/>
                <w:bCs/>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瑞丽市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芒市</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盈江县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梁河县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陇川县</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r>
      <w:tr>
        <w:tblPrEx>
          <w:tblCellMar>
            <w:top w:w="0" w:type="dxa"/>
            <w:left w:w="108" w:type="dxa"/>
            <w:bottom w:w="0" w:type="dxa"/>
            <w:right w:w="108" w:type="dxa"/>
          </w:tblCellMar>
        </w:tblPrEx>
        <w:trPr>
          <w:trHeight w:val="28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9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用材林</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竹类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竹子</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种植密度不高于1800株/亩</w:t>
            </w: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15厘米（含15厘米）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杉类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杉木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种植密度不高于240株/亩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松类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松树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种植密度不高于180株/亩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思茅松</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种植密度不高于167株/亩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桦类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西南桦</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桤木</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旱</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冬瓜</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种植密度不高于195株/亩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棕榈类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棕</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包</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种植密度不高于210株/亩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桉类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桉树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种植密度不高于150株/亩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硬阔</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榕树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铁力木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种植密度不高于170株/亩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楸木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黑心楠（黄心楠）</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种植密度不高于167株/亩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软阔</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椿木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柚木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桂花树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种植密度不高于90株/亩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檀香木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w:t>
            </w:r>
            <w:r>
              <w:rPr>
                <w:rFonts w:hint="eastAsia" w:ascii="Times New Roman" w:hAnsi="Times New Roman" w:eastAsia="方正仿宋_GBK" w:cs="Times New Roman"/>
                <w:szCs w:val="21"/>
                <w:lang w:eastAsia="zh-CN"/>
              </w:rPr>
              <w:t>他</w:t>
            </w:r>
            <w:r>
              <w:rPr>
                <w:rFonts w:hint="default" w:ascii="Times New Roman" w:hAnsi="Times New Roman" w:eastAsia="方正仿宋_GBK" w:cs="Times New Roman"/>
                <w:szCs w:val="21"/>
              </w:rPr>
              <w:t>用材林</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杂木类</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种植密度不高于167株/亩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红木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云南石梓</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铁刀木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黄杨木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滇皂荚</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9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经济林</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果树类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核桃</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板栗</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普通柚子</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琯溪柚</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红玉香柚</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水晶蜜柚</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杨梅</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缅桃</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种植密度不高于89株/亩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芒果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火龙果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荔枝</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枇杷</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菠萝蜜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葡萄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种植密度不高于222株/亩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果桑</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澳洲坚果/坚果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种植密度不高于32株/亩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190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李子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桃子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柿子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种植密度不高于68株/亩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柠檬</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香蕉、芭蕉</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种植密度不高于89株/亩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百香果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龙眼/桂圆</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石榴</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种植密度不高于89株/亩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毛叶枣</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树番茄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柑桔</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种植密度不高于250株/亩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沃柑（红美人）</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桔（橘）子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木瓜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种植密度不高于148株/亩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樱桃</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羊奶果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牛油果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酸角</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种植密度不高于45株/亩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梅子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八月瓜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种植密度不高于290株/亩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苹果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蒲桃</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猕猴桃</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种植密度不高于100株/亩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嘉宝果（树葡萄）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种植密度不高于167株/亩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释迦果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洋葡萄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番荔枝</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食用原料类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香椿树</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种植密度不高于500株/亩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茶叶</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种植密度不低于2000株/亩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生长期</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初采期</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盛采期</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草果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种植密度不高于270株/亩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八角</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种植密度不高于150株/亩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花椒</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咖啡</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种植密度不高于490株/亩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橄榄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林化工业原料类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橡胶</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种植1年以下</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种植密度不高于33株/亩</w:t>
            </w: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定植1年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定植2年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定植3年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定植4年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定植5年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定植6年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定植7年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定植8年以上开割</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香樟</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种植密度不高于111株/亩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油桐树</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药用类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杜仲</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其他经济林木</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叶桑</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种植密度不高于400株/亩</w:t>
            </w: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1200" w:hRule="atLeast"/>
        </w:trPr>
        <w:tc>
          <w:tcPr>
            <w:tcW w:w="12975" w:type="dxa"/>
            <w:gridSpan w:val="12"/>
            <w:tcBorders>
              <w:top w:val="single" w:color="000000" w:sz="4" w:space="0"/>
              <w:left w:val="single" w:color="000000" w:sz="4" w:space="0"/>
              <w:bottom w:val="single" w:color="000000" w:sz="4" w:space="0"/>
              <w:right w:val="single" w:color="000000" w:sz="4" w:space="0"/>
            </w:tcBorders>
            <w:noWrap w:val="0"/>
            <w:vAlign w:val="center"/>
          </w:tcPr>
          <w:p>
            <w:pPr>
              <w:ind w:left="840" w:hanging="840" w:hangingChars="400"/>
              <w:jc w:val="left"/>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备注</w:t>
            </w:r>
            <w:r>
              <w:rPr>
                <w:rFonts w:hint="default" w:ascii="Times New Roman" w:hAnsi="Times New Roman" w:eastAsia="方正仿宋_GBK" w:cs="Times New Roman"/>
                <w:szCs w:val="21"/>
              </w:rPr>
              <w:t>：1.古树名木、苗圃、景观树木、绿化树木等本次不予制定补偿标准；</w:t>
            </w:r>
          </w:p>
          <w:p>
            <w:pPr>
              <w:numPr>
                <w:ilvl w:val="0"/>
                <w:numId w:val="1"/>
              </w:numPr>
              <w:ind w:left="840" w:leftChars="300" w:hanging="210" w:hangingChars="10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本补偿标准未覆盖或者无法参照补偿的以及在征地过程中遇到特殊情况的，由各地可委托有资质的机构进行评估或协商，评估或协</w:t>
            </w:r>
          </w:p>
          <w:p>
            <w:pPr>
              <w:numPr>
                <w:ilvl w:val="0"/>
                <w:numId w:val="0"/>
              </w:numPr>
              <w:ind w:firstLine="630" w:firstLineChars="30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商结果经过依法依规确认后，按照确认结果进行补偿。</w:t>
            </w:r>
          </w:p>
        </w:tc>
      </w:tr>
    </w:tbl>
    <w:p>
      <w:pPr>
        <w:pStyle w:val="7"/>
        <w:ind w:firstLine="480"/>
        <w:rPr>
          <w:rFonts w:hint="default" w:ascii="Times New Roman" w:hAnsi="Times New Roman" w:eastAsia="方正仿宋_GBK" w:cs="Times New Roman"/>
        </w:rPr>
      </w:pPr>
    </w:p>
    <w:p>
      <w:pPr>
        <w:pStyle w:val="2"/>
        <w:ind w:firstLine="600"/>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br w:type="page"/>
      </w:r>
    </w:p>
    <w:p>
      <w:pPr>
        <w:spacing w:line="560" w:lineRule="exact"/>
        <w:ind w:firstLine="640" w:firstLineChars="200"/>
        <w:jc w:val="center"/>
        <w:outlineLvl w:val="1"/>
        <w:rPr>
          <w:rFonts w:hint="eastAsia" w:ascii="方正黑体_GBK" w:hAnsi="方正黑体_GBK" w:eastAsia="方正黑体_GBK" w:cs="方正黑体_GBK"/>
          <w:bCs/>
          <w:sz w:val="32"/>
          <w:szCs w:val="32"/>
        </w:rPr>
      </w:pPr>
      <w:bookmarkStart w:id="4" w:name="_Toc98400604"/>
      <w:r>
        <w:rPr>
          <w:rFonts w:hint="eastAsia" w:ascii="方正黑体_GBK" w:hAnsi="方正黑体_GBK" w:eastAsia="方正黑体_GBK" w:cs="方正黑体_GBK"/>
          <w:bCs/>
          <w:sz w:val="32"/>
          <w:szCs w:val="32"/>
        </w:rPr>
        <w:t>附表4  青苗补偿标准</w:t>
      </w:r>
      <w:bookmarkEnd w:id="4"/>
    </w:p>
    <w:tbl>
      <w:tblPr>
        <w:tblStyle w:val="4"/>
        <w:tblW w:w="14280" w:type="dxa"/>
        <w:tblInd w:w="93" w:type="dxa"/>
        <w:tblLayout w:type="autofit"/>
        <w:tblCellMar>
          <w:top w:w="0" w:type="dxa"/>
          <w:left w:w="108" w:type="dxa"/>
          <w:bottom w:w="0" w:type="dxa"/>
          <w:right w:w="108" w:type="dxa"/>
        </w:tblCellMar>
      </w:tblPr>
      <w:tblGrid>
        <w:gridCol w:w="555"/>
        <w:gridCol w:w="1056"/>
        <w:gridCol w:w="2685"/>
        <w:gridCol w:w="2685"/>
        <w:gridCol w:w="819"/>
        <w:gridCol w:w="1080"/>
        <w:gridCol w:w="1080"/>
        <w:gridCol w:w="1080"/>
        <w:gridCol w:w="1080"/>
        <w:gridCol w:w="1080"/>
        <w:gridCol w:w="1080"/>
      </w:tblGrid>
      <w:tr>
        <w:tblPrEx>
          <w:tblCellMar>
            <w:top w:w="0" w:type="dxa"/>
            <w:left w:w="108" w:type="dxa"/>
            <w:bottom w:w="0" w:type="dxa"/>
            <w:right w:w="108" w:type="dxa"/>
          </w:tblCellMar>
        </w:tblPrEx>
        <w:trPr>
          <w:trHeight w:val="31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序号</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一级分类</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二级分类</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三级分类</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说明</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w:t>
            </w:r>
          </w:p>
        </w:tc>
        <w:tc>
          <w:tcPr>
            <w:tcW w:w="540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补偿标准</w:t>
            </w: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瑞丽市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芒市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盈江县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梁河县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陇川县</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粮油作物</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谷物</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水稻</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玉米（杂交、其他）</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1580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玉米（甜脆、鲜食）</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小麦</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1180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油料</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花生</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油菜籽</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1030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豆类</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大豆、蚕豆</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1950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其他杂豆</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薯类</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马铃薯</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2750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甘薯（红薯）、木薯、薯蓣</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2050</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经济作物</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糖料</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水果甘蔗</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一耕甘蔗</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二耕甘蔗</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2900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三耕甘蔗</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烟叶</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烟叶</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3700</w:t>
            </w:r>
          </w:p>
        </w:tc>
      </w:tr>
      <w:tr>
        <w:tblPrEx>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蔬菜瓜果</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蔬菜</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大棚蔬菜</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4280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菜用瓜</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4370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大棚瓜果</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露瓜果</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叶菜类</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瓜菜类</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块根、块茎类</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茄果类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菜用豆</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葱蒜类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瓜果</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西瓜</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4100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香瓜（甜瓜）</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4670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草莓</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4230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菠萝</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7500</w:t>
            </w:r>
          </w:p>
        </w:tc>
      </w:tr>
      <w:tr>
        <w:tblPrEx>
          <w:tblCellMar>
            <w:top w:w="0" w:type="dxa"/>
            <w:left w:w="108" w:type="dxa"/>
            <w:bottom w:w="0" w:type="dxa"/>
            <w:right w:w="108" w:type="dxa"/>
          </w:tblCellMar>
        </w:tblPrEx>
        <w:trPr>
          <w:trHeight w:val="1320" w:hRule="atLeast"/>
        </w:trPr>
        <w:tc>
          <w:tcPr>
            <w:tcW w:w="14280" w:type="dxa"/>
            <w:gridSpan w:val="11"/>
            <w:tcBorders>
              <w:top w:val="single" w:color="000000" w:sz="4" w:space="0"/>
              <w:left w:val="single" w:color="000000" w:sz="4" w:space="0"/>
              <w:bottom w:val="single" w:color="000000" w:sz="4" w:space="0"/>
              <w:right w:val="single" w:color="000000" w:sz="4" w:space="0"/>
            </w:tcBorders>
            <w:noWrap w:val="0"/>
            <w:vAlign w:val="center"/>
          </w:tcPr>
          <w:p>
            <w:pPr>
              <w:ind w:left="630" w:hanging="630" w:hangingChars="300"/>
              <w:jc w:val="left"/>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备注</w:t>
            </w:r>
            <w:r>
              <w:rPr>
                <w:rFonts w:hint="default" w:ascii="Times New Roman" w:hAnsi="Times New Roman" w:eastAsia="方正仿宋_GBK" w:cs="Times New Roman"/>
                <w:szCs w:val="21"/>
              </w:rPr>
              <w:t>：1.补偿标准按当地耕作制度和熟制一季作物补偿</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2.三七、重楼、石斛等中药材以及花卉等市场价值波动较大的</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本次不予制定补偿标准</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3.本补偿标准未覆盖或者无法参照补偿的以及在征地过程中遇到特殊情况的，由各地可委托有资质的机构进行评估或协商，评估或协商结果经过依法依规确认后，按照确认结果进行补偿。</w:t>
            </w:r>
          </w:p>
        </w:tc>
      </w:tr>
    </w:tbl>
    <w:p>
      <w:pPr>
        <w:widowControl/>
        <w:jc w:val="left"/>
        <w:rPr>
          <w:rFonts w:hint="default" w:ascii="Times New Roman" w:hAnsi="Times New Roman" w:eastAsia="方正仿宋_GBK" w:cs="Times New Roman"/>
        </w:rPr>
        <w:sectPr>
          <w:pgSz w:w="16838" w:h="11906" w:orient="landscape"/>
          <w:pgMar w:top="1417" w:right="2098" w:bottom="1361" w:left="1985" w:header="851" w:footer="1134" w:gutter="0"/>
          <w:pgNumType w:fmt="decimal" w:chapStyle="1"/>
          <w:cols w:space="720" w:num="1"/>
          <w:rtlGutter w:val="0"/>
          <w:docGrid w:type="lines" w:linePitch="314"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E1DBA"/>
    <w:multiLevelType w:val="singleLevel"/>
    <w:tmpl w:val="63EE1DB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B3D8E"/>
    <w:rsid w:val="3E4B1870"/>
    <w:rsid w:val="4A1226CE"/>
    <w:rsid w:val="5F2B3D8E"/>
    <w:rsid w:val="79A7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内容"/>
    <w:basedOn w:val="1"/>
    <w:qFormat/>
    <w:uiPriority w:val="0"/>
    <w:pPr>
      <w:tabs>
        <w:tab w:val="left" w:leader="middleDot" w:pos="7955"/>
      </w:tabs>
      <w:adjustRightInd w:val="0"/>
      <w:snapToGrid w:val="0"/>
      <w:spacing w:line="640" w:lineRule="exact"/>
      <w:ind w:firstLine="200" w:firstLineChars="200"/>
      <w:textAlignment w:val="center"/>
    </w:pPr>
    <w:rPr>
      <w:rFonts w:ascii="Times New Roman" w:hAnsi="Times New Roman" w:eastAsia="方正仿宋_GBK" w:cs="Times New Roman"/>
      <w:color w:val="000000"/>
      <w:sz w:val="30"/>
      <w:szCs w:val="2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正文"/>
    <w:basedOn w:val="1"/>
    <w:qFormat/>
    <w:uiPriority w:val="0"/>
    <w:pPr>
      <w:spacing w:line="360" w:lineRule="auto"/>
      <w:ind w:firstLine="200" w:firstLineChars="200"/>
    </w:pPr>
    <w:rPr>
      <w:rFonts w:ascii="Calibri" w:hAnsi="Calibri" w:eastAsia="宋体" w:cs="Times New Roman"/>
      <w:sz w:val="24"/>
    </w:rPr>
  </w:style>
  <w:style w:type="paragraph" w:customStyle="1" w:styleId="8">
    <w:name w:val="Char"/>
    <w:basedOn w:val="1"/>
    <w:qFormat/>
    <w:uiPriority w:val="0"/>
    <w:pPr>
      <w:tabs>
        <w:tab w:val="left" w:pos="360"/>
      </w:tabs>
      <w:spacing w:line="760" w:lineRule="exact"/>
      <w:jc w:val="center"/>
    </w:pPr>
    <w:rPr>
      <w:rFonts w:ascii="方正小标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35</Pages>
  <Words>7916</Words>
  <Characters>11771</Characters>
  <Lines>0</Lines>
  <Paragraphs>0</Paragraphs>
  <TotalTime>0</TotalTime>
  <ScaleCrop>false</ScaleCrop>
  <LinksUpToDate>false</LinksUpToDate>
  <CharactersWithSpaces>11793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2022-11-02T06:44:00Z</dcterms:created>
  <dc:creator>gkb</dc:creator>
  <cp:lastModifiedBy>gkb</cp:lastModifiedBy>
  <dcterms:modified xsi:type="dcterms:W3CDTF">2023-04-16T02:31:39Z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1BEBAB4419184A5787FC3D0334D5C6F0</vt:lpwstr>
  </property>
</Properties>
</file>