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附件8</w:t>
      </w:r>
    </w:p>
    <w:p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“管慢病”行动方案</w:t>
      </w:r>
    </w:p>
    <w:p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sz w:val="36"/>
          <w:szCs w:val="36"/>
        </w:rPr>
        <w:t>——德宏州推进健康县城建设专项行动之六</w:t>
      </w:r>
    </w:p>
    <w:p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</w:p>
    <w:p>
      <w:pPr>
        <w:overflowPunct w:val="0"/>
        <w:spacing w:line="560" w:lineRule="exact"/>
        <w:ind w:firstLine="640"/>
        <w:jc w:val="left"/>
        <w:textAlignment w:val="baseline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一、行动目标</w:t>
      </w:r>
    </w:p>
    <w:p>
      <w:pPr>
        <w:overflowPunct w:val="0"/>
        <w:spacing w:line="560" w:lineRule="exact"/>
        <w:ind w:firstLine="640"/>
        <w:textAlignment w:val="baseline"/>
        <w:rPr>
          <w:rFonts w:ascii="Times New Roman" w:hAnsi="Times New Roman" w:cs="方正黑体_GBK"/>
          <w:color w:val="000000"/>
        </w:rPr>
      </w:pPr>
      <w:r>
        <w:rPr>
          <w:rFonts w:hint="eastAsia" w:ascii="Times New Roman" w:hAnsi="Times New Roman" w:cs="方正仿宋_GBK"/>
          <w:color w:val="000000"/>
        </w:rPr>
        <w:t>坚持预防为主、防治结合，巩固慢性病综合防控示范区建设成果，</w:t>
      </w:r>
      <w:r>
        <w:rPr>
          <w:rFonts w:hint="eastAsia" w:ascii="Times New Roman" w:hAnsi="Times New Roman" w:cs="方正黑体_GBK"/>
          <w:color w:val="000000"/>
        </w:rPr>
        <w:t>居民慢性病核心知识知晓率达70%，高血压和糖尿病规范管理率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 w:cs="方正黑体_GBK"/>
          <w:color w:val="000000"/>
        </w:rPr>
        <w:t>70%。到2024</w:t>
      </w:r>
      <w:r>
        <w:rPr>
          <w:rFonts w:ascii="Times New Roman" w:hAnsi="Times New Roman" w:cs="方正黑体_GBK"/>
          <w:color w:val="000000"/>
          <w:lang w:val="en"/>
        </w:rPr>
        <w:t>年年底</w:t>
      </w:r>
      <w:r>
        <w:rPr>
          <w:rFonts w:hint="eastAsia" w:ascii="Times New Roman" w:hAnsi="Times New Roman" w:cs="方正黑体_GBK"/>
          <w:color w:val="000000"/>
        </w:rPr>
        <w:t>，心脑血管疾病死亡率≤209/10万，70岁及以下人群慢性呼吸系统疾病死亡率≤8.9/10万，实现</w:t>
      </w:r>
      <w:r>
        <w:rPr>
          <w:rFonts w:hint="eastAsia" w:ascii="Times New Roman" w:hAnsi="Times New Roman" w:cs="方正仿宋_GBK"/>
          <w:color w:val="000000"/>
        </w:rPr>
        <w:t>重大慢性病过早死亡率</w:t>
      </w:r>
      <w:r>
        <w:rPr>
          <w:rFonts w:hint="eastAsia" w:ascii="Times New Roman" w:hAnsi="Times New Roman" w:cs="方正黑体_GBK"/>
          <w:color w:val="000000"/>
        </w:rPr>
        <w:t>逐年下降。</w:t>
      </w:r>
    </w:p>
    <w:p>
      <w:pPr>
        <w:overflowPunct w:val="0"/>
        <w:spacing w:line="560" w:lineRule="exact"/>
        <w:ind w:firstLine="640"/>
        <w:jc w:val="left"/>
        <w:textAlignment w:val="baseline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二、重点任务</w:t>
      </w:r>
    </w:p>
    <w:p>
      <w:pPr>
        <w:overflowPunct w:val="0"/>
        <w:spacing w:line="560" w:lineRule="exact"/>
        <w:ind w:firstLine="640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黑体_GBK"/>
          <w:color w:val="000000"/>
        </w:rPr>
        <w:t>（一）建设慢性病预防支持性环境。</w:t>
      </w:r>
      <w:r>
        <w:rPr>
          <w:rFonts w:ascii="Times New Roman" w:hAnsi="Times New Roman"/>
          <w:color w:val="000000"/>
          <w:lang w:bidi="ar"/>
        </w:rPr>
        <w:t>强化党委、政府主体责任，力争省级慢性病综合防控示范区全覆盖，确保芒市2023年通过省级慢性病综合防控示范区复审，盈江县、粱河县2023年通过省级慢性病综合防控示范区命名，瑞丽市、陇川县2024年通过省级慢性病综合防控示范区命名</w:t>
      </w:r>
      <w:r>
        <w:rPr>
          <w:rFonts w:hint="eastAsia" w:ascii="Times New Roman" w:hAnsi="Times New Roman" w:cs="方正仿宋_GBK"/>
          <w:color w:val="000000"/>
        </w:rPr>
        <w:t>。开展</w:t>
      </w:r>
      <w:r>
        <w:rPr>
          <w:rFonts w:hint="eastAsia" w:ascii="Times New Roman" w:hAnsi="Times New Roman" w:cs="方正黑体_GBK"/>
          <w:color w:val="000000"/>
        </w:rPr>
        <w:t>慢性病核心健康知识和健康生活方式等内容宣传，居民知晓率≥70%。</w:t>
      </w:r>
      <w:r>
        <w:rPr>
          <w:rFonts w:hint="eastAsia" w:ascii="Times New Roman" w:hAnsi="Times New Roman" w:cs="方正仿宋_GBK"/>
          <w:color w:val="000000"/>
        </w:rPr>
        <w:t>建设一批健康单位、健康主题公园和健康小屋等支持性环境，开展经常性体育运动。机关、企事业单位每两年至少组织1次职工体检，居民养成定期体检习惯。</w:t>
      </w:r>
      <w:r>
        <w:rPr>
          <w:rFonts w:hint="eastAsia" w:ascii="Times New Roman" w:hAnsi="Times New Roman" w:cs="方正黑体_GBK"/>
          <w:color w:val="000000"/>
        </w:rPr>
        <w:t>3</w:t>
      </w:r>
      <w:r>
        <w:rPr>
          <w:rFonts w:ascii="Times New Roman" w:hAnsi="Times New Roman" w:cs="方正黑体_GBK"/>
          <w:color w:val="000000"/>
        </w:rPr>
        <w:t>5</w:t>
      </w:r>
      <w:r>
        <w:rPr>
          <w:rFonts w:hint="eastAsia" w:ascii="Times New Roman" w:hAnsi="Times New Roman" w:cs="方正黑体_GBK"/>
          <w:color w:val="000000"/>
        </w:rPr>
        <w:t>岁以上居民体检应包含血压、血脂、血糖、肝、肾功能、血红蛋白、眼底检查等项目，妇女应增加妇科、乳腺和骨质疏松检查，有条件的单位和个人可增加癌症早期筛查项目。全州二级及以上医疗机构、体检机构对</w:t>
      </w:r>
      <w:r>
        <w:rPr>
          <w:rFonts w:ascii="Times New Roman" w:hAnsi="Times New Roman" w:cs="方正黑体_GBK"/>
          <w:color w:val="000000"/>
        </w:rPr>
        <w:t>18岁以上人群首诊测血压、35岁以上人群首诊测血糖，普及健康生活方式，</w:t>
      </w:r>
      <w:r>
        <w:rPr>
          <w:rFonts w:hint="eastAsia" w:ascii="Times New Roman" w:hAnsi="Times New Roman" w:cs="方正黑体_GBK"/>
          <w:color w:val="000000"/>
        </w:rPr>
        <w:t>提高居民高血压、糖尿病知晓率。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州卫生健康委牵头；州文明办、州教育体育局、州住房和城乡建设局、州广电局、州妇联、州总工会配合，各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黑体_GBK"/>
          <w:color w:val="000000"/>
        </w:rPr>
        <w:t>（二）提升慢性病诊治服务能力。</w:t>
      </w:r>
      <w:r>
        <w:rPr>
          <w:rFonts w:hint="eastAsia" w:ascii="Times New Roman" w:hAnsi="Times New Roman" w:cs="方正仿宋_GBK"/>
          <w:color w:val="000000"/>
        </w:rPr>
        <w:t>加强慢性病诊疗能力建设，县市级公立综合医院加快心脑血管、呼吸、肿瘤、消化、重症、创伤、内分泌等临床重点专科能力达标建设，为慢性病患者提供规范诊断和治疗服务。进一步优化中医临床优势专科建设布局，做优做强骨伤、肛肠、儿科、皮肤、妇科、针灸、推拿、肿瘤、心脑血管、肺病、脾胃病、肾病、周围血管病等中医优势专科，争取2024</w:t>
      </w:r>
      <w:r>
        <w:rPr>
          <w:rFonts w:ascii="Times New Roman" w:hAnsi="Times New Roman" w:cs="方正仿宋_GBK"/>
          <w:color w:val="000000"/>
          <w:lang w:val="en"/>
        </w:rPr>
        <w:t>年年底</w:t>
      </w:r>
      <w:r>
        <w:rPr>
          <w:rFonts w:hint="eastAsia" w:ascii="Times New Roman" w:hAnsi="Times New Roman" w:cs="方正仿宋_GBK"/>
          <w:color w:val="000000"/>
        </w:rPr>
        <w:t>建设不少于2个中医特色重点专科。县市级公立综合医院胸痛中心、卒中中心建成率分别达到95%和90%，乡镇卫生院心脑血管救治站覆盖率≥50%，每3万人配置1辆救护车，缩短急救反应时间，实现院前急救与院内急诊的互联互通和无缝衔接，提高救治能力，最大限度挽救生命，减少并发症的发生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州卫生健康委牵头；州发展改革委、州教育体育局、州红十字会、州医保局配合，各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/>
        <w:textAlignment w:val="baseline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黑体_GBK"/>
          <w:color w:val="000000"/>
        </w:rPr>
        <w:t>（三）强化慢性病随访管理服务。</w:t>
      </w:r>
      <w:r>
        <w:rPr>
          <w:rFonts w:ascii="Times New Roman" w:hAnsi="Times New Roman"/>
          <w:color w:val="000000"/>
          <w:lang w:bidi="ar"/>
        </w:rPr>
        <w:t>健全医疗卫生机构、体检机构高血压、糖尿病、心脑血管疾病、肿瘤和慢性呼吸系统疾病主动筛查和确诊患者报告、转介机制，及时将确诊的患者转介至基层医疗卫生机构纳入随访管理</w:t>
      </w:r>
      <w:r>
        <w:rPr>
          <w:rFonts w:hint="eastAsia" w:ascii="Times New Roman" w:hAnsi="Times New Roman" w:cs="方正仿宋_GBK"/>
          <w:color w:val="000000"/>
        </w:rPr>
        <w:t>。乡镇卫生院全部建成慢性病管理中心，为高血压、糖尿病等慢性病患者提供规范治疗和健康管理服务，县域内高血压、糖尿病患者规范管理率≥70%以上。深化家庭医生签约服务，提升家庭医生开展慢性病管理能力，推广慢性病长处方等便民服务，促进综合连续的健康服务管理向社区家庭延伸。提升基层中医药服务能力，65岁以上老年人中医药健康管理率≥70%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州卫生健康委牵头；州医保局配合，各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（四）提高慢性病康复医疗服务水平。</w:t>
      </w:r>
      <w:r>
        <w:rPr>
          <w:rFonts w:hint="eastAsia" w:ascii="Times New Roman" w:hAnsi="Times New Roman" w:cs="宋体"/>
          <w:color w:val="000000"/>
        </w:rPr>
        <w:t>加强县市级公立医院康复医疗专业队伍建设，到2024</w:t>
      </w:r>
      <w:r>
        <w:rPr>
          <w:rFonts w:ascii="Times New Roman" w:hAnsi="Times New Roman" w:cs="宋体"/>
          <w:color w:val="000000"/>
          <w:lang w:val="en"/>
        </w:rPr>
        <w:t>年年底</w:t>
      </w:r>
      <w:r>
        <w:rPr>
          <w:rFonts w:hint="eastAsia" w:ascii="Times New Roman" w:hAnsi="Times New Roman" w:cs="宋体"/>
          <w:color w:val="000000"/>
        </w:rPr>
        <w:t>，县域内每10万人口从事康复医疗的医师达到6人，每千人口康复病床达到0.4张，二级及以上公立综合医院设置康复医学科，三级中医医院和二级中医医院设置康复医学科的比例分别达到85%、70%。加强基层医疗卫生机构康复科室建设，为慢性病患者提供康复服务和双向转诊服务。针对心脑血管、糖尿病等慢性疾病和伤残康复，制定并推广中医康复方案，指导基层医疗卫生机构开展中医药康复服务。推动中医康复服务进社区、进农村、进家庭。鼓励有条件的医疗机构加强以体育运动康复为特色的专科能力建设，提供多样化康复服务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州卫生健康委牵头；州发展改革委、州民政局、州医保局、州残联配合，各</w:t>
      </w:r>
      <w:r>
        <w:rPr>
          <w:rFonts w:ascii="Times New Roman" w:hAnsi="Times New Roman" w:eastAsia="方正楷体_GBK" w:cs="方正楷体_GBK"/>
          <w:color w:val="000000"/>
          <w:lang w:val="en"/>
        </w:rPr>
        <w:t>州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/>
        <w:jc w:val="left"/>
        <w:textAlignment w:val="baseline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三、方法步骤</w:t>
      </w:r>
    </w:p>
    <w:p>
      <w:pPr>
        <w:spacing w:line="560" w:lineRule="exact"/>
        <w:ind w:firstLine="640" w:firstLineChars="20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（一）动员部署阶段（</w:t>
      </w:r>
      <w:r>
        <w:rPr>
          <w:rFonts w:ascii="Times New Roman" w:hAnsi="Times New Roman" w:eastAsia="方正楷体_GBK" w:cs="方正楷体_GBK"/>
          <w:color w:val="000000"/>
        </w:rPr>
        <w:t>202</w:t>
      </w:r>
      <w:r>
        <w:rPr>
          <w:rFonts w:hint="eastAsia" w:ascii="Times New Roman" w:hAnsi="Times New Roman" w:eastAsia="方正楷体_GBK" w:cs="方正楷体_GBK"/>
          <w:color w:val="000000"/>
        </w:rPr>
        <w:t>2年11—12月）。</w:t>
      </w:r>
      <w:r>
        <w:rPr>
          <w:rFonts w:hint="eastAsia" w:ascii="Times New Roman" w:hAnsi="Times New Roman" w:cs="方正仿宋_GBK"/>
          <w:color w:val="000000"/>
        </w:rPr>
        <w:t>州卫生健康委会同有关部门，根据专项行动方案开展动员部署。各县市各部门根据行动方案要求制定具体行动计划，明确工作目标、重点任务、责任部门、保障措施等，按照工作部署全面启动。</w:t>
      </w:r>
    </w:p>
    <w:p>
      <w:pPr>
        <w:pStyle w:val="4"/>
        <w:overflowPunct w:val="0"/>
        <w:snapToGrid w:val="0"/>
        <w:spacing w:before="0" w:line="560" w:lineRule="exact"/>
        <w:ind w:right="0" w:firstLine="646"/>
        <w:textAlignment w:val="baseline"/>
        <w:rPr>
          <w:rFonts w:eastAsia="方正仿宋_GBK" w:cs="方正黑体_GBK"/>
          <w:color w:val="000000"/>
          <w:sz w:val="32"/>
          <w:szCs w:val="32"/>
        </w:rPr>
      </w:pPr>
      <w:r>
        <w:rPr>
          <w:rFonts w:hint="eastAsia" w:eastAsia="方正楷体_GBK" w:cs="方正黑体_GBK"/>
          <w:color w:val="000000"/>
          <w:sz w:val="32"/>
          <w:szCs w:val="32"/>
        </w:rPr>
        <w:t>（二）组织实施阶段（2023年1—</w:t>
      </w:r>
      <w:r>
        <w:rPr>
          <w:rFonts w:eastAsia="方正楷体_GBK" w:cs="方正黑体_GBK"/>
          <w:color w:val="000000"/>
          <w:sz w:val="32"/>
          <w:szCs w:val="32"/>
        </w:rPr>
        <w:t>12</w:t>
      </w:r>
      <w:r>
        <w:rPr>
          <w:rFonts w:hint="eastAsia" w:eastAsia="方正楷体_GBK" w:cs="方正黑体_GBK"/>
          <w:color w:val="000000"/>
          <w:sz w:val="32"/>
          <w:szCs w:val="32"/>
        </w:rPr>
        <w:t>月）。</w:t>
      </w:r>
      <w:r>
        <w:rPr>
          <w:rFonts w:hint="eastAsia" w:eastAsia="方正仿宋_GBK" w:cs="方正黑体_GBK"/>
          <w:color w:val="000000"/>
          <w:sz w:val="32"/>
          <w:szCs w:val="32"/>
        </w:rPr>
        <w:t>各县市按照工作部署，突出重点，全面组织推进专项行动。州卫生健康委加强督促指导，强化统筹调度，推进专项行动深入开展。</w:t>
      </w:r>
    </w:p>
    <w:p>
      <w:pPr>
        <w:pStyle w:val="4"/>
        <w:overflowPunct w:val="0"/>
        <w:snapToGrid w:val="0"/>
        <w:spacing w:before="0" w:line="560" w:lineRule="exact"/>
        <w:ind w:right="0" w:firstLine="646"/>
        <w:textAlignment w:val="baseline"/>
        <w:rPr>
          <w:rFonts w:eastAsia="方正仿宋_GBK" w:cs="方正黑体_GBK"/>
          <w:color w:val="000000"/>
          <w:sz w:val="32"/>
          <w:szCs w:val="32"/>
        </w:rPr>
      </w:pPr>
      <w:r>
        <w:rPr>
          <w:rFonts w:hint="eastAsia" w:eastAsia="方正楷体_GBK" w:cs="方正黑体_GBK"/>
          <w:color w:val="000000"/>
          <w:sz w:val="32"/>
          <w:szCs w:val="32"/>
        </w:rPr>
        <w:t>（三）评审提升阶段（</w:t>
      </w:r>
      <w:r>
        <w:rPr>
          <w:rFonts w:eastAsia="方正楷体_GBK" w:cs="方正黑体_GBK"/>
          <w:color w:val="000000"/>
          <w:sz w:val="32"/>
          <w:szCs w:val="32"/>
        </w:rPr>
        <w:t>202</w:t>
      </w:r>
      <w:r>
        <w:rPr>
          <w:rFonts w:hint="eastAsia" w:eastAsia="方正楷体_GBK" w:cs="方正黑体_GBK"/>
          <w:color w:val="000000"/>
          <w:sz w:val="32"/>
          <w:szCs w:val="32"/>
        </w:rPr>
        <w:t>4年</w:t>
      </w:r>
      <w:r>
        <w:rPr>
          <w:rFonts w:eastAsia="方正楷体_GBK" w:cs="方正黑体_GBK"/>
          <w:color w:val="000000"/>
          <w:sz w:val="32"/>
          <w:szCs w:val="32"/>
        </w:rPr>
        <w:t>1</w:t>
      </w:r>
      <w:r>
        <w:rPr>
          <w:rFonts w:hint="eastAsia" w:eastAsia="方正楷体_GBK" w:cs="方正黑体_GBK"/>
          <w:color w:val="000000"/>
          <w:sz w:val="32"/>
          <w:szCs w:val="32"/>
        </w:rPr>
        <w:t>—</w:t>
      </w:r>
      <w:r>
        <w:rPr>
          <w:rFonts w:eastAsia="方正楷体_GBK" w:cs="方正黑体_GBK"/>
          <w:color w:val="000000"/>
          <w:sz w:val="32"/>
          <w:szCs w:val="32"/>
        </w:rPr>
        <w:t>12</w:t>
      </w:r>
      <w:r>
        <w:rPr>
          <w:rFonts w:hint="eastAsia" w:eastAsia="方正楷体_GBK" w:cs="方正黑体_GBK"/>
          <w:color w:val="000000"/>
          <w:sz w:val="32"/>
          <w:szCs w:val="32"/>
        </w:rPr>
        <w:t>月）。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州卫生健康委牵头组织全面自查自纠，</w:t>
      </w:r>
      <w:r>
        <w:rPr>
          <w:rFonts w:hint="eastAsia" w:eastAsia="方正仿宋_GBK" w:cs="方正黑体_GBK"/>
          <w:color w:val="000000"/>
          <w:sz w:val="32"/>
          <w:szCs w:val="32"/>
        </w:rPr>
        <w:t>指导各县市认真查找存在问题，查缺补漏，巩固专项行动成果，确保各项指标任务圆满完成，顺利通过省级评审。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7340"/>
    <w:rsid w:val="17117340"/>
    <w:rsid w:val="736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 30"/>
    <w:basedOn w:val="1"/>
    <w:qFormat/>
    <w:uiPriority w:val="0"/>
    <w:pPr>
      <w:autoSpaceDE w:val="0"/>
      <w:autoSpaceDN w:val="0"/>
      <w:snapToGrid/>
      <w:spacing w:before="144" w:line="492" w:lineRule="exact"/>
      <w:ind w:right="72" w:firstLine="576"/>
    </w:pPr>
    <w:rPr>
      <w:rFonts w:ascii="Times New Roman" w:hAnsi="Times New Roman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2022-12-30T03:08:00Z</dcterms:created>
  <dc:creator>gkb</dc:creator>
  <cp:lastModifiedBy>gkb</cp:lastModifiedBy>
  <dcterms:modified xsi:type="dcterms:W3CDTF">2022-12-30T03:11:26Z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