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方正黑体_GBK" w:cs="方正黑体_GBK"/>
          <w:color w:val="000000"/>
          <w:sz w:val="30"/>
        </w:rPr>
      </w:pPr>
      <w:r>
        <w:rPr>
          <w:rFonts w:hint="eastAsia" w:ascii="Times New Roman" w:hAnsi="Times New Roman" w:eastAsia="方正黑体_GBK" w:cs="方正黑体_GBK"/>
          <w:color w:val="000000"/>
        </w:rPr>
        <w:t>附件6</w:t>
      </w:r>
    </w:p>
    <w:p>
      <w:pPr>
        <w:adjustRightInd w:val="0"/>
        <w:spacing w:line="560" w:lineRule="exact"/>
        <w:rPr>
          <w:rFonts w:hint="eastAsia" w:ascii="Times New Roman" w:hAnsi="Times New Roman" w:eastAsia="宋体"/>
          <w:color w:val="000000"/>
        </w:rPr>
      </w:pPr>
    </w:p>
    <w:p>
      <w:pPr>
        <w:spacing w:line="560" w:lineRule="exact"/>
        <w:jc w:val="center"/>
        <w:rPr>
          <w:rFonts w:ascii="Times New Roman" w:hAnsi="Times New Roman" w:eastAsia="方正小标宋_GBK" w:cs="方正小标宋_GBK"/>
          <w:bCs/>
          <w:color w:val="000000"/>
          <w:sz w:val="44"/>
          <w:szCs w:val="44"/>
        </w:rPr>
      </w:pPr>
      <w:r>
        <w:rPr>
          <w:rFonts w:hint="eastAsia" w:ascii="Times New Roman" w:hAnsi="Times New Roman" w:eastAsia="方正小标宋_GBK" w:cs="方正小标宋_GBK"/>
          <w:bCs/>
          <w:color w:val="000000"/>
          <w:sz w:val="44"/>
          <w:szCs w:val="44"/>
        </w:rPr>
        <w:t>“食安心”行动方案</w:t>
      </w:r>
    </w:p>
    <w:p>
      <w:pPr>
        <w:widowControl/>
        <w:spacing w:line="560" w:lineRule="exact"/>
        <w:jc w:val="center"/>
        <w:rPr>
          <w:rFonts w:ascii="Times New Roman" w:hAnsi="Times New Roman" w:eastAsia="方正楷体_GBK" w:cs="方正楷体_GBK"/>
          <w:color w:val="000000"/>
          <w:sz w:val="36"/>
          <w:szCs w:val="36"/>
        </w:rPr>
      </w:pPr>
      <w:r>
        <w:rPr>
          <w:rFonts w:hint="eastAsia" w:ascii="Times New Roman" w:hAnsi="Times New Roman" w:eastAsia="方正楷体_GBK" w:cs="方正楷体_GBK"/>
          <w:color w:val="000000"/>
          <w:sz w:val="36"/>
          <w:szCs w:val="36"/>
        </w:rPr>
        <w:t>——德宏州推进健康县城建设专项行动之四</w:t>
      </w:r>
    </w:p>
    <w:p>
      <w:pPr>
        <w:spacing w:line="560" w:lineRule="exact"/>
        <w:ind w:firstLine="720" w:firstLineChars="200"/>
        <w:rPr>
          <w:rFonts w:ascii="Times New Roman" w:hAnsi="Times New Roman"/>
          <w:color w:val="000000"/>
          <w:sz w:val="36"/>
          <w:szCs w:val="36"/>
        </w:rPr>
      </w:pPr>
    </w:p>
    <w:p>
      <w:pPr>
        <w:spacing w:line="560" w:lineRule="exact"/>
        <w:ind w:firstLine="640"/>
        <w:rPr>
          <w:rFonts w:ascii="Times New Roman" w:hAnsi="Times New Roman" w:eastAsia="方正黑体_GBK" w:cs="方正黑体_GBK"/>
          <w:color w:val="000000"/>
        </w:rPr>
      </w:pPr>
      <w:r>
        <w:rPr>
          <w:rFonts w:hint="eastAsia" w:ascii="Times New Roman" w:hAnsi="Times New Roman" w:eastAsia="方正黑体_GBK" w:cs="方正黑体_GBK"/>
          <w:color w:val="000000"/>
        </w:rPr>
        <w:t>一、行动目标</w:t>
      </w:r>
    </w:p>
    <w:p>
      <w:pPr>
        <w:widowControl/>
        <w:spacing w:line="560" w:lineRule="exact"/>
        <w:ind w:firstLine="640" w:firstLineChars="200"/>
        <w:textAlignment w:val="baseline"/>
        <w:rPr>
          <w:rFonts w:ascii="Times New Roman" w:hAnsi="Times New Roman" w:cs="方正仿宋_GBK"/>
          <w:color w:val="000000"/>
        </w:rPr>
      </w:pPr>
      <w:r>
        <w:rPr>
          <w:rFonts w:hint="eastAsia" w:ascii="Times New Roman" w:hAnsi="Times New Roman" w:cs="方正仿宋_GBK"/>
          <w:color w:val="000000"/>
        </w:rPr>
        <w:t>以食品安全“四个最严”为遵循，</w:t>
      </w:r>
      <w:r>
        <w:rPr>
          <w:rFonts w:hint="eastAsia" w:ascii="Times New Roman" w:hAnsi="Times New Roman"/>
          <w:color w:val="000000"/>
        </w:rPr>
        <w:t>以“重点整治、常态管理、持续提升”为原则，聚焦餐饮服务环境卫生、食品安全和营养健康，以</w:t>
      </w:r>
      <w:r>
        <w:rPr>
          <w:rFonts w:hint="eastAsia" w:ascii="Times New Roman" w:hAnsi="Times New Roman" w:cs="方正仿宋_GBK"/>
          <w:color w:val="000000"/>
        </w:rPr>
        <w:t>“餐饮安心码”</w:t>
      </w:r>
      <w:r>
        <w:rPr>
          <w:rFonts w:hint="eastAsia" w:ascii="Times New Roman" w:hAnsi="Times New Roman"/>
          <w:color w:val="000000"/>
        </w:rPr>
        <w:t>智慧监管、“餐饮服务等级评定”和食品生产经营风险分级管理为抓手，</w:t>
      </w:r>
      <w:r>
        <w:rPr>
          <w:rFonts w:ascii="Times New Roman" w:hAnsi="Times New Roman" w:cs="方正仿宋_GBK"/>
          <w:color w:val="000000"/>
        </w:rPr>
        <w:t>全面加强餐饮服务食品安全治理体系建设，</w:t>
      </w:r>
      <w:r>
        <w:rPr>
          <w:rFonts w:hint="eastAsia" w:ascii="Times New Roman" w:hAnsi="Times New Roman" w:cs="方正仿宋_GBK"/>
          <w:color w:val="000000"/>
        </w:rPr>
        <w:t>确保</w:t>
      </w:r>
      <w:r>
        <w:rPr>
          <w:rFonts w:hint="eastAsia" w:ascii="Times New Roman" w:hAnsi="Times New Roman" w:cs="方正仿宋_GBK"/>
          <w:color w:val="000000"/>
          <w:lang w:bidi="ar"/>
        </w:rPr>
        <w:t>餐饮服务等级评定结果年度综合得分≥75分，食品生产经营风险分级管理率≥90%。推动食品安全地方属地责任、部门监管责任、企业主体责任，进一步强化落实，坚决防止发生重大食品安全事故，</w:t>
      </w:r>
      <w:r>
        <w:rPr>
          <w:rFonts w:hint="eastAsia" w:ascii="Times New Roman" w:hAnsi="Times New Roman"/>
          <w:color w:val="000000"/>
        </w:rPr>
        <w:t>切实提升人民群众在餐饮服务食品安全领域的获得感、幸福感、安全感。</w:t>
      </w:r>
    </w:p>
    <w:p>
      <w:pPr>
        <w:spacing w:line="560" w:lineRule="exact"/>
        <w:ind w:firstLine="640" w:firstLineChars="200"/>
        <w:textAlignment w:val="baseline"/>
        <w:rPr>
          <w:rFonts w:ascii="Times New Roman" w:hAnsi="Times New Roman" w:eastAsia="方正黑体_GBK"/>
          <w:color w:val="000000"/>
        </w:rPr>
      </w:pPr>
      <w:r>
        <w:rPr>
          <w:rFonts w:hint="eastAsia" w:ascii="Times New Roman" w:hAnsi="Times New Roman" w:eastAsia="方正黑体_GBK"/>
          <w:color w:val="000000"/>
        </w:rPr>
        <w:t>二、重点任务</w:t>
      </w:r>
    </w:p>
    <w:p>
      <w:pPr>
        <w:spacing w:line="560" w:lineRule="exact"/>
        <w:ind w:firstLine="562"/>
        <w:textAlignment w:val="baseline"/>
        <w:rPr>
          <w:rFonts w:ascii="Times New Roman" w:hAnsi="Times New Roman" w:eastAsia="方正楷体_GBK" w:cs="方正楷体_GBK"/>
          <w:color w:val="000000"/>
        </w:rPr>
      </w:pPr>
      <w:r>
        <w:rPr>
          <w:rFonts w:hint="eastAsia" w:ascii="Times New Roman" w:hAnsi="Times New Roman" w:eastAsia="方正楷体_GBK" w:cs="方正楷体_GBK"/>
          <w:color w:val="000000"/>
        </w:rPr>
        <w:t>（一）全面改善餐饮服务环境卫生状况</w:t>
      </w:r>
    </w:p>
    <w:p>
      <w:pPr>
        <w:spacing w:line="560" w:lineRule="exact"/>
        <w:ind w:firstLine="640" w:firstLineChars="200"/>
        <w:textAlignment w:val="baseline"/>
        <w:rPr>
          <w:rFonts w:ascii="Times New Roman" w:hAnsi="Times New Roman" w:cs="方正仿宋_GBK"/>
          <w:color w:val="000000"/>
        </w:rPr>
      </w:pPr>
      <w:r>
        <w:rPr>
          <w:rFonts w:hint="eastAsia" w:ascii="Times New Roman" w:hAnsi="Times New Roman" w:cs="宋体"/>
          <w:color w:val="000000"/>
        </w:rPr>
        <w:t>围绕“干净、整洁、安全、放心”目标，</w:t>
      </w:r>
      <w:r>
        <w:rPr>
          <w:rFonts w:hint="eastAsia" w:ascii="Times New Roman" w:hAnsi="Times New Roman" w:cs="方正仿宋_GBK"/>
          <w:color w:val="000000"/>
        </w:rPr>
        <w:t>聚焦</w:t>
      </w:r>
      <w:r>
        <w:rPr>
          <w:rFonts w:hint="eastAsia" w:ascii="Times New Roman" w:hAnsi="Times New Roman" w:cs="宋体"/>
          <w:color w:val="000000"/>
        </w:rPr>
        <w:t>城区和车站、旅游景点、高速公路服务区等重点区域，</w:t>
      </w:r>
      <w:r>
        <w:rPr>
          <w:rFonts w:hint="eastAsia" w:ascii="Times New Roman" w:hAnsi="Times New Roman" w:cs="方正仿宋_GBK"/>
          <w:color w:val="000000"/>
        </w:rPr>
        <w:t>学校、养老机构等重点领域，以及特定餐饮服务提供者、网络餐饮服务、“小餐饮”等重点业态，</w:t>
      </w:r>
      <w:r>
        <w:rPr>
          <w:rFonts w:hint="eastAsia" w:ascii="Times New Roman" w:hAnsi="Times New Roman" w:cs="宋体"/>
          <w:color w:val="000000"/>
        </w:rPr>
        <w:t>全面整改消除存在的问题和死角，持续巩固集中整治成果，逐步向城郊接合部和乡镇拓展，推动中型以上餐馆和单位食堂达到“周边环境整洁、就餐场所干净、后厨合规达标、仓储整齐安全、餐饮用具洁净、从业人员健康、配送过程规范”等“7个达标”要求，小型餐馆和餐饮食品摊贩达到“场所净、餐具洁、厨合规、人健康、食安全”等“5个达标”要求。</w:t>
      </w:r>
      <w:r>
        <w:rPr>
          <w:rFonts w:ascii="Times New Roman" w:hAnsi="Times New Roman" w:eastAsia="方正楷体_GBK" w:cs="方正楷体_GBK"/>
          <w:color w:val="000000"/>
          <w:lang w:val="en"/>
        </w:rPr>
        <w:t>（</w:t>
      </w:r>
      <w:r>
        <w:rPr>
          <w:rFonts w:hint="eastAsia" w:ascii="Times New Roman" w:hAnsi="Times New Roman" w:eastAsia="方正楷体_GBK" w:cs="方正楷体_GBK"/>
          <w:color w:val="000000"/>
        </w:rPr>
        <w:t>州市场监管局牵头；州</w:t>
      </w:r>
      <w:r>
        <w:rPr>
          <w:rFonts w:hint="eastAsia" w:ascii="Times New Roman" w:hAnsi="Times New Roman" w:eastAsia="方正楷体_GBK"/>
          <w:color w:val="000000"/>
        </w:rPr>
        <w:t>教育体育局、</w:t>
      </w:r>
      <w:r>
        <w:rPr>
          <w:rFonts w:hint="eastAsia" w:ascii="Times New Roman" w:hAnsi="Times New Roman" w:eastAsia="方正楷体_GBK" w:cs="方正楷体_GBK"/>
          <w:color w:val="000000"/>
        </w:rPr>
        <w:t>州</w:t>
      </w:r>
      <w:r>
        <w:rPr>
          <w:rFonts w:ascii="Times New Roman" w:hAnsi="Times New Roman" w:eastAsia="方正楷体_GBK"/>
          <w:color w:val="000000"/>
        </w:rPr>
        <w:t>住房城乡建设</w:t>
      </w:r>
      <w:r>
        <w:rPr>
          <w:rFonts w:hint="eastAsia" w:ascii="Times New Roman" w:hAnsi="Times New Roman" w:eastAsia="方正楷体_GBK"/>
          <w:color w:val="000000"/>
        </w:rPr>
        <w:t>局、</w:t>
      </w:r>
      <w:r>
        <w:rPr>
          <w:rFonts w:hint="eastAsia" w:ascii="Times New Roman" w:hAnsi="Times New Roman" w:eastAsia="方正楷体_GBK" w:cs="方正楷体_GBK"/>
          <w:color w:val="000000"/>
        </w:rPr>
        <w:t>州商务局、州卫生健康委配合，各</w:t>
      </w:r>
      <w:r>
        <w:rPr>
          <w:rFonts w:hint="eastAsia" w:ascii="Times New Roman" w:hAnsi="Times New Roman" w:eastAsia="方正楷体_GBK" w:cs="方正楷体_GBK"/>
          <w:color w:val="000000"/>
          <w:lang w:val="en"/>
        </w:rPr>
        <w:t>县</w:t>
      </w:r>
      <w:r>
        <w:rPr>
          <w:rFonts w:ascii="Times New Roman" w:hAnsi="Times New Roman" w:eastAsia="方正楷体_GBK" w:cs="方正楷体_GBK"/>
          <w:color w:val="000000"/>
          <w:lang w:val="en"/>
        </w:rPr>
        <w:t>市</w:t>
      </w:r>
      <w:r>
        <w:rPr>
          <w:rFonts w:hint="eastAsia" w:ascii="Times New Roman" w:hAnsi="Times New Roman" w:eastAsia="方正楷体_GBK" w:cs="方正楷体_GBK"/>
          <w:color w:val="000000"/>
        </w:rPr>
        <w:t>党委和政府负责</w:t>
      </w:r>
      <w:r>
        <w:rPr>
          <w:rFonts w:ascii="Times New Roman" w:hAnsi="Times New Roman" w:eastAsia="方正楷体_GBK" w:cs="方正楷体_GBK"/>
          <w:color w:val="000000"/>
          <w:lang w:val="en"/>
        </w:rPr>
        <w:t>）</w:t>
      </w:r>
    </w:p>
    <w:p>
      <w:pPr>
        <w:spacing w:line="560" w:lineRule="exact"/>
        <w:ind w:firstLine="562"/>
        <w:textAlignment w:val="baseline"/>
        <w:rPr>
          <w:rFonts w:ascii="Times New Roman" w:hAnsi="Times New Roman" w:cs="方正仿宋_GBK"/>
          <w:color w:val="000000"/>
          <w:lang w:bidi="ar"/>
        </w:rPr>
      </w:pPr>
      <w:r>
        <w:rPr>
          <w:rFonts w:hint="eastAsia" w:ascii="Times New Roman" w:hAnsi="Times New Roman" w:eastAsia="方正楷体_GBK" w:cs="方正楷体_GBK"/>
          <w:color w:val="000000"/>
        </w:rPr>
        <w:t>（二）全面提升餐饮服务食品安全水平</w:t>
      </w:r>
    </w:p>
    <w:p>
      <w:pPr>
        <w:spacing w:line="560" w:lineRule="exact"/>
        <w:ind w:firstLine="640" w:firstLineChars="200"/>
        <w:textAlignment w:val="baseline"/>
        <w:rPr>
          <w:rFonts w:ascii="Times New Roman" w:hAnsi="Times New Roman" w:cs="方正仿宋_GBK"/>
          <w:color w:val="000000"/>
          <w:lang w:bidi="ar"/>
        </w:rPr>
      </w:pPr>
      <w:r>
        <w:rPr>
          <w:rFonts w:hint="eastAsia" w:ascii="Times New Roman" w:hAnsi="Times New Roman" w:cs="方正仿宋_GBK"/>
          <w:color w:val="000000"/>
        </w:rPr>
        <w:t>1.强化主体责任落实。通过常态化监管检查，加大从业人员培训考核力度、持续开展监督抽检和风险监测等措施，推动各类餐饮经营者落实食品安全主体责任，</w:t>
      </w:r>
      <w:r>
        <w:rPr>
          <w:rFonts w:hint="eastAsia" w:ascii="Times New Roman" w:hAnsi="Times New Roman" w:cs="方正仿宋_GBK"/>
          <w:color w:val="000000"/>
          <w:lang w:bidi="ar"/>
        </w:rPr>
        <w:t>餐饮服务提供者要严格执行《餐饮服务食品安全操作规范》和《餐饮服务通用卫生规范》，严格食品安全管理制度建设，</w:t>
      </w:r>
      <w:r>
        <w:rPr>
          <w:rFonts w:ascii="Times New Roman" w:hAnsi="Times New Roman" w:cs="方正仿宋_GBK"/>
          <w:color w:val="000000"/>
        </w:rPr>
        <w:t>食品安全管理</w:t>
      </w:r>
      <w:r>
        <w:rPr>
          <w:rFonts w:hint="eastAsia" w:ascii="Times New Roman" w:hAnsi="Times New Roman" w:cs="方正仿宋_GBK"/>
          <w:color w:val="000000"/>
        </w:rPr>
        <w:t>（从业）人员培训考核覆盖率</w:t>
      </w:r>
      <w:r>
        <w:rPr>
          <w:rFonts w:hint="eastAsia" w:ascii="Times New Roman" w:hAnsi="Times New Roman" w:cs="方正仿宋_GBK"/>
          <w:color w:val="000000"/>
          <w:lang w:bidi="ar"/>
        </w:rPr>
        <w:t>≥85%</w:t>
      </w:r>
      <w:r>
        <w:rPr>
          <w:rFonts w:hint="eastAsia" w:ascii="Times New Roman" w:hAnsi="Times New Roman" w:cs="方正仿宋_GBK"/>
          <w:color w:val="000000"/>
        </w:rPr>
        <w:t>，</w:t>
      </w:r>
      <w:r>
        <w:rPr>
          <w:rFonts w:hint="eastAsia" w:ascii="Times New Roman" w:hAnsi="Times New Roman" w:cs="方正仿宋_GBK"/>
          <w:color w:val="000000"/>
          <w:lang w:bidi="ar"/>
        </w:rPr>
        <w:t>严格设施设备维护管理，严把原辅料购进质量安全关，严把餐饮加工制作关，严把餐饮用具清洗消毒关，严把环境卫生控制关，定期开展自查自纠，保证提供的餐食符合食品安全的相关要求。</w:t>
      </w:r>
    </w:p>
    <w:p>
      <w:pPr>
        <w:spacing w:line="560" w:lineRule="exact"/>
        <w:ind w:firstLine="640" w:firstLineChars="200"/>
        <w:textAlignment w:val="baseline"/>
        <w:rPr>
          <w:rFonts w:ascii="Times New Roman" w:hAnsi="Times New Roman" w:cs="方正仿宋_GBK"/>
          <w:color w:val="000000"/>
        </w:rPr>
      </w:pPr>
      <w:r>
        <w:rPr>
          <w:rFonts w:hint="eastAsia" w:ascii="Times New Roman" w:hAnsi="Times New Roman" w:cs="方正仿宋_GBK"/>
          <w:color w:val="000000"/>
        </w:rPr>
        <w:t>2.实行餐饮服务等级评定管理。严格按照《餐饮服务等级评定规范》要求，实施餐饮服务等级评定和动态调整，</w:t>
      </w:r>
      <w:r>
        <w:rPr>
          <w:rFonts w:hint="eastAsia" w:ascii="Times New Roman" w:hAnsi="Times New Roman" w:cs="方正仿宋_GBK"/>
          <w:color w:val="000000"/>
          <w:lang w:bidi="ar"/>
        </w:rPr>
        <w:t>构建以餐饮服务等级评定为支撑、以日常监督检查为基本手段、以“双随机”和重点监管为补充、以信用监管为基础的新型监督检查机制。</w:t>
      </w:r>
      <w:r>
        <w:rPr>
          <w:rFonts w:hint="eastAsia" w:ascii="Times New Roman" w:hAnsi="Times New Roman" w:cs="方正仿宋_GBK"/>
          <w:color w:val="000000"/>
        </w:rPr>
        <w:t>餐饮服务等级评定</w:t>
      </w:r>
      <w:r>
        <w:rPr>
          <w:rFonts w:hint="eastAsia" w:ascii="Times New Roman" w:hAnsi="Times New Roman" w:cs="方正仿宋_GBK"/>
          <w:color w:val="000000"/>
          <w:lang w:bidi="ar"/>
        </w:rPr>
        <w:t>年度综合得分≥75分。</w:t>
      </w:r>
      <w:r>
        <w:rPr>
          <w:rFonts w:hint="eastAsia" w:ascii="Times New Roman" w:hAnsi="Times New Roman" w:cs="方正仿宋_GBK"/>
          <w:color w:val="000000"/>
        </w:rPr>
        <w:t>对消费者评价为“基本满意”，尤其是“不满意”等级的餐饮服务提供者进行重点监管，加大监督检查频次。</w:t>
      </w:r>
    </w:p>
    <w:p>
      <w:pPr>
        <w:spacing w:line="560" w:lineRule="exact"/>
        <w:ind w:firstLine="562"/>
        <w:textAlignment w:val="baseline"/>
        <w:rPr>
          <w:rFonts w:ascii="Times New Roman" w:hAnsi="Times New Roman" w:cs="方正仿宋_GBK"/>
          <w:color w:val="000000"/>
        </w:rPr>
      </w:pPr>
      <w:r>
        <w:rPr>
          <w:rFonts w:hint="eastAsia" w:ascii="Times New Roman" w:hAnsi="Times New Roman" w:cs="方正仿宋_GBK"/>
          <w:color w:val="000000"/>
        </w:rPr>
        <w:t>3.强化特定餐饮服务提供者风险防控。</w:t>
      </w:r>
      <w:r>
        <w:rPr>
          <w:rFonts w:hint="eastAsia" w:ascii="Times New Roman" w:hAnsi="Times New Roman" w:cs="方正仿宋_GBK"/>
          <w:color w:val="000000"/>
          <w:lang w:bidi="ar"/>
        </w:rPr>
        <w:t>针对学校（含托幼机构）食堂、养老机构食堂、医疗机构食堂、建筑工地食堂、中央厨房、集体用餐配送单位、大型餐饮企业、连锁餐饮企业、线上餐饮平台企业等特定餐饮服务提供者加工制作量大、辐射范围广、食用人群庞大的特点，强化风险等级管理，突出加强监管，督促指导特定餐饮服务提供者建立涵盖原料采购、操作流程、物流配</w:t>
      </w:r>
      <w:r>
        <w:rPr>
          <w:rFonts w:hint="eastAsia" w:ascii="Times New Roman" w:hAnsi="Times New Roman" w:cs="方正仿宋_GBK"/>
          <w:color w:val="000000"/>
        </w:rPr>
        <w:t>送、餐厨废弃物处理、网络明厨亮灶等的食品安全控制和风险防范体系，不断提升食品安全标准化、规范化水平。</w:t>
      </w:r>
    </w:p>
    <w:p>
      <w:pPr>
        <w:spacing w:line="560" w:lineRule="exact"/>
        <w:ind w:firstLine="640" w:firstLineChars="200"/>
        <w:textAlignment w:val="baseline"/>
        <w:rPr>
          <w:rFonts w:ascii="Times New Roman" w:hAnsi="Times New Roman" w:cs="方正仿宋_GBK"/>
          <w:color w:val="000000"/>
        </w:rPr>
      </w:pPr>
      <w:r>
        <w:rPr>
          <w:rFonts w:hint="eastAsia" w:ascii="Times New Roman" w:hAnsi="Times New Roman" w:cs="方正仿宋_GBK"/>
          <w:color w:val="000000"/>
        </w:rPr>
        <w:t>4.严格网络餐饮服务食品安全监管。督促网络餐饮服务第三方平台提供者严格履行对入网餐饮服务提供者的资格审查义务，确保有实体经营门店并依法取得食品经营许可证，确保公示信息完整、真实，并及时更新公示信息。加强对配送人员进行食品安全培训管理，规范配送行为，确保配送过程食品安全。推行外卖餐食封签，保证食品配送过程不受污染，积极推行无接触配送。</w:t>
      </w:r>
    </w:p>
    <w:p>
      <w:pPr>
        <w:spacing w:line="560" w:lineRule="exact"/>
        <w:ind w:firstLine="640" w:firstLineChars="200"/>
        <w:textAlignment w:val="baseline"/>
        <w:rPr>
          <w:rFonts w:ascii="Times New Roman" w:hAnsi="Times New Roman" w:cs="方正仿宋_GBK"/>
          <w:color w:val="000000"/>
        </w:rPr>
      </w:pPr>
      <w:r>
        <w:rPr>
          <w:rFonts w:hint="eastAsia" w:ascii="Times New Roman" w:hAnsi="Times New Roman" w:cs="方正仿宋_GBK"/>
          <w:color w:val="000000"/>
        </w:rPr>
        <w:t>5.规范“小餐饮”经营行为。通过重点整治，推动“小餐饮”（含小型餐饮、餐饮类食品摊贩）规范管理，提升服务质量和水平。持续加强政策引导，创造有利条件，推动“小餐饮”集中经营，推动原料配送、餐饮用具清洗消毒、后厨环境卫生、从业人员健康体检等统一管理，促进“小餐饮”向集约化规范化转型升级，稳步推进集中夜市试点。</w:t>
      </w:r>
    </w:p>
    <w:p>
      <w:pPr>
        <w:spacing w:line="560" w:lineRule="exact"/>
        <w:ind w:firstLine="640" w:firstLineChars="200"/>
        <w:textAlignment w:val="baseline"/>
        <w:rPr>
          <w:rFonts w:ascii="Times New Roman" w:hAnsi="Times New Roman" w:cs="方正仿宋_GBK"/>
          <w:color w:val="000000"/>
          <w:lang w:bidi="ar"/>
        </w:rPr>
      </w:pPr>
      <w:r>
        <w:rPr>
          <w:rFonts w:hint="eastAsia" w:ascii="Times New Roman" w:hAnsi="Times New Roman" w:cs="方正仿宋_GBK"/>
          <w:color w:val="000000"/>
        </w:rPr>
        <w:t>6.加大行政执法力度。</w:t>
      </w:r>
      <w:r>
        <w:rPr>
          <w:rFonts w:hint="eastAsia" w:ascii="Times New Roman" w:hAnsi="Times New Roman" w:cs="方正仿宋_GBK"/>
          <w:color w:val="000000"/>
          <w:lang w:bidi="ar"/>
        </w:rPr>
        <w:t>严厉查处餐饮环节加工销售野生动物、长江流域渔获物，销售来源不明的散装白酒、自酿酒和自泡酒，使用“地沟油”等有毒有害物质加工菜品、添加剂“两超一非”问题、餐饮食品及餐饮用具监督抽检不合格、油炸面制品铝超标、包子馒头加工制作中使用含铝添加剂等违法行为。畅通投诉举报渠道，加强行刑衔接，定期开展食品安全风险分析，案件研判会商，行政区域内食品安全涉刑案件及时依法移送公安部门。严格落实“处罚到人”，保持严惩重处的高压态势。</w:t>
      </w:r>
    </w:p>
    <w:p>
      <w:pPr>
        <w:spacing w:line="560" w:lineRule="exact"/>
        <w:ind w:firstLine="640" w:firstLineChars="200"/>
        <w:textAlignment w:val="baseline"/>
        <w:rPr>
          <w:rFonts w:hint="eastAsia" w:ascii="Times New Roman" w:hAnsi="Times New Roman" w:cs="方正仿宋_GBK"/>
          <w:color w:val="000000"/>
          <w:lang w:bidi="ar"/>
        </w:rPr>
      </w:pPr>
      <w:r>
        <w:rPr>
          <w:rFonts w:hint="eastAsia" w:ascii="Times New Roman" w:hAnsi="Times New Roman" w:cs="方正仿宋_GBK"/>
          <w:color w:val="000000"/>
        </w:rPr>
        <w:t>7.推进实施智慧监管。</w:t>
      </w:r>
      <w:r>
        <w:rPr>
          <w:rFonts w:hint="eastAsia" w:ascii="Times New Roman" w:hAnsi="Times New Roman" w:cs="方正仿宋_GBK"/>
          <w:color w:val="000000"/>
          <w:lang w:bidi="ar"/>
        </w:rPr>
        <w:t>深化应用“餐饮安心码”云平台的“码上评”“码上管”“码上改”“码上帮”功能，督促餐饮服务提供者100%亮码，自觉接受消费者评价监督和监管部门扫码监管，推动餐饮服务食品安全监管由“人工监管”向“智慧监管”转变，由“单一监管”向“社会共治”转变。</w:t>
      </w:r>
    </w:p>
    <w:p>
      <w:pPr>
        <w:spacing w:line="560" w:lineRule="exact"/>
        <w:ind w:firstLine="640" w:firstLineChars="200"/>
        <w:textAlignment w:val="baseline"/>
        <w:rPr>
          <w:rFonts w:ascii="Times New Roman" w:hAnsi="Times New Roman" w:cs="方正仿宋_GBK"/>
          <w:color w:val="000000"/>
        </w:rPr>
      </w:pPr>
      <w:r>
        <w:rPr>
          <w:rFonts w:hint="eastAsia" w:ascii="Times New Roman" w:hAnsi="Times New Roman" w:eastAsia="方正楷体_GBK" w:cs="方正楷体_GBK"/>
          <w:color w:val="000000"/>
        </w:rPr>
        <w:t>（以上7项任务由州市场监管局牵头；州</w:t>
      </w:r>
      <w:r>
        <w:rPr>
          <w:rFonts w:hint="eastAsia" w:ascii="Times New Roman" w:hAnsi="Times New Roman" w:eastAsia="方正楷体_GBK"/>
          <w:color w:val="000000"/>
        </w:rPr>
        <w:t>教育体育局、</w:t>
      </w:r>
      <w:r>
        <w:rPr>
          <w:rFonts w:hint="eastAsia" w:ascii="Times New Roman" w:hAnsi="Times New Roman" w:eastAsia="方正楷体_GBK" w:cs="方正楷体_GBK"/>
          <w:color w:val="000000"/>
        </w:rPr>
        <w:t>州</w:t>
      </w:r>
      <w:r>
        <w:rPr>
          <w:rFonts w:hint="eastAsia" w:ascii="Times New Roman" w:hAnsi="Times New Roman" w:eastAsia="方正楷体_GBK"/>
          <w:color w:val="000000"/>
        </w:rPr>
        <w:t>人力资源社会保障局、</w:t>
      </w:r>
      <w:r>
        <w:rPr>
          <w:rFonts w:hint="eastAsia" w:ascii="Times New Roman" w:hAnsi="Times New Roman" w:eastAsia="方正楷体_GBK" w:cs="方正楷体_GBK"/>
          <w:color w:val="000000"/>
        </w:rPr>
        <w:t>州</w:t>
      </w:r>
      <w:r>
        <w:rPr>
          <w:rFonts w:ascii="Times New Roman" w:hAnsi="Times New Roman" w:eastAsia="方正楷体_GBK"/>
          <w:color w:val="000000"/>
        </w:rPr>
        <w:t>住房城乡建设</w:t>
      </w:r>
      <w:r>
        <w:rPr>
          <w:rFonts w:hint="eastAsia" w:ascii="Times New Roman" w:hAnsi="Times New Roman" w:eastAsia="方正楷体_GBK"/>
          <w:color w:val="000000"/>
        </w:rPr>
        <w:t>局、</w:t>
      </w:r>
      <w:r>
        <w:rPr>
          <w:rFonts w:hint="eastAsia" w:ascii="Times New Roman" w:hAnsi="Times New Roman" w:eastAsia="方正楷体_GBK" w:cs="方正楷体_GBK"/>
          <w:color w:val="000000"/>
        </w:rPr>
        <w:t>州商务局、州卫生健康委配合，各</w:t>
      </w:r>
      <w:r>
        <w:rPr>
          <w:rFonts w:hint="eastAsia" w:ascii="Times New Roman" w:hAnsi="Times New Roman" w:eastAsia="方正楷体_GBK" w:cs="方正楷体_GBK"/>
          <w:color w:val="000000"/>
          <w:lang w:val="en"/>
        </w:rPr>
        <w:t>县</w:t>
      </w:r>
      <w:r>
        <w:rPr>
          <w:rFonts w:ascii="Times New Roman" w:hAnsi="Times New Roman" w:eastAsia="方正楷体_GBK" w:cs="方正楷体_GBK"/>
          <w:color w:val="000000"/>
          <w:lang w:val="en"/>
        </w:rPr>
        <w:t>市</w:t>
      </w:r>
      <w:r>
        <w:rPr>
          <w:rFonts w:hint="eastAsia" w:ascii="Times New Roman" w:hAnsi="Times New Roman" w:eastAsia="方正楷体_GBK" w:cs="方正楷体_GBK"/>
          <w:color w:val="000000"/>
        </w:rPr>
        <w:t>党委和政府负责）</w:t>
      </w:r>
    </w:p>
    <w:p>
      <w:pPr>
        <w:spacing w:line="560" w:lineRule="exact"/>
        <w:ind w:firstLine="562"/>
        <w:textAlignment w:val="baseline"/>
        <w:rPr>
          <w:rFonts w:ascii="Times New Roman" w:hAnsi="Times New Roman" w:cs="方正仿宋_GBK"/>
          <w:color w:val="000000"/>
          <w:lang w:bidi="ar"/>
        </w:rPr>
      </w:pPr>
      <w:r>
        <w:rPr>
          <w:rFonts w:hint="eastAsia" w:ascii="Times New Roman" w:hAnsi="Times New Roman" w:eastAsia="方正楷体_GBK" w:cs="方正楷体_GBK"/>
          <w:color w:val="000000"/>
        </w:rPr>
        <w:t>（三）全力推进餐饮服务营养健康管理</w:t>
      </w:r>
    </w:p>
    <w:p>
      <w:pPr>
        <w:spacing w:line="560" w:lineRule="exact"/>
        <w:ind w:firstLine="640"/>
        <w:jc w:val="left"/>
        <w:rPr>
          <w:rFonts w:ascii="Times New Roman" w:hAnsi="Times New Roman" w:eastAsia="方正楷体_GBK" w:cs="方正楷体_GBK"/>
          <w:color w:val="000000"/>
        </w:rPr>
      </w:pPr>
      <w:r>
        <w:rPr>
          <w:rFonts w:hint="eastAsia" w:ascii="Times New Roman" w:hAnsi="Times New Roman" w:cs="方正仿宋_GBK"/>
          <w:color w:val="000000"/>
        </w:rPr>
        <w:t>1.加强学校食堂营养健康管理。严格按照《学校食品安全与营养健康管理规定》和《营养与健康学校建设指南》要求，从规范学校食堂建设、加强学校食堂食品安全和校外供餐管理、保障食材安全、确保营养健康、制止餐饮浪费、强化健康教育等方面着力，保障各级各类学校（含托幼机构）食品安全和营养健康。</w:t>
      </w:r>
      <w:r>
        <w:rPr>
          <w:rFonts w:ascii="Times New Roman" w:hAnsi="Times New Roman" w:eastAsia="方正楷体_GBK" w:cs="方正楷体_GBK"/>
          <w:color w:val="000000"/>
          <w:lang w:val="en"/>
        </w:rPr>
        <w:t>（</w:t>
      </w:r>
      <w:r>
        <w:rPr>
          <w:rFonts w:hint="eastAsia" w:ascii="Times New Roman" w:hAnsi="Times New Roman" w:eastAsia="方正楷体_GBK" w:cs="方正楷体_GBK"/>
          <w:color w:val="000000"/>
        </w:rPr>
        <w:t>州教育体育局牵头；州商务局、州市场监管局配合，各</w:t>
      </w:r>
      <w:r>
        <w:rPr>
          <w:rFonts w:hint="eastAsia" w:ascii="Times New Roman" w:hAnsi="Times New Roman" w:eastAsia="方正楷体_GBK" w:cs="方正楷体_GBK"/>
          <w:color w:val="000000"/>
          <w:lang w:val="en"/>
        </w:rPr>
        <w:t>县</w:t>
      </w:r>
      <w:r>
        <w:rPr>
          <w:rFonts w:ascii="Times New Roman" w:hAnsi="Times New Roman" w:eastAsia="方正楷体_GBK" w:cs="方正楷体_GBK"/>
          <w:color w:val="000000"/>
          <w:lang w:val="en"/>
        </w:rPr>
        <w:t>市</w:t>
      </w:r>
      <w:r>
        <w:rPr>
          <w:rFonts w:hint="eastAsia" w:ascii="Times New Roman" w:hAnsi="Times New Roman" w:eastAsia="方正楷体_GBK" w:cs="方正楷体_GBK"/>
          <w:color w:val="000000"/>
        </w:rPr>
        <w:t>党委和政府负责</w:t>
      </w:r>
      <w:r>
        <w:rPr>
          <w:rFonts w:ascii="Times New Roman" w:hAnsi="Times New Roman" w:eastAsia="方正楷体_GBK" w:cs="方正楷体_GBK"/>
          <w:color w:val="000000"/>
          <w:lang w:val="en"/>
        </w:rPr>
        <w:t>）</w:t>
      </w:r>
    </w:p>
    <w:p>
      <w:pPr>
        <w:spacing w:line="560" w:lineRule="exact"/>
        <w:ind w:firstLine="640" w:firstLineChars="200"/>
        <w:rPr>
          <w:rFonts w:ascii="Times New Roman" w:hAnsi="Times New Roman" w:eastAsia="方正楷体_GBK" w:cs="方正楷体_GBK"/>
          <w:color w:val="000000"/>
        </w:rPr>
      </w:pPr>
      <w:r>
        <w:rPr>
          <w:rFonts w:hint="eastAsia" w:ascii="Times New Roman" w:hAnsi="Times New Roman" w:cs="方正仿宋_GBK"/>
          <w:color w:val="000000"/>
        </w:rPr>
        <w:t>2.积极开展营养健康餐厅（食堂）建设。严格按照《“健康德宏2030”规划纲要》《健康德宏行动（2020</w:t>
      </w:r>
      <w:r>
        <w:rPr>
          <w:rFonts w:hint="eastAsia" w:ascii="Times New Roman" w:hAnsi="Times New Roman" w:eastAsia="方正楷体_GBK"/>
          <w:color w:val="000000"/>
        </w:rPr>
        <w:t>—</w:t>
      </w:r>
      <w:r>
        <w:rPr>
          <w:rFonts w:hint="eastAsia" w:ascii="Times New Roman" w:hAnsi="Times New Roman" w:cs="方正仿宋_GBK"/>
          <w:color w:val="000000"/>
        </w:rPr>
        <w:t>2030年）—德宏州合理膳食行动方案》《德宏州国民营养计划（2018</w:t>
      </w:r>
      <w:r>
        <w:rPr>
          <w:rFonts w:hint="eastAsia" w:ascii="Times New Roman" w:hAnsi="Times New Roman" w:eastAsia="方正楷体_GBK"/>
          <w:color w:val="000000"/>
        </w:rPr>
        <w:t>—</w:t>
      </w:r>
      <w:r>
        <w:rPr>
          <w:rFonts w:hint="eastAsia" w:ascii="Times New Roman" w:hAnsi="Times New Roman" w:cs="方正仿宋_GBK"/>
          <w:color w:val="000000"/>
        </w:rPr>
        <w:t>2030年）》要求，引导餐饮业、食堂不断增强营养健康意识，积极开展营养健康餐厅、营养健康食堂建设，提升营养健康服务水平，提高全民营养健康素养，不断满足人民日益增长的营养健康服务需求。到2024</w:t>
      </w:r>
      <w:r>
        <w:rPr>
          <w:rFonts w:ascii="Times New Roman" w:hAnsi="Times New Roman" w:cs="方正仿宋_GBK"/>
          <w:color w:val="000000"/>
          <w:lang w:val="en"/>
        </w:rPr>
        <w:t>年底</w:t>
      </w:r>
      <w:r>
        <w:rPr>
          <w:rFonts w:hint="eastAsia" w:ascii="Times New Roman" w:hAnsi="Times New Roman" w:cs="方正仿宋_GBK"/>
          <w:color w:val="000000"/>
        </w:rPr>
        <w:t>，建设不少于16个营养健康餐厅（食堂）。</w:t>
      </w:r>
      <w:r>
        <w:rPr>
          <w:rFonts w:ascii="Times New Roman" w:hAnsi="Times New Roman" w:eastAsia="方正楷体_GBK" w:cs="方正楷体_GBK"/>
          <w:color w:val="000000"/>
          <w:lang w:val="en"/>
        </w:rPr>
        <w:t>（</w:t>
      </w:r>
      <w:r>
        <w:rPr>
          <w:rFonts w:hint="eastAsia" w:ascii="Times New Roman" w:hAnsi="Times New Roman" w:eastAsia="方正楷体_GBK" w:cs="方正楷体_GBK"/>
          <w:color w:val="000000"/>
        </w:rPr>
        <w:t>州卫生健康委牵头；州教育体育局、州民政局、州商务局、州市场监管局配合，各</w:t>
      </w:r>
      <w:r>
        <w:rPr>
          <w:rFonts w:hint="eastAsia" w:ascii="Times New Roman" w:hAnsi="Times New Roman" w:eastAsia="方正楷体_GBK" w:cs="方正楷体_GBK"/>
          <w:color w:val="000000"/>
          <w:lang w:val="en"/>
        </w:rPr>
        <w:t>县</w:t>
      </w:r>
      <w:r>
        <w:rPr>
          <w:rFonts w:ascii="Times New Roman" w:hAnsi="Times New Roman" w:eastAsia="方正楷体_GBK" w:cs="方正楷体_GBK"/>
          <w:color w:val="000000"/>
          <w:lang w:val="en"/>
        </w:rPr>
        <w:t>市</w:t>
      </w:r>
      <w:r>
        <w:rPr>
          <w:rFonts w:hint="eastAsia" w:ascii="Times New Roman" w:hAnsi="Times New Roman" w:eastAsia="方正楷体_GBK" w:cs="方正楷体_GBK"/>
          <w:color w:val="000000"/>
        </w:rPr>
        <w:t>党委和政府负责</w:t>
      </w:r>
      <w:r>
        <w:rPr>
          <w:rFonts w:ascii="Times New Roman" w:hAnsi="Times New Roman" w:eastAsia="方正楷体_GBK" w:cs="方正楷体_GBK"/>
          <w:color w:val="000000"/>
          <w:lang w:val="en"/>
        </w:rPr>
        <w:t>）</w:t>
      </w:r>
    </w:p>
    <w:p>
      <w:pPr>
        <w:spacing w:line="560" w:lineRule="exact"/>
        <w:ind w:firstLine="562"/>
        <w:textAlignment w:val="baseline"/>
        <w:rPr>
          <w:rFonts w:ascii="Times New Roman" w:hAnsi="Times New Roman" w:eastAsia="方正楷体_GBK" w:cs="方正楷体_GBK"/>
          <w:color w:val="000000"/>
          <w:lang w:val="en"/>
        </w:rPr>
      </w:pPr>
      <w:r>
        <w:rPr>
          <w:rFonts w:hint="eastAsia" w:ascii="Times New Roman" w:hAnsi="Times New Roman" w:cs="方正仿宋_GBK"/>
          <w:color w:val="000000"/>
        </w:rPr>
        <w:t>3.持续推进“老年幸福食堂”建设。加强“老年幸福食堂”的规范化建设与管理，引导各县（市）利用社区居家养老服务中心食堂、养老机构食堂、社区食堂、社会餐饮企业等助餐机构开设“老年幸福食堂”，逐步扩大“老年幸福食堂”覆盖面。</w:t>
      </w:r>
      <w:r>
        <w:rPr>
          <w:rFonts w:ascii="Times New Roman" w:hAnsi="Times New Roman" w:eastAsia="方正楷体_GBK" w:cs="方正楷体_GBK"/>
          <w:color w:val="000000"/>
          <w:lang w:val="en"/>
        </w:rPr>
        <w:t>（</w:t>
      </w:r>
      <w:r>
        <w:rPr>
          <w:rFonts w:hint="eastAsia" w:ascii="Times New Roman" w:hAnsi="Times New Roman" w:eastAsia="方正楷体_GBK" w:cs="方正楷体_GBK"/>
          <w:color w:val="000000"/>
        </w:rPr>
        <w:t>州民政局牵头；州商务局、州市场监管局配合，各</w:t>
      </w:r>
      <w:r>
        <w:rPr>
          <w:rFonts w:hint="eastAsia" w:ascii="Times New Roman" w:hAnsi="Times New Roman" w:eastAsia="方正楷体_GBK" w:cs="方正楷体_GBK"/>
          <w:color w:val="000000"/>
          <w:lang w:val="en"/>
        </w:rPr>
        <w:t>县</w:t>
      </w:r>
      <w:r>
        <w:rPr>
          <w:rFonts w:ascii="Times New Roman" w:hAnsi="Times New Roman" w:eastAsia="方正楷体_GBK" w:cs="方正楷体_GBK"/>
          <w:color w:val="000000"/>
          <w:lang w:val="en"/>
        </w:rPr>
        <w:t>市</w:t>
      </w:r>
      <w:r>
        <w:rPr>
          <w:rFonts w:hint="eastAsia" w:ascii="Times New Roman" w:hAnsi="Times New Roman" w:eastAsia="方正楷体_GBK" w:cs="方正楷体_GBK"/>
          <w:color w:val="000000"/>
        </w:rPr>
        <w:t>党委和政府负责</w:t>
      </w:r>
      <w:r>
        <w:rPr>
          <w:rFonts w:ascii="Times New Roman" w:hAnsi="Times New Roman" w:eastAsia="方正楷体_GBK" w:cs="方正楷体_GBK"/>
          <w:color w:val="000000"/>
          <w:lang w:val="en"/>
        </w:rPr>
        <w:t>）</w:t>
      </w:r>
    </w:p>
    <w:p>
      <w:pPr>
        <w:spacing w:line="560" w:lineRule="exact"/>
        <w:ind w:firstLine="640" w:firstLineChars="200"/>
        <w:textAlignment w:val="baseline"/>
        <w:rPr>
          <w:rFonts w:ascii="Times New Roman" w:hAnsi="Times New Roman" w:eastAsia="方正黑体_GBK"/>
          <w:color w:val="000000"/>
        </w:rPr>
      </w:pPr>
      <w:r>
        <w:rPr>
          <w:rFonts w:hint="eastAsia" w:ascii="Times New Roman" w:hAnsi="Times New Roman" w:eastAsia="方正黑体_GBK"/>
          <w:color w:val="000000"/>
        </w:rPr>
        <w:t>三、方法步骤</w:t>
      </w:r>
    </w:p>
    <w:p>
      <w:pPr>
        <w:spacing w:line="560" w:lineRule="exact"/>
        <w:ind w:firstLine="640" w:firstLineChars="200"/>
        <w:rPr>
          <w:rFonts w:ascii="Times New Roman" w:hAnsi="Times New Roman" w:cs="方正仿宋_GBK"/>
          <w:color w:val="000000"/>
        </w:rPr>
      </w:pPr>
      <w:r>
        <w:rPr>
          <w:rFonts w:ascii="Times New Roman" w:hAnsi="Times New Roman" w:eastAsia="方正楷体_GBK"/>
          <w:color w:val="000000"/>
        </w:rPr>
        <w:t>（一）动员部署阶段（202</w:t>
      </w:r>
      <w:r>
        <w:rPr>
          <w:rFonts w:hint="eastAsia" w:ascii="Times New Roman" w:hAnsi="Times New Roman" w:eastAsia="方正楷体_GBK"/>
          <w:color w:val="000000"/>
        </w:rPr>
        <w:t>2</w:t>
      </w:r>
      <w:r>
        <w:rPr>
          <w:rFonts w:ascii="Times New Roman" w:hAnsi="Times New Roman" w:eastAsia="方正楷体_GBK"/>
          <w:color w:val="000000"/>
        </w:rPr>
        <w:t>年</w:t>
      </w:r>
      <w:r>
        <w:rPr>
          <w:rFonts w:hint="eastAsia" w:ascii="Times New Roman" w:hAnsi="Times New Roman" w:eastAsia="方正楷体_GBK"/>
          <w:color w:val="000000"/>
        </w:rPr>
        <w:t>11—12</w:t>
      </w:r>
      <w:r>
        <w:rPr>
          <w:rFonts w:ascii="Times New Roman" w:hAnsi="Times New Roman" w:eastAsia="方正楷体_GBK"/>
          <w:color w:val="000000"/>
        </w:rPr>
        <w:t>月）</w:t>
      </w:r>
      <w:r>
        <w:rPr>
          <w:rFonts w:hint="eastAsia" w:ascii="Times New Roman" w:hAnsi="Times New Roman" w:eastAsia="方正楷体_GBK"/>
          <w:color w:val="000000"/>
        </w:rPr>
        <w:t>。</w:t>
      </w:r>
      <w:r>
        <w:rPr>
          <w:rFonts w:hint="eastAsia" w:ascii="Times New Roman" w:hAnsi="Times New Roman" w:eastAsia="方正楷体_GBK" w:cs="方正楷体_GBK"/>
          <w:color w:val="000000"/>
        </w:rPr>
        <w:t>州</w:t>
      </w:r>
      <w:r>
        <w:rPr>
          <w:rFonts w:hint="eastAsia" w:ascii="Times New Roman" w:hAnsi="Times New Roman" w:cs="方正仿宋_GBK"/>
          <w:color w:val="000000"/>
        </w:rPr>
        <w:t>市场监管局会同有关部门，根据专项行动方案开展动员部署。各县市各部门根据行动方案要求制定具体行动计划，明确工作目标、重点任务、责任部门、保障措施等，按照工作部署全面启动。</w:t>
      </w:r>
    </w:p>
    <w:p>
      <w:pPr>
        <w:spacing w:line="560" w:lineRule="exact"/>
        <w:ind w:firstLine="640" w:firstLineChars="200"/>
        <w:textAlignment w:val="baseline"/>
        <w:rPr>
          <w:rFonts w:ascii="Times New Roman" w:hAnsi="Times New Roman"/>
          <w:color w:val="000000"/>
        </w:rPr>
      </w:pPr>
      <w:r>
        <w:rPr>
          <w:rFonts w:ascii="Times New Roman" w:hAnsi="Times New Roman" w:eastAsia="方正楷体_GBK"/>
          <w:color w:val="000000"/>
        </w:rPr>
        <w:t>（二）集中整治阶段（202</w:t>
      </w:r>
      <w:r>
        <w:rPr>
          <w:rFonts w:hint="eastAsia" w:ascii="Times New Roman" w:hAnsi="Times New Roman" w:eastAsia="方正楷体_GBK"/>
          <w:color w:val="000000"/>
        </w:rPr>
        <w:t>3</w:t>
      </w:r>
      <w:r>
        <w:rPr>
          <w:rFonts w:ascii="Times New Roman" w:hAnsi="Times New Roman" w:eastAsia="方正楷体_GBK"/>
          <w:color w:val="000000"/>
        </w:rPr>
        <w:t>年</w:t>
      </w:r>
      <w:r>
        <w:rPr>
          <w:rFonts w:hint="eastAsia" w:ascii="Times New Roman" w:hAnsi="Times New Roman" w:eastAsia="方正楷体_GBK"/>
          <w:color w:val="000000"/>
        </w:rPr>
        <w:t>1—</w:t>
      </w:r>
      <w:r>
        <w:rPr>
          <w:rFonts w:ascii="Times New Roman" w:hAnsi="Times New Roman" w:eastAsia="方正楷体_GBK"/>
          <w:color w:val="000000"/>
        </w:rPr>
        <w:t>12月）</w:t>
      </w:r>
      <w:r>
        <w:rPr>
          <w:rFonts w:hint="eastAsia" w:ascii="Times New Roman" w:hAnsi="Times New Roman" w:eastAsia="方正楷体_GBK"/>
          <w:color w:val="000000"/>
        </w:rPr>
        <w:t>。</w:t>
      </w:r>
      <w:r>
        <w:rPr>
          <w:rFonts w:ascii="Times New Roman" w:hAnsi="Times New Roman"/>
          <w:color w:val="000000"/>
        </w:rPr>
        <w:t>各</w:t>
      </w:r>
      <w:r>
        <w:rPr>
          <w:rFonts w:hint="eastAsia" w:ascii="Times New Roman" w:hAnsi="Times New Roman"/>
          <w:color w:val="000000"/>
        </w:rPr>
        <w:t>县市</w:t>
      </w:r>
      <w:r>
        <w:rPr>
          <w:rFonts w:ascii="Times New Roman" w:hAnsi="Times New Roman"/>
          <w:color w:val="000000"/>
        </w:rPr>
        <w:t>各有关部门按照统一目标要求，突出重点，分工负责，协同开展专项行动，集中开展执法检查、清理整顿和宣传教育，确保各领域、各环节行动取得明显成效。</w:t>
      </w:r>
    </w:p>
    <w:p>
      <w:pPr>
        <w:spacing w:line="560" w:lineRule="exact"/>
        <w:ind w:firstLine="640" w:firstLineChars="200"/>
        <w:textAlignment w:val="baseline"/>
        <w:rPr>
          <w:rFonts w:ascii="Times New Roman" w:hAnsi="Times New Roman"/>
          <w:color w:val="000000"/>
        </w:rPr>
      </w:pPr>
      <w:r>
        <w:rPr>
          <w:rFonts w:ascii="Times New Roman" w:hAnsi="Times New Roman" w:eastAsia="方正楷体_GBK"/>
          <w:color w:val="000000"/>
        </w:rPr>
        <w:t>（三）巩固提升阶段（202</w:t>
      </w:r>
      <w:r>
        <w:rPr>
          <w:rFonts w:hint="eastAsia" w:ascii="Times New Roman" w:hAnsi="Times New Roman" w:eastAsia="方正楷体_GBK"/>
          <w:color w:val="000000"/>
        </w:rPr>
        <w:t>4</w:t>
      </w:r>
      <w:r>
        <w:rPr>
          <w:rFonts w:ascii="Times New Roman" w:hAnsi="Times New Roman" w:eastAsia="方正楷体_GBK"/>
          <w:color w:val="000000"/>
        </w:rPr>
        <w:t>年1</w:t>
      </w:r>
      <w:r>
        <w:rPr>
          <w:rFonts w:hint="eastAsia" w:ascii="Times New Roman" w:hAnsi="Times New Roman" w:eastAsia="方正楷体_GBK"/>
          <w:color w:val="000000"/>
        </w:rPr>
        <w:t>—</w:t>
      </w:r>
      <w:r>
        <w:rPr>
          <w:rFonts w:ascii="Times New Roman" w:hAnsi="Times New Roman" w:eastAsia="方正楷体_GBK"/>
          <w:color w:val="000000"/>
        </w:rPr>
        <w:t>12月）</w:t>
      </w:r>
      <w:r>
        <w:rPr>
          <w:rFonts w:hint="eastAsia" w:ascii="Times New Roman" w:hAnsi="Times New Roman" w:eastAsia="方正楷体_GBK"/>
          <w:color w:val="000000"/>
        </w:rPr>
        <w:t>。</w:t>
      </w:r>
      <w:r>
        <w:rPr>
          <w:rFonts w:hint="eastAsia" w:ascii="Times New Roman" w:hAnsi="Times New Roman"/>
          <w:color w:val="000000"/>
        </w:rPr>
        <w:t>各县市各有关部门</w:t>
      </w:r>
      <w:r>
        <w:rPr>
          <w:rFonts w:ascii="Times New Roman" w:hAnsi="Times New Roman"/>
          <w:color w:val="000000"/>
        </w:rPr>
        <w:t>进一步加强常态化监督管理，巩固集中整治</w:t>
      </w:r>
      <w:r>
        <w:rPr>
          <w:rFonts w:hint="eastAsia" w:ascii="Times New Roman" w:hAnsi="Times New Roman"/>
          <w:color w:val="000000"/>
        </w:rPr>
        <w:t>成</w:t>
      </w:r>
      <w:r>
        <w:rPr>
          <w:rFonts w:ascii="Times New Roman" w:hAnsi="Times New Roman"/>
          <w:color w:val="000000"/>
        </w:rPr>
        <w:t>果，形成部门协同、社会共治的长效机制。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Segoe Print"/>
    <w:panose1 w:val="02030609000101010101"/>
    <w:charset w:val="00"/>
    <w:family w:val="modern"/>
    <w:pitch w:val="default"/>
    <w:sig w:usb0="00000000" w:usb1="00000000" w:usb2="00000030" w:usb3="00000000" w:csb0="000800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3408B"/>
    <w:rsid w:val="06D3408B"/>
    <w:rsid w:val="59C52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napToGrid w:val="0"/>
      <w:spacing w:line="580" w:lineRule="exact"/>
      <w:jc w:val="both"/>
    </w:pPr>
    <w:rPr>
      <w:rFonts w:ascii="BatangChe" w:hAnsi="BatangChe" w:eastAsia="方正仿宋_GBK" w:cs="Times New Roman"/>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2022-12-30T03:08:00Z</dcterms:created>
  <dc:creator>gkb</dc:creator>
  <cp:lastModifiedBy>gkb</cp:lastModifiedBy>
  <dcterms:modified xsi:type="dcterms:W3CDTF">2022-12-30T03:10:57Z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