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附件3</w:t>
      </w:r>
    </w:p>
    <w:p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“绿城市”行动方案</w:t>
      </w:r>
    </w:p>
    <w:p>
      <w:pPr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sz w:val="36"/>
          <w:szCs w:val="36"/>
        </w:rPr>
        <w:t>——德宏州推进健康县城建设专项行动之一</w:t>
      </w:r>
    </w:p>
    <w:p>
      <w:pPr>
        <w:spacing w:line="560" w:lineRule="exact"/>
        <w:ind w:firstLine="600" w:firstLineChars="200"/>
        <w:rPr>
          <w:rFonts w:ascii="Times New Roman" w:hAnsi="Times New Roman" w:cs="方正仿宋_GBK"/>
          <w:color w:val="000000"/>
          <w:sz w:val="30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cs="方正仿宋_GBK"/>
          <w:color w:val="000000"/>
          <w:sz w:val="30"/>
        </w:rPr>
        <w:t>　　</w:t>
      </w:r>
      <w:r>
        <w:rPr>
          <w:rFonts w:hint="eastAsia" w:ascii="Times New Roman" w:hAnsi="Times New Roman" w:eastAsia="方正黑体_GBK" w:cs="方正黑体_GBK"/>
          <w:color w:val="000000"/>
        </w:rPr>
        <w:t>一、行动目标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扎实推进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绿城市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建设，</w:t>
      </w:r>
      <w:r>
        <w:rPr>
          <w:rFonts w:hint="eastAsia" w:ascii="Times New Roman" w:hAnsi="Times New Roman"/>
          <w:color w:val="000000"/>
        </w:rPr>
        <w:t>以“增加绿量、提升品质”为主线</w:t>
      </w:r>
      <w:r>
        <w:rPr>
          <w:rFonts w:ascii="Times New Roman" w:hAnsi="Times New Roman"/>
          <w:color w:val="000000"/>
        </w:rPr>
        <w:t>，</w:t>
      </w:r>
      <w:r>
        <w:rPr>
          <w:color w:val="000000"/>
        </w:rPr>
        <w:t>着力构建和</w:t>
      </w:r>
      <w:r>
        <w:rPr>
          <w:color w:val="000000"/>
          <w:spacing w:val="2"/>
        </w:rPr>
        <w:t>不断优化城市绿地系统和山水空间格局。</w:t>
      </w:r>
      <w:r>
        <w:rPr>
          <w:rFonts w:ascii="Times New Roman" w:hAnsi="Times New Roman"/>
          <w:color w:val="000000"/>
        </w:rPr>
        <w:t>节俭务实、循序渐进增加城市绿量，科学布局、因地制宜提升城市绿化品质，分级分类健全城市公园体系，进一步加强公园绿地布局均衡和公平性，提高公园绿地服务半径覆盖率，</w:t>
      </w:r>
      <w:r>
        <w:rPr>
          <w:color w:val="000000"/>
          <w:spacing w:val="-10"/>
        </w:rPr>
        <w:t>提供更便捷更优质的公园绿地服务场所，</w:t>
      </w:r>
      <w:r>
        <w:rPr>
          <w:rFonts w:ascii="Times New Roman" w:hAnsi="Times New Roman"/>
          <w:color w:val="000000"/>
        </w:rPr>
        <w:t>进一步提高城市绿地的普惠性和均好性，提升居民幸福生活指数。</w:t>
      </w:r>
      <w:r>
        <w:rPr>
          <w:rFonts w:hint="eastAsia" w:ascii="Times New Roman" w:hAnsi="Times New Roman"/>
          <w:color w:val="000000"/>
        </w:rPr>
        <w:t>全州</w:t>
      </w:r>
      <w:r>
        <w:rPr>
          <w:rFonts w:ascii="Times New Roman" w:hAnsi="Times New Roman"/>
          <w:color w:val="000000"/>
        </w:rPr>
        <w:t>城市人均公园绿地面积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</w:rPr>
        <w:t>平方米，公园绿地服务半径覆盖率</w:t>
      </w:r>
      <w:r>
        <w:rPr>
          <w:rFonts w:hint="eastAsia" w:ascii="Times New Roman" w:hAnsi="Times New Roman"/>
          <w:color w:val="000000"/>
        </w:rPr>
        <w:t>芒市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95</w:t>
      </w:r>
      <w:r>
        <w:rPr>
          <w:rFonts w:ascii="Times New Roman" w:hAnsi="Times New Roman"/>
          <w:color w:val="000000"/>
        </w:rPr>
        <w:t>%</w:t>
      </w:r>
      <w:r>
        <w:rPr>
          <w:rFonts w:hint="eastAsia" w:ascii="Times New Roman" w:hAnsi="Times New Roman"/>
          <w:color w:val="000000"/>
        </w:rPr>
        <w:t>，其余各县市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90</w:t>
      </w:r>
      <w:r>
        <w:rPr>
          <w:rFonts w:ascii="Times New Roman" w:hAnsi="Times New Roman"/>
          <w:color w:val="000000"/>
        </w:rPr>
        <w:t>%。科学适度延长路面保洁时间，净化街道；规范污水垃圾处置，转化资源优势，提升城市内涵品质和区域影响力。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二、重点任务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（一）高标准实施城市公园建设。</w:t>
      </w:r>
      <w:r>
        <w:rPr>
          <w:rFonts w:ascii="Times New Roman" w:hAnsi="Times New Roman"/>
          <w:color w:val="000000"/>
        </w:rPr>
        <w:t>各县市按照《公园设计规范》要求，因地制宜推进公园、</w:t>
      </w:r>
      <w:r>
        <w:rPr>
          <w:rFonts w:hint="eastAsia" w:ascii="Times New Roman" w:hAnsi="Times New Roman"/>
          <w:color w:val="000000"/>
        </w:rPr>
        <w:t>广场、游园、</w:t>
      </w:r>
      <w:r>
        <w:rPr>
          <w:rFonts w:ascii="Times New Roman" w:hAnsi="Times New Roman"/>
          <w:color w:val="000000"/>
        </w:rPr>
        <w:t>绿地等各类型城市</w:t>
      </w:r>
      <w:r>
        <w:rPr>
          <w:rFonts w:hint="eastAsia" w:ascii="Times New Roman" w:hAnsi="Times New Roman"/>
          <w:color w:val="000000"/>
        </w:rPr>
        <w:t>绿地</w:t>
      </w:r>
      <w:r>
        <w:rPr>
          <w:rFonts w:ascii="Times New Roman" w:hAnsi="Times New Roman"/>
          <w:color w:val="000000"/>
        </w:rPr>
        <w:t>建设，完善各类城市绿地设施和服务功能，构建规模适宜、均衡分布的多层级城市公园体系，提升公园品质，健全公园绿地服务施，强化公园绿地服务居民休闲游憩、体育健身、科普教育、防灾避险等综合功能，每个城市至少拥有1个综合公园。结合城市更新、老旧小区改造等工作，增加社区公园、街头游园等贴近居民的绿地</w:t>
      </w:r>
      <w:r>
        <w:rPr>
          <w:rFonts w:hint="eastAsia" w:ascii="Times New Roman" w:hAnsi="Times New Roman"/>
          <w:color w:val="000000"/>
        </w:rPr>
        <w:t>。</w:t>
      </w:r>
      <w:r>
        <w:rPr>
          <w:rFonts w:ascii="Times New Roman" w:hAnsi="Times New Roman"/>
          <w:color w:val="000000"/>
        </w:rPr>
        <w:t>到2024年年底，</w:t>
      </w:r>
      <w:r>
        <w:rPr>
          <w:rFonts w:hint="eastAsia" w:ascii="Times New Roman" w:hAnsi="Times New Roman"/>
          <w:color w:val="000000"/>
        </w:rPr>
        <w:t>全州</w:t>
      </w:r>
      <w:r>
        <w:rPr>
          <w:rFonts w:ascii="Times New Roman" w:hAnsi="Times New Roman"/>
          <w:color w:val="000000"/>
        </w:rPr>
        <w:t>城市人均公园绿地面积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13</w:t>
      </w:r>
      <w:r>
        <w:rPr>
          <w:rFonts w:ascii="Times New Roman" w:hAnsi="Times New Roman"/>
          <w:color w:val="000000"/>
        </w:rPr>
        <w:t>平方米，公园绿地服务半径覆盖率</w:t>
      </w:r>
      <w:r>
        <w:rPr>
          <w:rFonts w:hint="eastAsia" w:ascii="Times New Roman" w:hAnsi="Times New Roman"/>
          <w:color w:val="000000"/>
        </w:rPr>
        <w:t>芒市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95</w:t>
      </w:r>
      <w:r>
        <w:rPr>
          <w:rFonts w:ascii="Times New Roman" w:hAnsi="Times New Roman"/>
          <w:color w:val="000000"/>
        </w:rPr>
        <w:t>%</w:t>
      </w:r>
      <w:r>
        <w:rPr>
          <w:rFonts w:hint="eastAsia" w:ascii="Times New Roman" w:hAnsi="Times New Roman"/>
          <w:color w:val="000000"/>
        </w:rPr>
        <w:t>，其余各县市</w:t>
      </w:r>
      <w:r>
        <w:rPr>
          <w:rFonts w:hint="eastAsia" w:ascii="Times New Roman" w:hAnsi="Times New Roman" w:cs="方正仿宋_GBK"/>
          <w:color w:val="000000"/>
        </w:rPr>
        <w:t>≥</w:t>
      </w:r>
      <w:r>
        <w:rPr>
          <w:rFonts w:hint="eastAsia" w:ascii="Times New Roman" w:hAnsi="Times New Roman"/>
          <w:color w:val="000000"/>
        </w:rPr>
        <w:t>90</w:t>
      </w:r>
      <w:r>
        <w:rPr>
          <w:rFonts w:ascii="Times New Roman" w:hAnsi="Times New Roman"/>
          <w:color w:val="000000"/>
        </w:rPr>
        <w:t>%</w:t>
      </w:r>
      <w:r>
        <w:rPr>
          <w:rFonts w:hint="eastAsia" w:ascii="Times New Roman" w:hAnsi="Times New Roman"/>
          <w:color w:val="000000"/>
        </w:rPr>
        <w:t>，基本实现“300米见绿，500 米见园”</w:t>
      </w:r>
      <w:r>
        <w:rPr>
          <w:rFonts w:ascii="Times New Roman" w:hAnsi="Times New Roman"/>
          <w:color w:val="000000"/>
        </w:rPr>
        <w:t>。</w:t>
      </w:r>
      <w:r>
        <w:rPr>
          <w:rFonts w:hint="eastAsia" w:ascii="Times New Roman" w:hAnsi="Times New Roman" w:eastAsia="方正楷体_GBK" w:cs="方正楷体_GBK"/>
          <w:color w:val="000000"/>
        </w:rPr>
        <w:t>（州住房城乡建设局牵头；州发展改革委、州自然资源和规划局、州文化和旅游局、州林草局配合，各县市党委和政府负责）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（二）</w:t>
      </w:r>
      <w:r>
        <w:rPr>
          <w:rFonts w:ascii="Times New Roman" w:hAnsi="Times New Roman" w:eastAsia="方正楷体_GBK" w:cs="方正楷体_GBK"/>
          <w:color w:val="000000"/>
        </w:rPr>
        <w:t>高品质增加城市</w:t>
      </w:r>
      <w:r>
        <w:rPr>
          <w:rFonts w:hint="eastAsia" w:ascii="Times New Roman" w:hAnsi="Times New Roman" w:eastAsia="方正楷体_GBK" w:cs="方正楷体_GBK"/>
          <w:color w:val="000000"/>
        </w:rPr>
        <w:t>绿地</w:t>
      </w:r>
      <w:r>
        <w:rPr>
          <w:rFonts w:ascii="Times New Roman" w:hAnsi="Times New Roman" w:eastAsia="方正楷体_GBK" w:cs="方正楷体_GBK"/>
          <w:color w:val="000000"/>
        </w:rPr>
        <w:t>绿量。</w:t>
      </w:r>
      <w:r>
        <w:rPr>
          <w:rFonts w:hint="eastAsia" w:ascii="方正仿宋_GBK" w:hAnsi="方正仿宋_GBK" w:cs="方正仿宋_GBK"/>
          <w:color w:val="000000"/>
        </w:rPr>
        <w:t>各地要逐步增加城市绿地绿量建设，</w:t>
      </w:r>
      <w:r>
        <w:rPr>
          <w:rFonts w:ascii="Times New Roman" w:hAnsi="Times New Roman"/>
          <w:color w:val="000000"/>
        </w:rPr>
        <w:t>结合地域特色，倡导智慧型绿地、节约型绿地、健康型绿地和数字绿地建设。</w:t>
      </w:r>
      <w:r>
        <w:rPr>
          <w:rFonts w:hint="eastAsia" w:ascii="Times New Roman" w:hAnsi="Times New Roman"/>
          <w:color w:val="000000"/>
        </w:rPr>
        <w:t>各县市要科学</w:t>
      </w:r>
      <w:r>
        <w:rPr>
          <w:rFonts w:ascii="Times New Roman" w:hAnsi="Times New Roman"/>
          <w:color w:val="000000"/>
        </w:rPr>
        <w:t>制定适宜城市园林绿化树种推荐名录，</w:t>
      </w:r>
      <w:r>
        <w:rPr>
          <w:rFonts w:hint="eastAsia" w:ascii="Times New Roman" w:hAnsi="Times New Roman"/>
          <w:color w:val="000000"/>
        </w:rPr>
        <w:t>鼓励</w:t>
      </w:r>
      <w:r>
        <w:rPr>
          <w:rFonts w:ascii="Times New Roman" w:hAnsi="Times New Roman"/>
          <w:color w:val="000000"/>
        </w:rPr>
        <w:t>使用</w:t>
      </w:r>
      <w:r>
        <w:rPr>
          <w:rFonts w:hint="eastAsia" w:ascii="Times New Roman" w:hAnsi="Times New Roman"/>
          <w:color w:val="000000"/>
        </w:rPr>
        <w:t>特色</w:t>
      </w:r>
      <w:r>
        <w:rPr>
          <w:rFonts w:ascii="Times New Roman" w:hAnsi="Times New Roman"/>
          <w:color w:val="000000"/>
        </w:rPr>
        <w:t>乡土适生树种</w:t>
      </w:r>
      <w:r>
        <w:rPr>
          <w:rFonts w:hint="eastAsia" w:ascii="Times New Roman" w:hAnsi="Times New Roman"/>
          <w:color w:val="000000"/>
        </w:rPr>
        <w:t>、观赏树种，达到</w:t>
      </w:r>
      <w:r>
        <w:rPr>
          <w:rFonts w:ascii="Times New Roman" w:hAnsi="Times New Roman"/>
          <w:color w:val="000000"/>
        </w:rPr>
        <w:t>增加城市绿量，提升城市品质，凸显城市亮点特色</w:t>
      </w:r>
      <w:r>
        <w:rPr>
          <w:rFonts w:hint="eastAsia" w:ascii="Times New Roman" w:hAnsi="Times New Roman"/>
          <w:color w:val="000000"/>
        </w:rPr>
        <w:t>的作用</w:t>
      </w:r>
      <w:r>
        <w:rPr>
          <w:rFonts w:ascii="Times New Roman" w:hAnsi="Times New Roman"/>
          <w:color w:val="000000"/>
        </w:rPr>
        <w:t>。加强既有公园改造，突出公园绿地特色，提高绿地综合品质与服务效能。结合城市新区开发建设和城市更新，开展城市增绿提质行动。积极开展国家园林城市创建。</w:t>
      </w:r>
      <w:r>
        <w:rPr>
          <w:rFonts w:hint="eastAsia" w:ascii="Times New Roman" w:hAnsi="Times New Roman"/>
          <w:color w:val="000000"/>
        </w:rPr>
        <w:t>积极</w:t>
      </w:r>
      <w:r>
        <w:rPr>
          <w:rFonts w:ascii="Times New Roman" w:hAnsi="Times New Roman"/>
          <w:color w:val="000000"/>
        </w:rPr>
        <w:t>拓展绿化空间，开展立体空间</w:t>
      </w:r>
      <w:r>
        <w:rPr>
          <w:rFonts w:hint="eastAsia" w:ascii="Times New Roman" w:hAnsi="Times New Roman"/>
          <w:color w:val="000000"/>
        </w:rPr>
        <w:t>、城市面山、</w:t>
      </w:r>
      <w:r>
        <w:rPr>
          <w:color w:val="000000"/>
          <w:spacing w:val="1"/>
        </w:rPr>
        <w:t>城郊结合部</w:t>
      </w:r>
      <w:r>
        <w:rPr>
          <w:rFonts w:ascii="Times New Roman" w:hAnsi="Times New Roman"/>
          <w:color w:val="000000"/>
        </w:rPr>
        <w:t>绿化美化建设工作。</w:t>
      </w:r>
      <w:r>
        <w:rPr>
          <w:rFonts w:hint="eastAsia" w:ascii="Times New Roman" w:hAnsi="Times New Roman"/>
          <w:color w:val="000000"/>
        </w:rPr>
        <w:t>杜绝</w:t>
      </w:r>
      <w:r>
        <w:rPr>
          <w:rFonts w:ascii="Times New Roman" w:hAnsi="Times New Roman"/>
          <w:color w:val="000000"/>
        </w:rPr>
        <w:t>过分改变自然山水形态，</w:t>
      </w:r>
      <w:r>
        <w:rPr>
          <w:rFonts w:hint="eastAsia" w:ascii="Times New Roman" w:hAnsi="Times New Roman"/>
          <w:color w:val="000000"/>
        </w:rPr>
        <w:t>不片面追求“</w:t>
      </w:r>
      <w:r>
        <w:rPr>
          <w:rFonts w:ascii="Times New Roman" w:hAnsi="Times New Roman"/>
          <w:color w:val="000000"/>
        </w:rPr>
        <w:t>大广场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大水面</w:t>
      </w:r>
      <w:r>
        <w:rPr>
          <w:rFonts w:hint="eastAsia" w:ascii="Times New Roman" w:hAnsi="Times New Roman"/>
          <w:color w:val="000000"/>
        </w:rPr>
        <w:t>”“</w:t>
      </w:r>
      <w:r>
        <w:rPr>
          <w:rFonts w:ascii="Times New Roman" w:hAnsi="Times New Roman"/>
          <w:color w:val="000000"/>
        </w:rPr>
        <w:t>大雕塑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等景观</w:t>
      </w:r>
      <w:r>
        <w:rPr>
          <w:rFonts w:hint="eastAsia" w:ascii="Times New Roman" w:hAnsi="Times New Roman"/>
          <w:color w:val="000000"/>
        </w:rPr>
        <w:t>建设</w:t>
      </w:r>
      <w:r>
        <w:rPr>
          <w:rFonts w:ascii="Times New Roman" w:hAnsi="Times New Roman"/>
          <w:color w:val="000000"/>
        </w:rPr>
        <w:t>。坚决禁止大规模迁移砍伐城市树木和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大树进城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等急功近利、贪大求洋、搞形象工程等建设行为。严禁</w:t>
      </w:r>
      <w:r>
        <w:rPr>
          <w:rFonts w:hint="eastAsia" w:ascii="Times New Roman" w:hAnsi="Times New Roman"/>
          <w:color w:val="000000"/>
        </w:rPr>
        <w:t>大</w:t>
      </w:r>
      <w:r>
        <w:rPr>
          <w:rFonts w:ascii="Times New Roman" w:hAnsi="Times New Roman"/>
          <w:color w:val="000000"/>
        </w:rPr>
        <w:t>搞脱离实际、铺张浪费、劳民伤财的形象工程、面子工程。</w:t>
      </w:r>
      <w:r>
        <w:rPr>
          <w:rFonts w:hint="eastAsia" w:ascii="Times New Roman" w:hAnsi="Times New Roman" w:eastAsia="方正楷体_GBK" w:cs="方正楷体_GBK"/>
          <w:color w:val="000000"/>
        </w:rPr>
        <w:t>（州住房城乡建设局牵头；州发展改革委、州自然资源和规划局、州文化和旅游局、州林草局配合，各县市党委和政府负责）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（三）规范城市生活污水垃圾处置，提升城市环境品质。</w:t>
      </w:r>
      <w:r>
        <w:rPr>
          <w:rFonts w:ascii="Times New Roman" w:hAnsi="Times New Roman"/>
          <w:color w:val="000000"/>
        </w:rPr>
        <w:t>逐步完善城市污水管网，提升污水集中收集率，城市生活污水集中收集率达75%或逐年持续提高，按照</w:t>
      </w:r>
      <w:r>
        <w:rPr>
          <w:rFonts w:hint="eastAsia"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控源截污、垃圾清理、清淤疏浚、生态修复</w:t>
      </w:r>
      <w:r>
        <w:rPr>
          <w:rFonts w:hint="eastAsia"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的原则，针对各县（市）江、河水体劣类水质等突出问题，结合生态补水所需，科学稳步适度提标，实现经处理后的尾水通过生态净化进入湖泊、河流等水系作为生态补水或者达到相关标准进行资源化综合利用。坚持城乡统筹、因地制宜，推动实施生活垃圾分类制度，完善分类投放、回收、运输、处理相衔接的全过程管理体系，实现垃圾减量化、资源化、无害化处理。城市生活垃圾无害化处理率达100%，积极推进城市生活垃圾分类。加强环卫清扫保洁，大力推行道路保洁机械化作业，提高道路机械化清扫率。</w:t>
      </w:r>
      <w:r>
        <w:rPr>
          <w:rFonts w:hint="eastAsia" w:ascii="Times New Roman" w:hAnsi="Times New Roman" w:eastAsia="方正楷体_GBK" w:cs="方正楷体_GBK"/>
          <w:color w:val="000000"/>
        </w:rPr>
        <w:t>（州住房城乡建设局牵头；州文明办、州发展改革委、州生态环境局、州农业农村局、州水利局、州商务局、州机关事务管理局配合，各县市党委和政府负责）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三、方法步骤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（一）动员部署阶段（2022年</w:t>
      </w:r>
      <w:r>
        <w:rPr>
          <w:rFonts w:hint="eastAsia" w:ascii="Times New Roman" w:hAnsi="Times New Roman" w:eastAsia="方正楷体_GBK"/>
          <w:color w:val="000000"/>
        </w:rPr>
        <w:t>11—12</w:t>
      </w:r>
      <w:r>
        <w:rPr>
          <w:rFonts w:ascii="Times New Roman" w:hAnsi="Times New Roman" w:eastAsia="方正楷体_GBK"/>
          <w:color w:val="000000"/>
        </w:rPr>
        <w:t>月</w:t>
      </w:r>
      <w:r>
        <w:rPr>
          <w:rFonts w:hint="eastAsia" w:ascii="Times New Roman" w:hAnsi="Times New Roman" w:eastAsia="方正楷体_GBK" w:cs="方正楷体_GBK"/>
          <w:color w:val="000000"/>
        </w:rPr>
        <w:t>）。</w:t>
      </w:r>
      <w:r>
        <w:rPr>
          <w:rFonts w:ascii="Times New Roman" w:hAnsi="Times New Roman"/>
          <w:color w:val="000000"/>
        </w:rPr>
        <w:t>州住房城乡建设局会同有关部门，根据专项行动方案开展动员部署。各县市各部门根据行动方案要求制定具体行动计划，明确工作目标、重点任务、责任部门、保障措施等，按照工作部署全面启动。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</w:t>
      </w:r>
      <w:r>
        <w:rPr>
          <w:rFonts w:ascii="Times New Roman" w:hAnsi="Times New Roman" w:eastAsia="方正楷体_GBK" w:cs="方正楷体_GBK"/>
          <w:color w:val="000000"/>
        </w:rPr>
        <w:t>二</w:t>
      </w:r>
      <w:r>
        <w:rPr>
          <w:rFonts w:hint="eastAsia" w:ascii="Times New Roman" w:hAnsi="Times New Roman" w:eastAsia="方正楷体_GBK" w:cs="方正楷体_GBK"/>
          <w:color w:val="000000"/>
        </w:rPr>
        <w:t>）</w:t>
      </w:r>
      <w:r>
        <w:rPr>
          <w:rFonts w:ascii="Times New Roman" w:hAnsi="Times New Roman" w:eastAsia="方正楷体_GBK" w:cs="方正楷体_GBK"/>
          <w:color w:val="000000"/>
        </w:rPr>
        <w:t>集中整治阶段</w:t>
      </w:r>
      <w:r>
        <w:rPr>
          <w:rFonts w:hint="eastAsia" w:ascii="Times New Roman" w:hAnsi="Times New Roman" w:eastAsia="方正楷体_GBK" w:cs="方正楷体_GBK"/>
          <w:color w:val="000000"/>
        </w:rPr>
        <w:t>（</w:t>
      </w:r>
      <w:r>
        <w:rPr>
          <w:rFonts w:ascii="Times New Roman" w:hAnsi="Times New Roman" w:eastAsia="方正楷体_GBK" w:cs="方正楷体_GBK"/>
          <w:color w:val="000000"/>
        </w:rPr>
        <w:t>2023 年 1</w:t>
      </w:r>
      <w:r>
        <w:rPr>
          <w:rFonts w:hint="eastAsia" w:ascii="Times New Roman" w:hAnsi="Times New Roman" w:eastAsia="方正楷体_GBK"/>
          <w:color w:val="000000"/>
        </w:rPr>
        <w:t>—</w:t>
      </w:r>
      <w:r>
        <w:rPr>
          <w:rFonts w:ascii="Times New Roman" w:hAnsi="Times New Roman" w:eastAsia="方正楷体_GBK" w:cs="方正楷体_GBK"/>
          <w:color w:val="000000"/>
        </w:rPr>
        <w:t>12 月</w:t>
      </w:r>
      <w:r>
        <w:rPr>
          <w:rFonts w:hint="eastAsia" w:ascii="Times New Roman" w:hAnsi="Times New Roman" w:eastAsia="方正楷体_GBK" w:cs="方正楷体_GBK"/>
          <w:color w:val="000000"/>
        </w:rPr>
        <w:t>）</w:t>
      </w:r>
      <w:r>
        <w:rPr>
          <w:rFonts w:ascii="Times New Roman" w:hAnsi="Times New Roman" w:eastAsia="方正楷体_GBK" w:cs="方正楷体_GBK"/>
          <w:color w:val="000000"/>
        </w:rPr>
        <w:t>。</w:t>
      </w:r>
      <w:r>
        <w:rPr>
          <w:rFonts w:ascii="Times New Roman" w:hAnsi="Times New Roman"/>
          <w:color w:val="000000"/>
        </w:rPr>
        <w:t>各县市按照工作部署，突出重点，全面组织开展专项行动，州级各牵头部门建立完善工作制度，加大督促检查指导力度，总结能复制、易推广的好经验好做法，督促工作滞后</w:t>
      </w:r>
      <w:r>
        <w:rPr>
          <w:rFonts w:hint="eastAsia" w:ascii="Times New Roman" w:hAnsi="Times New Roman"/>
          <w:color w:val="000000"/>
        </w:rPr>
        <w:t>县市</w:t>
      </w:r>
      <w:r>
        <w:rPr>
          <w:rFonts w:ascii="Times New Roman" w:hAnsi="Times New Roman"/>
          <w:color w:val="000000"/>
        </w:rPr>
        <w:t>加大工作力度。</w:t>
      </w:r>
    </w:p>
    <w:p>
      <w:pPr>
        <w:spacing w:line="560" w:lineRule="exact"/>
        <w:ind w:firstLine="640" w:firstLineChars="200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</w:t>
      </w:r>
      <w:r>
        <w:rPr>
          <w:rFonts w:ascii="Times New Roman" w:hAnsi="Times New Roman" w:eastAsia="方正楷体_GBK" w:cs="方正楷体_GBK"/>
          <w:color w:val="000000"/>
        </w:rPr>
        <w:t>三</w:t>
      </w:r>
      <w:r>
        <w:rPr>
          <w:rFonts w:hint="eastAsia" w:ascii="Times New Roman" w:hAnsi="Times New Roman" w:eastAsia="方正楷体_GBK" w:cs="方正楷体_GBK"/>
          <w:color w:val="000000"/>
        </w:rPr>
        <w:t>）</w:t>
      </w:r>
      <w:r>
        <w:rPr>
          <w:rFonts w:ascii="Times New Roman" w:hAnsi="Times New Roman" w:eastAsia="方正楷体_GBK" w:cs="方正楷体_GBK"/>
          <w:color w:val="000000"/>
        </w:rPr>
        <w:t>巩固提升阶段</w:t>
      </w:r>
      <w:r>
        <w:rPr>
          <w:rFonts w:hint="eastAsia" w:ascii="Times New Roman" w:hAnsi="Times New Roman" w:eastAsia="方正楷体_GBK" w:cs="方正楷体_GBK"/>
          <w:color w:val="000000"/>
        </w:rPr>
        <w:t>（</w:t>
      </w:r>
      <w:r>
        <w:rPr>
          <w:rFonts w:ascii="Times New Roman" w:hAnsi="Times New Roman" w:eastAsia="方正楷体_GBK" w:cs="方正楷体_GBK"/>
          <w:color w:val="000000"/>
        </w:rPr>
        <w:t>2024 年 1</w:t>
      </w:r>
      <w:r>
        <w:rPr>
          <w:rFonts w:hint="eastAsia" w:ascii="Times New Roman" w:hAnsi="Times New Roman" w:eastAsia="方正楷体_GBK"/>
          <w:color w:val="000000"/>
        </w:rPr>
        <w:t>—</w:t>
      </w:r>
      <w:r>
        <w:rPr>
          <w:rFonts w:ascii="Times New Roman" w:hAnsi="Times New Roman" w:eastAsia="方正楷体_GBK" w:cs="方正楷体_GBK"/>
          <w:color w:val="000000"/>
        </w:rPr>
        <w:t>12 月</w:t>
      </w:r>
      <w:r>
        <w:rPr>
          <w:rFonts w:hint="eastAsia" w:ascii="Times New Roman" w:hAnsi="Times New Roman" w:eastAsia="方正楷体_GBK" w:cs="方正楷体_GBK"/>
          <w:color w:val="000000"/>
        </w:rPr>
        <w:t>）</w:t>
      </w:r>
      <w:r>
        <w:rPr>
          <w:rFonts w:ascii="Times New Roman" w:hAnsi="Times New Roman" w:eastAsia="方正楷体_GBK" w:cs="方正楷体_GBK"/>
          <w:color w:val="000000"/>
        </w:rPr>
        <w:t>。</w:t>
      </w:r>
      <w:r>
        <w:rPr>
          <w:rFonts w:ascii="Times New Roman" w:hAnsi="Times New Roman"/>
          <w:color w:val="000000"/>
        </w:rPr>
        <w:t>各县市全面总结经验和不足，认真查找存在问题，查缺补漏，转化建设成果，持续推进，巩固专项行动治理成果。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91411"/>
    <w:rsid w:val="4C6025CF"/>
    <w:rsid w:val="549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2022-12-30T03:07:00Z</dcterms:created>
  <dc:creator>gkb</dc:creator>
  <cp:lastModifiedBy>gkb</cp:lastModifiedBy>
  <dcterms:modified xsi:type="dcterms:W3CDTF">2022-12-30T03:10:03Z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