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0" w:lineRule="exact"/>
        <w:rPr>
          <w:rFonts w:ascii="Times New Roman" w:hAnsi="Times New Roman" w:eastAsia="宋体"/>
          <w:color w:val="000000"/>
        </w:rPr>
      </w:pPr>
      <w:r>
        <w:rPr>
          <w:rFonts w:hint="eastAsia" w:ascii="Times New Roman" w:hAnsi="Times New Roman" w:eastAsia="方正黑体_GBK" w:cs="方正黑体_GBK"/>
          <w:color w:val="000000"/>
        </w:rPr>
        <w:t>附件1</w:t>
      </w:r>
    </w:p>
    <w:p>
      <w:pPr>
        <w:spacing w:before="312" w:beforeLines="100" w:after="312" w:afterLines="100" w:line="570" w:lineRule="exact"/>
        <w:jc w:val="center"/>
        <w:rPr>
          <w:rFonts w:ascii="Times New Roman" w:hAnsi="Times New Roman" w:eastAsia="宋体"/>
          <w:b/>
          <w:bCs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</w:rPr>
        <w:t>国家卫生城市和国家卫生县数据评价指标</w:t>
      </w:r>
    </w:p>
    <w:tbl>
      <w:tblPr>
        <w:tblStyle w:val="2"/>
        <w:tblW w:w="940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4255"/>
        <w:gridCol w:w="2416"/>
        <w:gridCol w:w="18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评价指标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目标值</w:t>
            </w:r>
          </w:p>
        </w:tc>
        <w:tc>
          <w:tcPr>
            <w:tcW w:w="18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黑体_GBK" w:cs="方正黑体_GBK"/>
                <w:color w:val="000000"/>
                <w:sz w:val="28"/>
                <w:szCs w:val="28"/>
              </w:rPr>
              <w:t>牵头单位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国家卫生县或国家卫生乡镇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≥1个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群众对卫生状况满意率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居民健康素养水平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≥23%或持续提升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建有全民健身场地设施的社区比例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经常参加体育锻炼人数的比例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＞38.5%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人均体育场地面积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＞2.2平方米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每千人口社会体育指导员数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≥2.16名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15岁以上人群吸烟率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＜20%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  <w:t>无烟党政机关、无烟医疗卫生机构、无烟学校建成比例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全面控烟地方性法规规定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（国家卫生县出台规范性文件或被市级全面控烟地方性法规规定覆盖）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有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道路装灯率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州住房城乡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建设局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主次干道每日保洁时间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≥16小时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街巷路面每日保洁时间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≥12小时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道路机械化清扫率（适用于城市）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城市管理信息化覆盖率（适用于城市）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建成区绿化覆盖率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≥38%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17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人均公园绿地面积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≥9平方米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18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城市生活垃圾回收利用率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＞35%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19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城市生活垃圾无害化处理率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20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窨井盖完好率（适用于城市）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≥98%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主城区回收网点覆盖率（适用于城市）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城市生活污水集中收集率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（县采用城市生活污水处理率，目标值为95%）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≥75%或持续提高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环境空气质量指数（AQI）不超过100的天数</w:t>
            </w:r>
          </w:p>
          <w:p>
            <w:pPr>
              <w:widowControl/>
              <w:spacing w:line="280" w:lineRule="exact"/>
              <w:jc w:val="left"/>
              <w:rPr>
                <w:rFonts w:ascii="Times New Roman" w:hAnsi="Times New Roman" w:eastAsia="宋体"/>
                <w:color w:val="000000"/>
                <w:sz w:val="28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（县目标值为≥300天或持续改善）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≥320天或持续改善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州生态环境局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环境空气主要污染物年均值</w:t>
            </w:r>
          </w:p>
        </w:tc>
        <w:tc>
          <w:tcPr>
            <w:tcW w:w="2416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达到国家《环境空气质量标准》二级标准</w:t>
            </w:r>
          </w:p>
        </w:tc>
        <w:tc>
          <w:tcPr>
            <w:tcW w:w="1893" w:type="dxa"/>
            <w:vMerge w:val="continue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区域环境噪声控制平均值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≤55分贝</w:t>
            </w:r>
          </w:p>
        </w:tc>
        <w:tc>
          <w:tcPr>
            <w:tcW w:w="1893" w:type="dxa"/>
            <w:vMerge w:val="restart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州生态环境局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功能区声环境质量夜间达标率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27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集中式饮用水水源地水质达标率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28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医疗废物无害化处置率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29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学校校医或专（兼）职保健教师配备比率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＞70%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州教育体育局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30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中小学体育与健康课程开课率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中小学生每天校内体育活动时间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≥1小时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学校眼保健操普及率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中小学生近视率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逐年下降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中小学生肥胖率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逐年下降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纳入职业病危害专项治理企业的职业病危害项目申报率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＞90%</w:t>
            </w:r>
          </w:p>
        </w:tc>
        <w:tc>
          <w:tcPr>
            <w:tcW w:w="18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食品生产经营风险分级管理率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州市场监管局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37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个人卫生支出占卫生总费用的比重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≤25%或持续降低</w:t>
            </w:r>
          </w:p>
        </w:tc>
        <w:tc>
          <w:tcPr>
            <w:tcW w:w="1893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州卫生健康委</w:t>
            </w:r>
          </w:p>
          <w:p>
            <w:pPr>
              <w:widowControl/>
              <w:spacing w:line="400" w:lineRule="exac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38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甲、乙类法定传染病报告发病率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不高于近5年平均水平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39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婴儿死亡率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≤5.6‰或持续降低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40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5岁以下儿童死亡率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≤7.8‰或持续降低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孕产妇死亡率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≤18/10万或持续降低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人均预期寿命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≥78.3岁或逐年提高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以街道（乡、镇）为单位适龄儿童免疫规划疫苗接种率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居住满3个月以上的适龄儿童建卡、建证率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辖区内3岁以下儿童系统管理率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0</w:t>
            </w:r>
            <w:r>
              <w:rPr>
                <w:rFonts w:ascii="Times New Roman" w:hAnsi="Times New Roman" w:cs="方正仿宋_GBK"/>
                <w:color w:val="000000"/>
                <w:sz w:val="21"/>
                <w:szCs w:val="21"/>
                <w:lang w:val="en"/>
              </w:rPr>
              <w:t>—</w:t>
            </w: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6岁儿童眼保健和视力检查率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≥90%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47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重大慢性病过早死亡率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呈下降趋势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48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严重精神障碍患者规范管理率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≥85%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49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每千常住人口医疗卫生机构床位数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≥7.8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50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每千常住人口执业（助理）医师数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≥3.1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51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每千常住人口注册护士数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≥3.7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52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每千常住人口公共卫生人员数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≥1.3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53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每千常住人口药师（药士）数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≥0.23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54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每万常住人口全科医生数</w:t>
            </w:r>
          </w:p>
        </w:tc>
        <w:tc>
          <w:tcPr>
            <w:tcW w:w="2416" w:type="dxa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≥2.9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55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建成区鼠、蚊、蝇、蟑螂的密度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达到国家病媒生物密度控制水平标准C级要求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0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56</w:t>
            </w:r>
          </w:p>
        </w:tc>
        <w:tc>
          <w:tcPr>
            <w:tcW w:w="425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重点行业和单位防蝇和防鼠设施合格率</w:t>
            </w:r>
          </w:p>
        </w:tc>
        <w:tc>
          <w:tcPr>
            <w:tcW w:w="2416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方正仿宋_GBK"/>
                <w:color w:val="000000"/>
                <w:sz w:val="21"/>
                <w:szCs w:val="21"/>
              </w:rPr>
              <w:t>≥95%</w:t>
            </w:r>
          </w:p>
        </w:tc>
        <w:tc>
          <w:tcPr>
            <w:tcW w:w="1893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cs="方正仿宋_GBK"/>
                <w:color w:val="000000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Che">
    <w:altName w:val="Segoe Print"/>
    <w:panose1 w:val="02030609000101010101"/>
    <w:charset w:val="00"/>
    <w:family w:val="modern"/>
    <w:pitch w:val="default"/>
    <w:sig w:usb0="00000000" w:usb1="00000000" w:usb2="00000030" w:usb3="00000000" w:csb0="0008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74164"/>
    <w:rsid w:val="05D74164"/>
    <w:rsid w:val="71C9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80" w:lineRule="exact"/>
      <w:jc w:val="both"/>
    </w:pPr>
    <w:rPr>
      <w:rFonts w:ascii="BatangChe" w:hAnsi="BatangChe" w:eastAsia="方正仿宋_GBK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2022-12-30T03:03:00Z</dcterms:created>
  <dc:creator>gkb</dc:creator>
  <cp:lastModifiedBy>gkb</cp:lastModifiedBy>
  <dcterms:modified xsi:type="dcterms:W3CDTF">2022-12-30T03:06:31Z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