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</w:rPr>
        <w:t>附件1</w:t>
      </w:r>
    </w:p>
    <w:p>
      <w:pPr>
        <w:jc w:val="center"/>
        <w:rPr>
          <w:rFonts w:hint="eastAsia" w:ascii="Calibri" w:eastAsia="宋体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德宏州城乡绿化美化三年行动目标表</w:t>
      </w:r>
    </w:p>
    <w:tbl>
      <w:tblPr>
        <w:tblStyle w:val="3"/>
        <w:tblW w:w="1462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06"/>
        <w:gridCol w:w="1055"/>
        <w:gridCol w:w="2109"/>
        <w:gridCol w:w="1224"/>
        <w:gridCol w:w="1512"/>
        <w:gridCol w:w="1506"/>
        <w:gridCol w:w="7"/>
        <w:gridCol w:w="1120"/>
        <w:gridCol w:w="1488"/>
        <w:gridCol w:w="1217"/>
        <w:gridCol w:w="1442"/>
        <w:gridCol w:w="1343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5" w:hRule="atLeast"/>
          <w:jc w:val="center"/>
        </w:trPr>
        <w:tc>
          <w:tcPr>
            <w:tcW w:w="6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textAlignment w:val="center"/>
              <w:rPr>
                <w:rFonts w:hint="eastAsia" w:ascii="黑体" w:hAnsi="黑体"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textAlignment w:val="center"/>
              <w:rPr>
                <w:rFonts w:hint="eastAsia" w:ascii="黑体" w:hAnsi="黑体"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24"/>
                <w:szCs w:val="24"/>
              </w:rPr>
              <w:t>建设领域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hint="eastAsia" w:ascii="黑体" w:hAnsi="黑体"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24"/>
                <w:szCs w:val="24"/>
              </w:rPr>
              <w:t>区域</w:t>
            </w:r>
          </w:p>
        </w:tc>
        <w:tc>
          <w:tcPr>
            <w:tcW w:w="15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三年总目标</w:t>
            </w:r>
          </w:p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2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2022年目标</w:t>
            </w:r>
          </w:p>
        </w:tc>
        <w:tc>
          <w:tcPr>
            <w:tcW w:w="2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2023年目标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2024年目标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5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textAlignment w:val="center"/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24"/>
                <w:szCs w:val="24"/>
              </w:rPr>
              <w:t>大类</w:t>
            </w:r>
          </w:p>
        </w:tc>
        <w:tc>
          <w:tcPr>
            <w:tcW w:w="2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textAlignment w:val="center"/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24"/>
                <w:szCs w:val="24"/>
              </w:rPr>
              <w:t>小类</w:t>
            </w:r>
          </w:p>
        </w:tc>
        <w:tc>
          <w:tcPr>
            <w:tcW w:w="122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黑体" w:eastAsia="黑体"/>
                <w:color w:val="000000"/>
                <w:sz w:val="24"/>
                <w:szCs w:val="24"/>
              </w:rPr>
              <w:t>完成数量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黑体" w:eastAsia="黑体"/>
                <w:color w:val="000000"/>
                <w:sz w:val="24"/>
                <w:szCs w:val="24"/>
              </w:rPr>
              <w:t>完成比例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黑体" w:eastAsia="黑体"/>
                <w:color w:val="000000"/>
                <w:sz w:val="24"/>
                <w:szCs w:val="24"/>
              </w:rPr>
              <w:t>完成数量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黑体" w:eastAsia="黑体"/>
                <w:color w:val="000000"/>
                <w:sz w:val="24"/>
                <w:szCs w:val="24"/>
              </w:rPr>
              <w:t>完成比例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黑体" w:eastAsia="黑体"/>
                <w:color w:val="000000"/>
                <w:sz w:val="24"/>
                <w:szCs w:val="24"/>
              </w:rPr>
              <w:t>完成数量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黑体" w:eastAsia="黑体"/>
                <w:color w:val="000000"/>
                <w:sz w:val="24"/>
                <w:szCs w:val="24"/>
              </w:rPr>
              <w:t>完成比例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1" w:hRule="atLeast"/>
          <w:jc w:val="center"/>
        </w:trPr>
        <w:tc>
          <w:tcPr>
            <w:tcW w:w="6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绿美</w:t>
            </w:r>
          </w:p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城镇</w:t>
            </w:r>
          </w:p>
        </w:tc>
        <w:tc>
          <w:tcPr>
            <w:tcW w:w="210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建成区绿地率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全州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≥40%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≥35%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≥38%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≥40%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1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芒市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≥42%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38%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42%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1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瑞丽市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≥41%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33.50%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37%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41%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1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陇川县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≥40%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36%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39%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1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盈江县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≥40%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36.50%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38.50%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1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梁河县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≥40%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35%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38%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1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textAlignment w:val="center"/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建成区人均公园</w:t>
            </w:r>
          </w:p>
          <w:p>
            <w:pPr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绿地面积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全州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≥13平方米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≥10平方米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≥11平方米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≥13平方米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1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vMerge w:val="continue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芒市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≥13.5平方米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13.21平方米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13.42平方米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13.5平方米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1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vMerge w:val="continue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瑞丽市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≥13平方米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10.3平方米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11.7平方米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13.2平方米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1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vMerge w:val="continue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陇川县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≥13平方米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12.5平方米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12.8平方米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13平方米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1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vMerge w:val="continue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盈江县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≥13平方米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12.46平方米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12.75平方米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13平方米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1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梁河县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≥13平方米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10.21平方米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11.65平方米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13平方米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1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公园绿地服务半径覆盖率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全州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≥90%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1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芒市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≥95%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85.05%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90.01%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95%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1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瑞丽市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≥90%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76.74%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83.30%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91%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1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陇川县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≥90%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77.30%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84.50%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90%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1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盈江县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≥90%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76.90%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83.50%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90%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1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梁河县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≥90%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81.17%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85.67%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90%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5" w:hRule="atLeast"/>
          <w:jc w:val="center"/>
        </w:trPr>
        <w:tc>
          <w:tcPr>
            <w:tcW w:w="60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绿美乡镇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全州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15个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5个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5个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5个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33%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6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textAlignment w:val="center"/>
              <w:rPr>
                <w:rFonts w:hint="eastAsia" w:ascii="黑体" w:hAnsi="黑体"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textAlignment w:val="center"/>
              <w:rPr>
                <w:rFonts w:hint="eastAsia" w:ascii="黑体" w:hAnsi="黑体"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24"/>
                <w:szCs w:val="24"/>
              </w:rPr>
              <w:t>建设领域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hint="eastAsia" w:ascii="黑体" w:hAnsi="黑体"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24"/>
                <w:szCs w:val="24"/>
              </w:rPr>
              <w:t>区域</w:t>
            </w:r>
          </w:p>
        </w:tc>
        <w:tc>
          <w:tcPr>
            <w:tcW w:w="15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三年总目标</w:t>
            </w:r>
          </w:p>
        </w:tc>
        <w:tc>
          <w:tcPr>
            <w:tcW w:w="2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2022年目标</w:t>
            </w:r>
          </w:p>
        </w:tc>
        <w:tc>
          <w:tcPr>
            <w:tcW w:w="2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2023年目标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2024年目标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5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textAlignment w:val="center"/>
              <w:rPr>
                <w:rFonts w:hint="eastAsia" w:ascii="黑体" w:hAnsi="黑体" w:eastAsia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textAlignment w:val="center"/>
              <w:rPr>
                <w:rFonts w:hint="eastAsia" w:ascii="黑体" w:hAnsi="黑体"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24"/>
                <w:szCs w:val="24"/>
              </w:rPr>
              <w:t>大类</w:t>
            </w:r>
          </w:p>
        </w:tc>
        <w:tc>
          <w:tcPr>
            <w:tcW w:w="2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textAlignment w:val="center"/>
              <w:rPr>
                <w:rFonts w:hint="eastAsia" w:ascii="黑体" w:hAnsi="黑体"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24"/>
                <w:szCs w:val="24"/>
              </w:rPr>
              <w:t>小类</w:t>
            </w:r>
          </w:p>
        </w:tc>
        <w:tc>
          <w:tcPr>
            <w:tcW w:w="122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黑体" w:hAnsi="黑体" w:eastAsia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黑体" w:eastAsia="黑体"/>
                <w:color w:val="000000"/>
                <w:sz w:val="24"/>
                <w:szCs w:val="24"/>
              </w:rPr>
              <w:t>完成数量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黑体" w:eastAsia="黑体"/>
                <w:color w:val="000000"/>
                <w:sz w:val="24"/>
                <w:szCs w:val="24"/>
              </w:rPr>
              <w:t>完成比例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黑体" w:eastAsia="黑体"/>
                <w:color w:val="000000"/>
                <w:sz w:val="24"/>
                <w:szCs w:val="24"/>
              </w:rPr>
              <w:t>完成数量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黑体" w:eastAsia="黑体"/>
                <w:color w:val="000000"/>
                <w:sz w:val="24"/>
                <w:szCs w:val="24"/>
              </w:rPr>
              <w:t>完成比例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黑体" w:eastAsia="黑体"/>
                <w:color w:val="000000"/>
                <w:sz w:val="24"/>
                <w:szCs w:val="24"/>
              </w:rPr>
              <w:t>完成数量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黑体" w:eastAsia="黑体"/>
                <w:color w:val="000000"/>
                <w:sz w:val="24"/>
                <w:szCs w:val="24"/>
              </w:rPr>
              <w:t>完成比例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0" w:hRule="atLeast"/>
          <w:jc w:val="center"/>
        </w:trPr>
        <w:tc>
          <w:tcPr>
            <w:tcW w:w="6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5" w:type="dxa"/>
            <w:vMerge w:val="restart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绿美</w:t>
            </w:r>
          </w:p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社区</w:t>
            </w:r>
          </w:p>
        </w:tc>
        <w:tc>
          <w:tcPr>
            <w:tcW w:w="2109" w:type="dxa"/>
            <w:vMerge w:val="restart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全州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30个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10个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10个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10个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33%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芒市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Style w:val="6"/>
                <w:rFonts w:ascii="Times New Roman" w:hAnsi="Times New Roman" w:eastAsia="方正仿宋_GBK"/>
                <w:sz w:val="24"/>
                <w:szCs w:val="24"/>
              </w:rPr>
              <w:t>个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Style w:val="6"/>
                <w:rFonts w:ascii="Times New Roman" w:hAnsi="Times New Roman" w:eastAsia="方正仿宋_GBK"/>
                <w:sz w:val="24"/>
                <w:szCs w:val="24"/>
              </w:rPr>
              <w:t>个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Style w:val="6"/>
                <w:rFonts w:ascii="Times New Roman" w:hAnsi="Times New Roman" w:eastAsia="方正仿宋_GBK"/>
                <w:sz w:val="24"/>
                <w:szCs w:val="24"/>
              </w:rPr>
              <w:t>个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Style w:val="6"/>
                <w:rFonts w:ascii="Times New Roman" w:hAnsi="Times New Roman" w:eastAsia="方正仿宋_GBK"/>
                <w:sz w:val="24"/>
                <w:szCs w:val="24"/>
              </w:rPr>
              <w:t>个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33%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瑞丽市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Style w:val="6"/>
                <w:rFonts w:ascii="Times New Roman" w:hAnsi="Times New Roman" w:eastAsia="方正仿宋_GBK"/>
                <w:sz w:val="24"/>
                <w:szCs w:val="24"/>
              </w:rPr>
              <w:t>个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Style w:val="6"/>
                <w:rFonts w:ascii="Times New Roman" w:hAnsi="Times New Roman" w:eastAsia="方正仿宋_GBK"/>
                <w:sz w:val="24"/>
                <w:szCs w:val="24"/>
              </w:rPr>
              <w:t>个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Style w:val="6"/>
                <w:rFonts w:ascii="Times New Roman" w:hAnsi="Times New Roman" w:eastAsia="方正仿宋_GBK"/>
                <w:sz w:val="24"/>
                <w:szCs w:val="24"/>
              </w:rPr>
              <w:t>个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Style w:val="6"/>
                <w:rFonts w:ascii="Times New Roman" w:hAnsi="Times New Roman" w:eastAsia="方正仿宋_GBK"/>
                <w:sz w:val="24"/>
                <w:szCs w:val="24"/>
              </w:rPr>
              <w:t>个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33%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陇川县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Style w:val="6"/>
                <w:rFonts w:ascii="Times New Roman" w:hAnsi="Times New Roman" w:eastAsia="方正仿宋_GBK"/>
                <w:sz w:val="24"/>
                <w:szCs w:val="24"/>
              </w:rPr>
              <w:t>个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Style w:val="6"/>
                <w:rFonts w:ascii="Times New Roman" w:hAnsi="Times New Roman" w:eastAsia="方正仿宋_GBK"/>
                <w:sz w:val="24"/>
                <w:szCs w:val="24"/>
              </w:rPr>
              <w:t>个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Style w:val="6"/>
                <w:rFonts w:ascii="Times New Roman" w:hAnsi="Times New Roman" w:eastAsia="方正仿宋_GBK"/>
                <w:sz w:val="24"/>
                <w:szCs w:val="24"/>
              </w:rPr>
              <w:t>个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Style w:val="6"/>
                <w:rFonts w:ascii="Times New Roman" w:hAnsi="Times New Roman" w:eastAsia="方正仿宋_GBK"/>
                <w:sz w:val="24"/>
                <w:szCs w:val="24"/>
              </w:rPr>
              <w:t>个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33%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盈江县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Style w:val="6"/>
                <w:rFonts w:ascii="Times New Roman" w:hAnsi="Times New Roman" w:eastAsia="方正仿宋_GBK"/>
                <w:sz w:val="24"/>
                <w:szCs w:val="24"/>
              </w:rPr>
              <w:t>个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Style w:val="6"/>
                <w:rFonts w:ascii="Times New Roman" w:hAnsi="Times New Roman" w:eastAsia="方正仿宋_GBK"/>
                <w:sz w:val="24"/>
                <w:szCs w:val="24"/>
              </w:rPr>
              <w:t>个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Style w:val="6"/>
                <w:rFonts w:ascii="Times New Roman" w:hAnsi="Times New Roman" w:eastAsia="方正仿宋_GBK"/>
                <w:sz w:val="24"/>
                <w:szCs w:val="24"/>
              </w:rPr>
              <w:t>个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Style w:val="6"/>
                <w:rFonts w:ascii="Times New Roman" w:hAnsi="Times New Roman" w:eastAsia="方正仿宋_GBK"/>
                <w:sz w:val="24"/>
                <w:szCs w:val="24"/>
              </w:rPr>
              <w:t>个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33%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梁河县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Style w:val="6"/>
                <w:rFonts w:ascii="Times New Roman" w:hAnsi="Times New Roman" w:eastAsia="方正仿宋_GBK"/>
                <w:sz w:val="24"/>
                <w:szCs w:val="24"/>
              </w:rPr>
              <w:t>个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Style w:val="6"/>
                <w:rFonts w:ascii="Times New Roman" w:hAnsi="Times New Roman" w:eastAsia="方正仿宋_GBK"/>
                <w:sz w:val="24"/>
                <w:szCs w:val="24"/>
              </w:rPr>
              <w:t>个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Style w:val="6"/>
                <w:rFonts w:ascii="Times New Roman" w:hAnsi="Times New Roman" w:eastAsia="方正仿宋_GBK"/>
                <w:sz w:val="24"/>
                <w:szCs w:val="24"/>
              </w:rPr>
              <w:t>个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Style w:val="6"/>
                <w:rFonts w:ascii="Times New Roman" w:hAnsi="Times New Roman" w:eastAsia="方正仿宋_GBK"/>
                <w:sz w:val="24"/>
                <w:szCs w:val="24"/>
              </w:rPr>
              <w:t>个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33%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0" w:hRule="atLeast"/>
          <w:jc w:val="center"/>
        </w:trPr>
        <w:tc>
          <w:tcPr>
            <w:tcW w:w="6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绿美</w:t>
            </w:r>
          </w:p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乡村</w:t>
            </w:r>
          </w:p>
        </w:tc>
        <w:tc>
          <w:tcPr>
            <w:tcW w:w="210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全州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864个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288个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288个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288个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33%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芒市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231</w:t>
            </w:r>
            <w:r>
              <w:rPr>
                <w:rStyle w:val="6"/>
                <w:rFonts w:ascii="Times New Roman" w:hAnsi="Times New Roman" w:eastAsia="方正仿宋_GBK"/>
                <w:sz w:val="24"/>
                <w:szCs w:val="24"/>
              </w:rPr>
              <w:t>个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  <w:r>
              <w:rPr>
                <w:rStyle w:val="6"/>
                <w:rFonts w:ascii="Times New Roman" w:hAnsi="Times New Roman" w:eastAsia="方正仿宋_GBK"/>
                <w:sz w:val="24"/>
                <w:szCs w:val="24"/>
              </w:rPr>
              <w:t>个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  <w:r>
              <w:rPr>
                <w:rStyle w:val="6"/>
                <w:rFonts w:ascii="Times New Roman" w:hAnsi="Times New Roman" w:eastAsia="方正仿宋_GBK"/>
                <w:sz w:val="24"/>
                <w:szCs w:val="24"/>
              </w:rPr>
              <w:t>个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  <w:r>
              <w:rPr>
                <w:rStyle w:val="6"/>
                <w:rFonts w:ascii="Times New Roman" w:hAnsi="Times New Roman" w:eastAsia="方正仿宋_GBK"/>
                <w:sz w:val="24"/>
                <w:szCs w:val="24"/>
              </w:rPr>
              <w:t>个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33%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瑞丽市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  <w:r>
              <w:rPr>
                <w:rStyle w:val="6"/>
                <w:rFonts w:ascii="Times New Roman" w:hAnsi="Times New Roman" w:eastAsia="方正仿宋_GBK"/>
                <w:sz w:val="24"/>
                <w:szCs w:val="24"/>
              </w:rPr>
              <w:t>个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>
              <w:rPr>
                <w:rStyle w:val="6"/>
                <w:rFonts w:ascii="Times New Roman" w:hAnsi="Times New Roman" w:eastAsia="方正仿宋_GBK"/>
                <w:sz w:val="24"/>
                <w:szCs w:val="24"/>
              </w:rPr>
              <w:t>个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>
              <w:rPr>
                <w:rStyle w:val="6"/>
                <w:rFonts w:ascii="Times New Roman" w:hAnsi="Times New Roman" w:eastAsia="方正仿宋_GBK"/>
                <w:sz w:val="24"/>
                <w:szCs w:val="24"/>
              </w:rPr>
              <w:t>个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>
              <w:rPr>
                <w:rStyle w:val="6"/>
                <w:rFonts w:ascii="Times New Roman" w:hAnsi="Times New Roman" w:eastAsia="方正仿宋_GBK"/>
                <w:sz w:val="24"/>
                <w:szCs w:val="24"/>
              </w:rPr>
              <w:t>个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33%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陇川县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207</w:t>
            </w:r>
            <w:r>
              <w:rPr>
                <w:rStyle w:val="6"/>
                <w:rFonts w:ascii="Times New Roman" w:hAnsi="Times New Roman" w:eastAsia="方正仿宋_GBK"/>
                <w:sz w:val="24"/>
                <w:szCs w:val="24"/>
              </w:rPr>
              <w:t>个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  <w:r>
              <w:rPr>
                <w:rStyle w:val="6"/>
                <w:rFonts w:ascii="Times New Roman" w:hAnsi="Times New Roman" w:eastAsia="方正仿宋_GBK"/>
                <w:sz w:val="24"/>
                <w:szCs w:val="24"/>
              </w:rPr>
              <w:t>个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  <w:r>
              <w:rPr>
                <w:rStyle w:val="6"/>
                <w:rFonts w:ascii="Times New Roman" w:hAnsi="Times New Roman" w:eastAsia="方正仿宋_GBK"/>
                <w:sz w:val="24"/>
                <w:szCs w:val="24"/>
              </w:rPr>
              <w:t>个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  <w:r>
              <w:rPr>
                <w:rStyle w:val="6"/>
                <w:rFonts w:ascii="Times New Roman" w:hAnsi="Times New Roman" w:eastAsia="方正仿宋_GBK"/>
                <w:sz w:val="24"/>
                <w:szCs w:val="24"/>
              </w:rPr>
              <w:t>个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33%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盈江县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249</w:t>
            </w:r>
            <w:r>
              <w:rPr>
                <w:rStyle w:val="6"/>
                <w:rFonts w:ascii="Times New Roman" w:hAnsi="Times New Roman" w:eastAsia="方正仿宋_GBK"/>
                <w:sz w:val="24"/>
                <w:szCs w:val="24"/>
              </w:rPr>
              <w:t>个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  <w:r>
              <w:rPr>
                <w:rStyle w:val="6"/>
                <w:rFonts w:ascii="Times New Roman" w:hAnsi="Times New Roman" w:eastAsia="方正仿宋_GBK"/>
                <w:sz w:val="24"/>
                <w:szCs w:val="24"/>
              </w:rPr>
              <w:t>个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  <w:r>
              <w:rPr>
                <w:rStyle w:val="6"/>
                <w:rFonts w:ascii="Times New Roman" w:hAnsi="Times New Roman" w:eastAsia="方正仿宋_GBK"/>
                <w:sz w:val="24"/>
                <w:szCs w:val="24"/>
              </w:rPr>
              <w:t>个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  <w:r>
              <w:rPr>
                <w:rStyle w:val="6"/>
                <w:rFonts w:ascii="Times New Roman" w:hAnsi="Times New Roman" w:eastAsia="方正仿宋_GBK"/>
                <w:sz w:val="24"/>
                <w:szCs w:val="24"/>
              </w:rPr>
              <w:t>个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33%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梁河县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  <w:r>
              <w:rPr>
                <w:rStyle w:val="6"/>
                <w:rFonts w:ascii="Times New Roman" w:hAnsi="Times New Roman" w:eastAsia="方正仿宋_GBK"/>
                <w:sz w:val="24"/>
                <w:szCs w:val="24"/>
              </w:rPr>
              <w:t>个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  <w:r>
              <w:rPr>
                <w:rStyle w:val="6"/>
                <w:rFonts w:ascii="Times New Roman" w:hAnsi="Times New Roman" w:eastAsia="方正仿宋_GBK"/>
                <w:sz w:val="24"/>
                <w:szCs w:val="24"/>
              </w:rPr>
              <w:t>个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  <w:r>
              <w:rPr>
                <w:rStyle w:val="6"/>
                <w:rFonts w:ascii="Times New Roman" w:hAnsi="Times New Roman" w:eastAsia="方正仿宋_GBK"/>
                <w:sz w:val="24"/>
                <w:szCs w:val="24"/>
              </w:rPr>
              <w:t>个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  <w:r>
              <w:rPr>
                <w:rStyle w:val="6"/>
                <w:rFonts w:ascii="Times New Roman" w:hAnsi="Times New Roman" w:eastAsia="方正仿宋_GBK"/>
                <w:sz w:val="24"/>
                <w:szCs w:val="24"/>
              </w:rPr>
              <w:t>个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33%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0" w:hRule="atLeast"/>
          <w:jc w:val="center"/>
        </w:trPr>
        <w:tc>
          <w:tcPr>
            <w:tcW w:w="6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绿美</w:t>
            </w:r>
          </w:p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交通</w:t>
            </w:r>
          </w:p>
        </w:tc>
        <w:tc>
          <w:tcPr>
            <w:tcW w:w="2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绿美高速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全州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263.47公里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263.47公里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0%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绿美国省道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全州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383公里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135公里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35%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130公里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34%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118公里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31%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绿美农村公路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全州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1800公里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450公里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950公里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53%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400公里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22%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绿美服务区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全州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4个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4个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绿美机场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全州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1个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1个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6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textAlignment w:val="center"/>
              <w:rPr>
                <w:rFonts w:hint="eastAsia" w:ascii="黑体" w:hAnsi="黑体"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textAlignment w:val="center"/>
              <w:rPr>
                <w:rFonts w:hint="eastAsia" w:ascii="黑体" w:hAnsi="黑体"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24"/>
                <w:szCs w:val="24"/>
              </w:rPr>
              <w:t>建设领域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hint="eastAsia" w:ascii="黑体" w:hAnsi="黑体"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24"/>
                <w:szCs w:val="24"/>
              </w:rPr>
              <w:t>区域</w:t>
            </w:r>
          </w:p>
        </w:tc>
        <w:tc>
          <w:tcPr>
            <w:tcW w:w="15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三年总目标</w:t>
            </w:r>
          </w:p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完成数量</w:t>
            </w:r>
          </w:p>
        </w:tc>
        <w:tc>
          <w:tcPr>
            <w:tcW w:w="2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2022</w:t>
            </w:r>
            <w:r>
              <w:rPr>
                <w:rFonts w:ascii="Times New Roman" w:hAnsi="黑体" w:eastAsia="黑体"/>
                <w:color w:val="000000"/>
                <w:sz w:val="24"/>
                <w:szCs w:val="24"/>
              </w:rPr>
              <w:t>年目标</w:t>
            </w:r>
          </w:p>
        </w:tc>
        <w:tc>
          <w:tcPr>
            <w:tcW w:w="2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hAnsi="黑体" w:eastAsia="黑体"/>
                <w:color w:val="000000"/>
                <w:sz w:val="24"/>
                <w:szCs w:val="24"/>
              </w:rPr>
              <w:t>年目标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hAnsi="黑体" w:eastAsia="黑体"/>
                <w:color w:val="000000"/>
                <w:sz w:val="24"/>
                <w:szCs w:val="24"/>
              </w:rPr>
              <w:t>年目标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5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textAlignment w:val="center"/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24"/>
                <w:szCs w:val="24"/>
              </w:rPr>
              <w:t>大类</w:t>
            </w:r>
          </w:p>
        </w:tc>
        <w:tc>
          <w:tcPr>
            <w:tcW w:w="2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textAlignment w:val="center"/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24"/>
                <w:szCs w:val="24"/>
              </w:rPr>
              <w:t>小类</w:t>
            </w:r>
          </w:p>
        </w:tc>
        <w:tc>
          <w:tcPr>
            <w:tcW w:w="122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完成比例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完成数量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完成比例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完成数量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完成比例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0" w:hRule="atLeast"/>
          <w:jc w:val="center"/>
        </w:trPr>
        <w:tc>
          <w:tcPr>
            <w:tcW w:w="6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绿美</w:t>
            </w:r>
          </w:p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河湖</w:t>
            </w:r>
          </w:p>
        </w:tc>
        <w:tc>
          <w:tcPr>
            <w:tcW w:w="2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总计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全州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8个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3个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37%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1个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13%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4个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50%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绿美湖泊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全州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Style w:val="6"/>
                <w:rFonts w:ascii="Times New Roman" w:hAnsi="Times New Roman" w:eastAsia="方正仿宋_GBK"/>
                <w:sz w:val="24"/>
                <w:szCs w:val="24"/>
              </w:rPr>
              <w:t>个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Style w:val="6"/>
                <w:rFonts w:ascii="Times New Roman" w:hAnsi="Times New Roman" w:eastAsia="方正仿宋_GBK"/>
                <w:sz w:val="24"/>
                <w:szCs w:val="24"/>
              </w:rPr>
              <w:t>个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绿美河流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全州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Style w:val="6"/>
                <w:rFonts w:ascii="Times New Roman" w:hAnsi="Times New Roman" w:eastAsia="方正仿宋_GBK"/>
                <w:sz w:val="24"/>
                <w:szCs w:val="24"/>
              </w:rPr>
              <w:t>条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Style w:val="6"/>
                <w:rFonts w:ascii="Times New Roman" w:hAnsi="Times New Roman" w:eastAsia="方正仿宋_GBK"/>
                <w:sz w:val="24"/>
                <w:szCs w:val="24"/>
              </w:rPr>
              <w:t>条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Style w:val="6"/>
                <w:rFonts w:ascii="Times New Roman" w:hAnsi="Times New Roman" w:eastAsia="方正仿宋_GBK"/>
                <w:sz w:val="24"/>
                <w:szCs w:val="24"/>
              </w:rPr>
              <w:t>条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Style w:val="6"/>
                <w:rFonts w:ascii="Times New Roman" w:hAnsi="Times New Roman" w:eastAsia="方正仿宋_GBK"/>
                <w:sz w:val="24"/>
                <w:szCs w:val="24"/>
              </w:rPr>
              <w:t>条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33%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绿美水库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全州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Style w:val="6"/>
                <w:rFonts w:ascii="Times New Roman" w:hAnsi="Times New Roman" w:eastAsia="方正仿宋_GBK"/>
                <w:sz w:val="24"/>
                <w:szCs w:val="24"/>
              </w:rPr>
              <w:t>个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Style w:val="6"/>
                <w:rFonts w:ascii="Times New Roman" w:hAnsi="Times New Roman" w:eastAsia="方正仿宋_GBK"/>
                <w:sz w:val="24"/>
                <w:szCs w:val="24"/>
              </w:rPr>
              <w:t>个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Style w:val="6"/>
                <w:rFonts w:ascii="Times New Roman" w:hAnsi="Times New Roman" w:eastAsia="方正仿宋_GBK"/>
                <w:sz w:val="24"/>
                <w:szCs w:val="24"/>
              </w:rPr>
              <w:t>个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67%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绿美水利风景区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全州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Style w:val="6"/>
                <w:rFonts w:ascii="Times New Roman" w:hAnsi="Times New Roman" w:eastAsia="方正仿宋_GBK"/>
                <w:sz w:val="24"/>
                <w:szCs w:val="24"/>
              </w:rPr>
              <w:t>个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Style w:val="6"/>
                <w:rFonts w:ascii="Times New Roman" w:hAnsi="Times New Roman" w:eastAsia="方正仿宋_GBK"/>
                <w:sz w:val="24"/>
                <w:szCs w:val="24"/>
              </w:rPr>
              <w:t>个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7" w:hRule="atLeast"/>
          <w:jc w:val="center"/>
        </w:trPr>
        <w:tc>
          <w:tcPr>
            <w:tcW w:w="6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绿美</w:t>
            </w:r>
          </w:p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校园</w:t>
            </w:r>
          </w:p>
        </w:tc>
        <w:tc>
          <w:tcPr>
            <w:tcW w:w="2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总计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全州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20所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8所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40%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7所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35%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5所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25%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绿美中学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全州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9所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4所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45%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3所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2所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22%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绿美小学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全州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9所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4所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45%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3所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2所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22%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绿美幼儿园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全州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2所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1所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1所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50%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6" w:hRule="atLeast"/>
          <w:jc w:val="center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绿美</w:t>
            </w:r>
          </w:p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园区</w:t>
            </w:r>
          </w:p>
        </w:tc>
        <w:tc>
          <w:tcPr>
            <w:tcW w:w="2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全州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Style w:val="6"/>
                <w:rFonts w:ascii="Times New Roman" w:hAnsi="Times New Roman" w:eastAsia="方正仿宋_GBK"/>
                <w:sz w:val="24"/>
                <w:szCs w:val="24"/>
              </w:rPr>
              <w:t>个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Style w:val="6"/>
                <w:rFonts w:ascii="Times New Roman" w:hAnsi="Times New Roman" w:eastAsia="方正仿宋_GBK"/>
                <w:sz w:val="24"/>
                <w:szCs w:val="24"/>
              </w:rPr>
              <w:t>个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67%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Style w:val="6"/>
                <w:rFonts w:ascii="Times New Roman" w:hAnsi="Times New Roman" w:eastAsia="方正仿宋_GBK"/>
                <w:sz w:val="24"/>
                <w:szCs w:val="24"/>
              </w:rPr>
              <w:t>个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33%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2" w:hRule="atLeast"/>
          <w:jc w:val="center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绿美</w:t>
            </w:r>
          </w:p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景区</w:t>
            </w:r>
          </w:p>
        </w:tc>
        <w:tc>
          <w:tcPr>
            <w:tcW w:w="2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全州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Style w:val="6"/>
                <w:rFonts w:ascii="Times New Roman" w:hAnsi="Times New Roman" w:eastAsia="方正仿宋_GBK"/>
                <w:sz w:val="24"/>
                <w:szCs w:val="24"/>
              </w:rPr>
              <w:t>个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Style w:val="6"/>
                <w:rFonts w:ascii="Times New Roman" w:hAnsi="Times New Roman" w:eastAsia="方正仿宋_GBK"/>
                <w:sz w:val="24"/>
                <w:szCs w:val="24"/>
              </w:rPr>
              <w:t>个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Style w:val="6"/>
                <w:rFonts w:ascii="Times New Roman" w:hAnsi="Times New Roman" w:eastAsia="方正仿宋_GBK"/>
                <w:sz w:val="24"/>
                <w:szCs w:val="24"/>
              </w:rPr>
              <w:t>个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35%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Style w:val="6"/>
                <w:rFonts w:ascii="Times New Roman" w:hAnsi="Times New Roman" w:eastAsia="方正仿宋_GBK"/>
                <w:sz w:val="24"/>
                <w:szCs w:val="24"/>
              </w:rPr>
              <w:t>个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35%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Che">
    <w:altName w:val="Segoe Print"/>
    <w:panose1 w:val="02030609000101010101"/>
    <w:charset w:val="00"/>
    <w:family w:val="modern"/>
    <w:pitch w:val="default"/>
    <w:sig w:usb0="00000000" w:usb1="00000000" w:usb2="00000030" w:usb3="00000000" w:csb0="0008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95646"/>
    <w:rsid w:val="6A58581E"/>
    <w:rsid w:val="7949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580" w:lineRule="exact"/>
      <w:jc w:val="both"/>
    </w:pPr>
    <w:rPr>
      <w:rFonts w:ascii="BatangChe" w:hAnsi="BatangChe" w:eastAsia="方正仿宋_GBK" w:cs="Times New Roman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15"/>
    <w:basedOn w:val="4"/>
    <w:uiPriority w:val="0"/>
    <w:rPr>
      <w:rFonts w:hint="default" w:ascii="FZFSK--GBK1-0" w:hAnsi="FZFSK--GBK1-0" w:eastAsia="宋体" w:cs="Times New Roman"/>
      <w:color w:val="000000"/>
      <w:sz w:val="32"/>
      <w:szCs w:val="32"/>
    </w:rPr>
  </w:style>
  <w:style w:type="paragraph" w:customStyle="1" w:styleId="7">
    <w:name w:val="Char"/>
    <w:basedOn w:val="1"/>
    <w:qFormat/>
    <w:uiPriority w:val="0"/>
    <w:pPr>
      <w:widowControl/>
      <w:snapToGrid/>
      <w:spacing w:after="160" w:line="240" w:lineRule="exact"/>
      <w:jc w:val="left"/>
    </w:pPr>
    <w:rPr>
      <w:rFonts w:ascii="Verdana" w:hAnsi="Verdana" w:eastAsia="仿宋_GB2312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2022-10-11T09:19:00Z</dcterms:created>
  <dc:creator>gkb</dc:creator>
  <cp:lastModifiedBy>gkb</cp:lastModifiedBy>
  <dcterms:modified xsi:type="dcterms:W3CDTF">2022-10-11T09:20:35Z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