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附件5</w:t>
      </w:r>
    </w:p>
    <w:p>
      <w:pPr>
        <w:adjustRightInd w:val="0"/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德宏州一般管控单元生态环境准入清单</w:t>
      </w:r>
    </w:p>
    <w:p>
      <w:pPr>
        <w:adjustRightInd w:val="0"/>
        <w:snapToGrid w:val="0"/>
        <w:spacing w:line="300" w:lineRule="exact"/>
        <w:rPr>
          <w:rFonts w:eastAsia="方正仿宋_GBK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2"/>
        <w:gridCol w:w="545"/>
        <w:gridCol w:w="75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85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/>
                <w:spacing w:val="-10"/>
                <w:sz w:val="24"/>
              </w:rPr>
            </w:pPr>
            <w:r>
              <w:rPr>
                <w:rFonts w:hint="eastAsia" w:ascii="方正黑体_GBK" w:eastAsia="方正黑体_GBK"/>
                <w:spacing w:val="-10"/>
                <w:sz w:val="24"/>
              </w:rPr>
              <w:t>单元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/>
                <w:spacing w:val="-10"/>
                <w:sz w:val="24"/>
              </w:rPr>
            </w:pPr>
            <w:r>
              <w:rPr>
                <w:rFonts w:hint="eastAsia" w:ascii="方正黑体_GBK" w:eastAsia="方正黑体_GBK"/>
                <w:spacing w:val="-10"/>
                <w:sz w:val="24"/>
              </w:rPr>
              <w:t>分类</w:t>
            </w:r>
          </w:p>
        </w:tc>
        <w:tc>
          <w:tcPr>
            <w:tcW w:w="804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管控要求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85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各县市一般管控单元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空间布局约束</w:t>
            </w:r>
          </w:p>
        </w:tc>
        <w:tc>
          <w:tcPr>
            <w:tcW w:w="750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1.新建企业应入工业园区</w:t>
            </w:r>
            <w:r>
              <w:rPr>
                <w:rFonts w:hint="eastAsia" w:eastAsia="方正仿宋_GBK"/>
                <w:sz w:val="24"/>
              </w:rPr>
              <w:t>，未建立工业园区的县（市），新建企业的布局应符合当地相关产业布局的要求</w:t>
            </w:r>
            <w:r>
              <w:rPr>
                <w:rFonts w:eastAsia="方正仿宋_GBK"/>
                <w:sz w:val="24"/>
              </w:rPr>
              <w:t>。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2.禁止在基本农田内从事非农业生产的活动。任何单位和个人不得改变或者占用基本农田保护区。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3.禁止新建、改扩建中小水电</w:t>
            </w:r>
            <w:r>
              <w:rPr>
                <w:rFonts w:hint="eastAsia" w:eastAsia="方正仿宋_GBK"/>
                <w:sz w:val="24"/>
              </w:rPr>
              <w:t>（25万千瓦以下）</w:t>
            </w:r>
            <w:r>
              <w:rPr>
                <w:rFonts w:eastAsia="方正仿宋_GBK"/>
                <w:sz w:val="24"/>
              </w:rPr>
              <w:t>项目，现有中小水电站应按照环评批复（环评批复未明确生态流量的根据来水量科学确定生态流量），确保连续稳定下泄生态流量。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污染物排放管控</w:t>
            </w:r>
          </w:p>
        </w:tc>
        <w:tc>
          <w:tcPr>
            <w:tcW w:w="750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1.</w:t>
            </w:r>
            <w:r>
              <w:rPr>
                <w:rFonts w:hint="eastAsia" w:eastAsia="方正仿宋_GBK"/>
                <w:sz w:val="24"/>
              </w:rPr>
              <w:t>落实生态环境保护基本要求，项目建设和运行应满足产业准入、总量控制、排放标准等管理规定。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2.现有工业企业应达标排放，逐步提升清洁生产水平，减少污染物排放量。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3.加强农业面源污染治理，严格控制化肥农药施用量，合理水产养殖布局，控制水产养殖污染，逐步削减农业面源污染物排放量。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环境风险防控</w:t>
            </w:r>
          </w:p>
        </w:tc>
        <w:tc>
          <w:tcPr>
            <w:tcW w:w="750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1.加强环境风险防范应急体系建设，加强环境应急预案管理，定期开展应急演练，持续开展环境安全隐患排查整治，提升应急监测能力，加强应急物资管理。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2.严格管控类农用地，不得在特定农产品禁止生产区域种植食用农产品。安全利用类农用地，应制定受污染耕地等安全利用方案，降低农产品超标风险。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资源开发效率要求</w:t>
            </w:r>
          </w:p>
        </w:tc>
        <w:tc>
          <w:tcPr>
            <w:tcW w:w="750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1.优化能源结构，加强能源清洁利用。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2.提高土地利用效率，节约集约利用土地资源。</w:t>
            </w:r>
          </w:p>
        </w:tc>
      </w:tr>
    </w:tbl>
    <w:p>
      <w:pPr>
        <w:adjustRightInd w:val="0"/>
        <w:snapToGrid w:val="0"/>
        <w:spacing w:line="600" w:lineRule="exact"/>
        <w:rPr>
          <w:rFonts w:eastAsia="方正仿宋_GBK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97473"/>
    <w:rsid w:val="65697473"/>
    <w:rsid w:val="7382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2021-10-25T08:48:00Z</dcterms:created>
  <dc:creator>咖啡杯里的茶</dc:creator>
  <cp:lastModifiedBy>咖啡杯里的茶</cp:lastModifiedBy>
  <dcterms:modified xsi:type="dcterms:W3CDTF">2021-10-25T08:50:12Z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