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val="0"/>
        <w:topLinePunct w:val="0"/>
        <w:autoSpaceDN/>
        <w:bidi w:val="0"/>
        <w:spacing w:line="600" w:lineRule="exac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附件4</w:t>
      </w:r>
    </w:p>
    <w:p>
      <w:pPr>
        <w:pStyle w:val="7"/>
        <w:keepNext w:val="0"/>
        <w:keepLines w:val="0"/>
        <w:pageBreakBefore w:val="0"/>
        <w:widowControl w:val="0"/>
        <w:kinsoku/>
        <w:wordWrap/>
        <w:overflowPunct w:val="0"/>
        <w:topLinePunct w:val="0"/>
        <w:autoSpaceDN/>
        <w:bidi w:val="0"/>
        <w:spacing w:line="6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州级森林火灾应急响应及应对措施</w:t>
      </w:r>
    </w:p>
    <w:tbl>
      <w:tblPr>
        <w:tblStyle w:val="6"/>
        <w:tblW w:w="14638"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598"/>
        <w:gridCol w:w="1489"/>
        <w:gridCol w:w="6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响应级别</w:t>
            </w:r>
          </w:p>
        </w:tc>
        <w:tc>
          <w:tcPr>
            <w:tcW w:w="559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启动条件</w:t>
            </w:r>
          </w:p>
        </w:tc>
        <w:tc>
          <w:tcPr>
            <w:tcW w:w="14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响应决定</w:t>
            </w:r>
          </w:p>
        </w:tc>
        <w:tc>
          <w:tcPr>
            <w:tcW w:w="61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9" w:hRule="atLeast"/>
        </w:trPr>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Ⅳ级响应</w:t>
            </w:r>
          </w:p>
        </w:tc>
        <w:tc>
          <w:tcPr>
            <w:tcW w:w="559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（1）造成1人以上3人以下死亡或者1人以上10人以下重伤的森林草原火灾； </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（2）发生在敏感时段、敏感地区，且12小时尚未得到有效控制的森林草原火灾；</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（3）过火面积超过100公顷森林草原火灾；</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（4）缅甸火场距国界线5公里以内且对我州构成威胁的森林草原火灾；</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（5）逼近重要目标、重大危险源5公里附近的森林草原火灾；</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（6）发生危险性较大的森林草原火灾。</w:t>
            </w:r>
          </w:p>
        </w:tc>
        <w:tc>
          <w:tcPr>
            <w:tcW w:w="14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由州森防指办公室主任决定启动Ⅳ级响应，州政府发文。</w:t>
            </w:r>
          </w:p>
        </w:tc>
        <w:tc>
          <w:tcPr>
            <w:tcW w:w="61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（1）州森防指办公室进入应急状态，加强火灾监测，及时连线调度火灾信息；</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（2）加强对火灾扑救工作的指导，州森防指办视情况派出工作组赴火场，协调、指导火灾扑救工作；</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（3）根据需要预告相邻县市扑救力量做好增援准备；</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（4）根据火场周边环境，提出保护重要目标物和重大危险源安全的建议；</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（5）视情发布高森林草原火险预警信息；                                    （6）协调指导有关媒体做好报道。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7" w:hRule="atLeast"/>
        </w:trPr>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Ⅲ级响应</w:t>
            </w:r>
          </w:p>
        </w:tc>
        <w:tc>
          <w:tcPr>
            <w:tcW w:w="559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（1）发生3人以上10人以下死亡或者10人以上50人以下重伤的森林草原火灾；</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（2）过火面积超过200公顷的森林草原火灾；</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（3）发生在敏感时段、敏感地区，且24小时尚未得到有效控制的森林草原火灾；</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（4）缅甸火场距国界线2公里以内并对我州森林资源构成威胁的森林草原火灾；</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（5）逼近重要目标、重大危险源2公里附近的森林草原火灾；</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（6）同时发生2起以上危险性较大的森林草原火灾。</w:t>
            </w:r>
          </w:p>
        </w:tc>
        <w:tc>
          <w:tcPr>
            <w:tcW w:w="14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由州森防指副指挥长决定启动Ⅲ级响应。州政府发文。</w:t>
            </w:r>
          </w:p>
        </w:tc>
        <w:tc>
          <w:tcPr>
            <w:tcW w:w="617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在Ⅳ级响应措施的基础上，加强以下应急措施：</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（1）州森防指组织火情会商，研究火灾扑救措施；</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（2）视情派出州级联合工作组赶赴火场，协调、指导火灾扑救工作；</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（3）州森防指办根据县市森防指请求和火场需要提出需求计划报省森防指办公室，按照规定协调衔接解放军、武警部队、消防救援队伍、森林消防队伍、森林航空消防队伍等扑救力量进行跨区域支援；</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（4）州气象局指导当地气象部门提供天气预报、火场天气实况服务，做好人工影响天气作业准备；</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（5）按照意见对威胁重要目标和重大危险源森林草原火灾制定扑救及保护方案，疏散群众，重点处置、重兵扑救；</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（6）视情及时组织新闻发布会，协调指导有关媒体做好报道。</w:t>
            </w:r>
          </w:p>
        </w:tc>
      </w:tr>
    </w:tbl>
    <w:p>
      <w:pPr>
        <w:pStyle w:val="7"/>
        <w:keepNext w:val="0"/>
        <w:keepLines w:val="0"/>
        <w:pageBreakBefore w:val="0"/>
        <w:widowControl w:val="0"/>
        <w:kinsoku/>
        <w:wordWrap/>
        <w:overflowPunct w:val="0"/>
        <w:topLinePunct w:val="0"/>
        <w:autoSpaceDN/>
        <w:bidi w:val="0"/>
        <w:spacing w:line="600" w:lineRule="exact"/>
        <w:textAlignment w:val="auto"/>
        <w:rPr>
          <w:rFonts w:hint="eastAsia" w:asciiTheme="minorEastAsia" w:hAnsiTheme="minorEastAsia" w:eastAsiaTheme="minorEastAsia" w:cstheme="minorEastAsia"/>
          <w:color w:val="auto"/>
          <w:sz w:val="24"/>
          <w:szCs w:val="24"/>
          <w:lang w:val="en-US"/>
        </w:rPr>
      </w:pPr>
    </w:p>
    <w:tbl>
      <w:tblPr>
        <w:tblStyle w:val="6"/>
        <w:tblpPr w:leftFromText="180" w:rightFromText="180" w:vertAnchor="text" w:horzAnchor="page" w:tblpX="752" w:tblpY="111"/>
        <w:tblOverlap w:val="never"/>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5628"/>
        <w:gridCol w:w="150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45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topLinePunct w:val="0"/>
              <w:autoSpaceDE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响应级别</w:t>
            </w:r>
          </w:p>
        </w:tc>
        <w:tc>
          <w:tcPr>
            <w:tcW w:w="562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topLinePunct w:val="0"/>
              <w:autoSpaceDE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启动条件</w:t>
            </w:r>
          </w:p>
        </w:tc>
        <w:tc>
          <w:tcPr>
            <w:tcW w:w="150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topLinePunct w:val="0"/>
              <w:autoSpaceDE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响应决定</w:t>
            </w:r>
          </w:p>
        </w:tc>
        <w:tc>
          <w:tcPr>
            <w:tcW w:w="6205"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topLinePunct w:val="0"/>
              <w:autoSpaceDE w:val="0"/>
              <w:autoSpaceDN/>
              <w:bidi w:val="0"/>
              <w:spacing w:line="6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5" w:hRule="atLeast"/>
        </w:trPr>
        <w:tc>
          <w:tcPr>
            <w:tcW w:w="1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Ⅱ级响应</w:t>
            </w:r>
          </w:p>
        </w:tc>
        <w:tc>
          <w:tcPr>
            <w:tcW w:w="56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（1）发生10人以上30人以下死亡的，或者50人以上100人以下的重伤的森林草原火灾；</w:t>
            </w:r>
          </w:p>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（2）过火面积超过500公顷的森林草原火灾；</w:t>
            </w:r>
          </w:p>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（3）发生在敏感时段、敏感地区，且48小时尚未得到有效控制的森林草原火灾；</w:t>
            </w:r>
          </w:p>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（4）境外森林草原火灾蔓延至我州境内，威胁森林草原安全，48小时未得到有效控制的森林草原火灾；</w:t>
            </w:r>
          </w:p>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（5）威胁到重要目标、重大危险源安全，12小时未得到有效控制的森林草原火灾；</w:t>
            </w:r>
          </w:p>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（6）同时发生3起以上危险性较大的森林草原火灾。（7）党中央、国务院和省委、省政府要求启动响应的森林草原火灾。</w:t>
            </w:r>
          </w:p>
        </w:tc>
        <w:tc>
          <w:tcPr>
            <w:tcW w:w="15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由州森防指指挥长决定启动Ⅱ级响应。州政府发文。</w:t>
            </w:r>
          </w:p>
        </w:tc>
        <w:tc>
          <w:tcPr>
            <w:tcW w:w="62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在Ⅲ级响应的基础上，加强以下应急措施：</w:t>
            </w:r>
          </w:p>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（1）州森防指组织火情会商，分析火险形势，研究扑救措施，制定保障方案；</w:t>
            </w:r>
          </w:p>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（2）派出州级联合工作组赶赴火场，确定州级火场前线指挥部及工作组，会商、协调、指导火灾扑救工作；</w:t>
            </w:r>
          </w:p>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（3）做好交通、通信、测绘、电力等应急保障工作；</w:t>
            </w:r>
          </w:p>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（4）加强气象服务，根据火场气象条件，指导、督促当地开展人工影响天气作业；</w:t>
            </w:r>
          </w:p>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（5）加强对重要目标和重大危险源的排查和安全处置工作，防范发生新的灾害；</w:t>
            </w:r>
          </w:p>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（6）根据需要协调做好扑火物资调拨运输、卫生应急队伍增援等工作；</w:t>
            </w:r>
          </w:p>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（7）视情及时组织新闻发布会，做好火灾扑救宣传报道及舆论引导工作。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4" w:hRule="atLeast"/>
        </w:trPr>
        <w:tc>
          <w:tcPr>
            <w:tcW w:w="1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Ⅰ级响应</w:t>
            </w:r>
          </w:p>
        </w:tc>
        <w:tc>
          <w:tcPr>
            <w:tcW w:w="562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（1）发生30人以上死亡的，或者100人以上的重伤的森林草原火灾；</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（2）火势持续蔓延，过火面积超过1000公顷，初判达到重大森林草原火灾；</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（3）72小时尚未得到有效控制的森林草原火灾；</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（4）国土安全和社会稳定受到严重威胁，有关行业遭受重创，经济损失较大；</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（5）发生森林草原火灾的县、市人民政府已经没有能力和条件有效控制火场蔓延；</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（6）省委、省政府和州委、州政府要求启动响应的森林草原火灾。</w:t>
            </w:r>
          </w:p>
        </w:tc>
        <w:tc>
          <w:tcPr>
            <w:tcW w:w="15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认定灾情达到启动标准向州应急委提出建议，由州应急委主任决定启动Ⅰ级响应。州政府发文。</w:t>
            </w:r>
          </w:p>
        </w:tc>
        <w:tc>
          <w:tcPr>
            <w:tcW w:w="62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在Ⅱ级响应的基础上，加强以下应急措施：</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（1）州应急委立即组织有关单位和救援力量赶赴火场，加强前线指挥力量，制定扑救方案，全力组织开展应急处置工作；</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（2）根据火场需求，安排生活救助物资，增派卫生应急队伍加强伤员救治，协调转移受威胁群众，组织抢修通信、电力、交通等基础设施，保障应急通信、电力及救援人员和物资交通运输畅通；</w:t>
            </w:r>
          </w:p>
          <w:p>
            <w:pPr>
              <w:keepNext w:val="0"/>
              <w:keepLines w:val="0"/>
              <w:pageBreakBefore w:val="0"/>
              <w:widowControl w:val="0"/>
              <w:kinsoku/>
              <w:wordWrap/>
              <w:topLinePunct w:val="0"/>
              <w:autoSpaceDE w:val="0"/>
              <w:autoSpaceDN/>
              <w:bidi w:val="0"/>
              <w:spacing w:line="6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（3）由州级火场前线指挥部决定森林草原火灾其他重大事项。</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sectPr>
          <w:pgSz w:w="15840" w:h="12240" w:orient="landscape"/>
          <w:pgMar w:top="1418" w:right="1440" w:bottom="1418" w:left="1440" w:header="851" w:footer="992" w:gutter="0"/>
          <w:pgNumType w:fmt="decimal" w:chapStyle="1"/>
          <w:cols w:space="720" w:num="1"/>
          <w:docGrid w:linePitch="312" w:charSpace="0"/>
        </w:sectPr>
      </w:pPr>
      <w:r>
        <w:rPr>
          <w:rFonts w:hint="eastAsia" w:asciiTheme="minorEastAsia" w:hAnsiTheme="minorEastAsia" w:eastAsiaTheme="minorEastAsia" w:cstheme="minorEastAsia"/>
          <w:color w:val="auto"/>
          <w:sz w:val="24"/>
          <w:szCs w:val="24"/>
        </w:rPr>
        <w:t>说明：1.敏感时段指节日、重要会议、重要集会活动等； 2.敏感地区指自然保护区、州级重点火险区，风景名胜区、森林公园、湿地公园，城市面山、公路两侧等；3.重要目标、重大危险源指军事设施、电力设施、村庄、居民区、油库、炸药仓库、危险化学品储存仓库等。</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00107"/>
    <w:rsid w:val="1B100107"/>
    <w:rsid w:val="3E842011"/>
    <w:rsid w:val="4CF67C0A"/>
    <w:rsid w:val="50741AD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rFonts w:ascii="Times New Roman" w:hAnsi="Times New Roman" w:eastAsia="宋体" w:cs="Times New Roman"/>
      <w:sz w:val="32"/>
    </w:rPr>
  </w:style>
  <w:style w:type="paragraph" w:styleId="3">
    <w:name w:val="footer"/>
    <w:basedOn w:val="1"/>
    <w:uiPriority w:val="0"/>
    <w:pPr>
      <w:tabs>
        <w:tab w:val="center" w:pos="4153"/>
        <w:tab w:val="right" w:pos="8306"/>
      </w:tabs>
      <w:snapToGrid w:val="0"/>
      <w:jc w:val="left"/>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正文 New"/>
    <w:qFormat/>
    <w:uiPriority w:val="0"/>
    <w:pPr>
      <w:widowControl w:val="0"/>
      <w:jc w:val="both"/>
    </w:pPr>
    <w:rPr>
      <w:rFonts w:ascii="Calibri" w:hAnsi="Calibri" w:eastAsia="宋体" w:cs="Times New Roman"/>
      <w:kern w:val="2"/>
      <w:sz w:val="21"/>
      <w:szCs w:val="24"/>
      <w:lang w:val="sq-AL"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2022-04-14T05:00:00Z</dcterms:created>
  <dc:creator>DHZZF45</dc:creator>
  <cp:lastModifiedBy>DHZZF45</cp:lastModifiedBy>
  <dcterms:modified xsi:type="dcterms:W3CDTF">2022-04-14T05:04:39Z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