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bookmarkStart w:id="0" w:name="_GoBack"/>
      <w:bookmarkEnd w:id="0"/>
    </w:p>
    <w:p>
      <w:pPr>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2021年度州直单位政务公开工作考核内容</w:t>
      </w:r>
    </w:p>
    <w:p>
      <w:pPr>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及评分标准</w:t>
      </w:r>
    </w:p>
    <w:tbl>
      <w:tblPr>
        <w:tblStyle w:val="4"/>
        <w:tblW w:w="0" w:type="auto"/>
        <w:jc w:val="center"/>
        <w:tblLayout w:type="fixed"/>
        <w:tblCellMar>
          <w:top w:w="0" w:type="dxa"/>
          <w:left w:w="108" w:type="dxa"/>
          <w:bottom w:w="0" w:type="dxa"/>
          <w:right w:w="108" w:type="dxa"/>
        </w:tblCellMar>
      </w:tblPr>
      <w:tblGrid>
        <w:gridCol w:w="709"/>
        <w:gridCol w:w="1985"/>
        <w:gridCol w:w="709"/>
        <w:gridCol w:w="5670"/>
        <w:gridCol w:w="1276"/>
      </w:tblGrid>
      <w:tr>
        <w:tblPrEx>
          <w:tblCellMar>
            <w:top w:w="0" w:type="dxa"/>
            <w:left w:w="108" w:type="dxa"/>
            <w:bottom w:w="0" w:type="dxa"/>
            <w:right w:w="108" w:type="dxa"/>
          </w:tblCellMar>
        </w:tblPrEx>
        <w:trPr>
          <w:trHeight w:val="40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eastAsia="方正黑体_GBK"/>
                <w:kern w:val="0"/>
                <w:sz w:val="24"/>
              </w:rPr>
            </w:pPr>
            <w:r>
              <w:rPr>
                <w:rFonts w:hint="eastAsia" w:eastAsia="方正黑体_GBK"/>
                <w:kern w:val="0"/>
                <w:sz w:val="24"/>
              </w:rPr>
              <w:t>序号</w:t>
            </w:r>
          </w:p>
        </w:tc>
        <w:tc>
          <w:tcPr>
            <w:tcW w:w="198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eastAsia="方正黑体_GBK"/>
                <w:kern w:val="0"/>
                <w:sz w:val="24"/>
              </w:rPr>
            </w:pPr>
            <w:r>
              <w:rPr>
                <w:rFonts w:hint="eastAsia" w:eastAsia="方正黑体_GBK"/>
                <w:kern w:val="0"/>
                <w:sz w:val="24"/>
              </w:rPr>
              <w:t>指标名称</w:t>
            </w:r>
          </w:p>
        </w:tc>
        <w:tc>
          <w:tcPr>
            <w:tcW w:w="70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eastAsia="方正黑体_GBK"/>
                <w:kern w:val="0"/>
                <w:sz w:val="24"/>
              </w:rPr>
            </w:pPr>
            <w:r>
              <w:rPr>
                <w:rFonts w:hint="eastAsia" w:eastAsia="方正黑体_GBK"/>
                <w:kern w:val="0"/>
                <w:sz w:val="24"/>
              </w:rPr>
              <w:t>分值</w:t>
            </w:r>
          </w:p>
        </w:tc>
        <w:tc>
          <w:tcPr>
            <w:tcW w:w="567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eastAsia="方正黑体_GBK"/>
                <w:kern w:val="0"/>
                <w:sz w:val="24"/>
              </w:rPr>
            </w:pPr>
            <w:r>
              <w:rPr>
                <w:rFonts w:hint="eastAsia" w:eastAsia="方正黑体_GBK"/>
                <w:kern w:val="0"/>
                <w:sz w:val="24"/>
              </w:rPr>
              <w:t>评分标准</w:t>
            </w: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eastAsia="方正黑体_GBK"/>
                <w:kern w:val="0"/>
                <w:sz w:val="24"/>
              </w:rPr>
            </w:pPr>
            <w:r>
              <w:rPr>
                <w:rFonts w:hint="eastAsia" w:eastAsia="方正黑体_GBK"/>
                <w:kern w:val="0"/>
                <w:sz w:val="24"/>
              </w:rPr>
              <w:t>查验方法</w:t>
            </w:r>
          </w:p>
        </w:tc>
      </w:tr>
      <w:tr>
        <w:tblPrEx>
          <w:tblCellMar>
            <w:top w:w="0" w:type="dxa"/>
            <w:left w:w="108" w:type="dxa"/>
            <w:bottom w:w="0" w:type="dxa"/>
            <w:right w:w="108" w:type="dxa"/>
          </w:tblCellMar>
        </w:tblPrEx>
        <w:trPr>
          <w:trHeight w:val="1036" w:hRule="atLeast"/>
          <w:jc w:val="center"/>
        </w:trPr>
        <w:tc>
          <w:tcPr>
            <w:tcW w:w="709"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方正仿宋_GBK"/>
                <w:kern w:val="0"/>
                <w:szCs w:val="21"/>
              </w:rPr>
            </w:pPr>
            <w:r>
              <w:rPr>
                <w:rFonts w:eastAsia="方正仿宋_GBK"/>
                <w:kern w:val="0"/>
                <w:szCs w:val="21"/>
              </w:rPr>
              <w:t>1</w:t>
            </w:r>
          </w:p>
        </w:tc>
        <w:tc>
          <w:tcPr>
            <w:tcW w:w="1985" w:type="dxa"/>
            <w:tcBorders>
              <w:top w:val="nil"/>
              <w:left w:val="single" w:color="auto" w:sz="4" w:space="0"/>
              <w:bottom w:val="single" w:color="auto" w:sz="4" w:space="0"/>
              <w:right w:val="single" w:color="auto" w:sz="4" w:space="0"/>
            </w:tcBorders>
            <w:noWrap w:val="0"/>
            <w:vAlign w:val="center"/>
          </w:tcPr>
          <w:p>
            <w:pPr>
              <w:widowControl/>
              <w:spacing w:line="260" w:lineRule="exact"/>
              <w:rPr>
                <w:rFonts w:eastAsia="方正仿宋_GBK"/>
                <w:kern w:val="0"/>
                <w:szCs w:val="21"/>
              </w:rPr>
            </w:pPr>
            <w:r>
              <w:rPr>
                <w:rFonts w:hint="eastAsia" w:eastAsia="方正仿宋_GBK"/>
                <w:kern w:val="0"/>
                <w:szCs w:val="21"/>
              </w:rPr>
              <w:t>网站信息发布数量</w:t>
            </w:r>
          </w:p>
        </w:tc>
        <w:tc>
          <w:tcPr>
            <w:tcW w:w="709" w:type="dxa"/>
            <w:tcBorders>
              <w:top w:val="nil"/>
              <w:left w:val="nil"/>
              <w:bottom w:val="single" w:color="auto" w:sz="4" w:space="0"/>
              <w:right w:val="single" w:color="auto" w:sz="4" w:space="0"/>
            </w:tcBorders>
            <w:noWrap w:val="0"/>
            <w:vAlign w:val="center"/>
          </w:tcPr>
          <w:p>
            <w:pPr>
              <w:widowControl/>
              <w:spacing w:line="260" w:lineRule="exact"/>
              <w:jc w:val="center"/>
              <w:rPr>
                <w:rFonts w:eastAsia="方正仿宋_GBK"/>
                <w:kern w:val="0"/>
                <w:szCs w:val="21"/>
              </w:rPr>
            </w:pPr>
            <w:r>
              <w:rPr>
                <w:rFonts w:hint="eastAsia" w:eastAsia="方正仿宋_GBK"/>
                <w:kern w:val="0"/>
                <w:szCs w:val="21"/>
              </w:rPr>
              <w:t>20</w:t>
            </w:r>
          </w:p>
        </w:tc>
        <w:tc>
          <w:tcPr>
            <w:tcW w:w="5670" w:type="dxa"/>
            <w:tcBorders>
              <w:top w:val="nil"/>
              <w:left w:val="nil"/>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网站信息发布数量达300条及以上的20分，大于等于200条小于300条的15分，大于等于100条小于200条的10分，小于100条的5分。统计时间为：2021年01月01日—2021年12月31日。</w:t>
            </w:r>
          </w:p>
        </w:tc>
        <w:tc>
          <w:tcPr>
            <w:tcW w:w="1276" w:type="dxa"/>
            <w:tcBorders>
              <w:top w:val="nil"/>
              <w:left w:val="nil"/>
              <w:bottom w:val="single" w:color="auto" w:sz="4" w:space="0"/>
              <w:right w:val="single" w:color="auto" w:sz="4" w:space="0"/>
            </w:tcBorders>
            <w:noWrap w:val="0"/>
            <w:vAlign w:val="center"/>
          </w:tcPr>
          <w:p>
            <w:pPr>
              <w:spacing w:line="260" w:lineRule="exact"/>
              <w:rPr>
                <w:rFonts w:eastAsia="方正仿宋_GBK"/>
                <w:kern w:val="0"/>
                <w:szCs w:val="21"/>
              </w:rPr>
            </w:pPr>
            <w:r>
              <w:rPr>
                <w:rFonts w:hint="eastAsia" w:eastAsia="方正仿宋_GBK"/>
                <w:kern w:val="0"/>
                <w:szCs w:val="21"/>
              </w:rPr>
              <w:t>第三方数据</w:t>
            </w:r>
          </w:p>
        </w:tc>
      </w:tr>
      <w:tr>
        <w:tblPrEx>
          <w:tblCellMar>
            <w:top w:w="0" w:type="dxa"/>
            <w:left w:w="108" w:type="dxa"/>
            <w:bottom w:w="0" w:type="dxa"/>
            <w:right w:w="108" w:type="dxa"/>
          </w:tblCellMar>
        </w:tblPrEx>
        <w:trPr>
          <w:trHeight w:val="112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方正仿宋_GBK"/>
                <w:kern w:val="0"/>
                <w:szCs w:val="21"/>
              </w:rPr>
            </w:pPr>
            <w:r>
              <w:rPr>
                <w:rFonts w:eastAsia="方正仿宋_GBK"/>
                <w:kern w:val="0"/>
                <w:szCs w:val="21"/>
              </w:rPr>
              <w:t>2</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eastAsia="方正仿宋_GBK"/>
                <w:kern w:val="0"/>
                <w:szCs w:val="21"/>
              </w:rPr>
            </w:pPr>
            <w:r>
              <w:rPr>
                <w:rFonts w:hint="eastAsia" w:eastAsia="方正仿宋_GBK"/>
                <w:kern w:val="0"/>
                <w:szCs w:val="21"/>
              </w:rPr>
              <w:t>信息公开专栏信息发布总数量</w:t>
            </w:r>
          </w:p>
        </w:tc>
        <w:tc>
          <w:tcPr>
            <w:tcW w:w="709" w:type="dxa"/>
            <w:tcBorders>
              <w:top w:val="nil"/>
              <w:left w:val="nil"/>
              <w:bottom w:val="single" w:color="auto" w:sz="4" w:space="0"/>
              <w:right w:val="single" w:color="auto" w:sz="4" w:space="0"/>
            </w:tcBorders>
            <w:noWrap w:val="0"/>
            <w:vAlign w:val="center"/>
          </w:tcPr>
          <w:p>
            <w:pPr>
              <w:widowControl/>
              <w:spacing w:line="260" w:lineRule="exact"/>
              <w:jc w:val="center"/>
              <w:rPr>
                <w:rFonts w:eastAsia="方正仿宋_GBK"/>
                <w:kern w:val="0"/>
                <w:szCs w:val="21"/>
              </w:rPr>
            </w:pPr>
            <w:r>
              <w:rPr>
                <w:rFonts w:hint="eastAsia" w:eastAsia="方正仿宋_GBK"/>
                <w:kern w:val="0"/>
                <w:szCs w:val="21"/>
              </w:rPr>
              <w:t>10</w:t>
            </w:r>
          </w:p>
        </w:tc>
        <w:tc>
          <w:tcPr>
            <w:tcW w:w="5670" w:type="dxa"/>
            <w:tcBorders>
              <w:top w:val="nil"/>
              <w:left w:val="nil"/>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信息公开专栏信息发布数量达50条及以上的10分，大于等于30条小于50条的7分，大于等于10条小于30条的4分，小于10条的2分，未发布信息0分。发布的信息内容与信息公开专栏无关的0分。统计时间为：2021年01月01日—2021年12月31日。</w:t>
            </w:r>
          </w:p>
        </w:tc>
        <w:tc>
          <w:tcPr>
            <w:tcW w:w="1276" w:type="dxa"/>
            <w:tcBorders>
              <w:left w:val="nil"/>
              <w:bottom w:val="single" w:color="auto" w:sz="4" w:space="0"/>
              <w:right w:val="single" w:color="auto" w:sz="4" w:space="0"/>
            </w:tcBorders>
            <w:noWrap w:val="0"/>
            <w:vAlign w:val="center"/>
          </w:tcPr>
          <w:p>
            <w:pPr>
              <w:spacing w:line="260" w:lineRule="exact"/>
              <w:rPr>
                <w:rFonts w:eastAsia="方正仿宋_GBK"/>
                <w:kern w:val="0"/>
                <w:szCs w:val="21"/>
              </w:rPr>
            </w:pPr>
            <w:r>
              <w:rPr>
                <w:rFonts w:hint="eastAsia" w:eastAsia="方正仿宋_GBK"/>
                <w:kern w:val="0"/>
                <w:szCs w:val="21"/>
              </w:rPr>
              <w:t>第三方数据</w:t>
            </w:r>
          </w:p>
        </w:tc>
      </w:tr>
      <w:tr>
        <w:tblPrEx>
          <w:tblCellMar>
            <w:top w:w="0" w:type="dxa"/>
            <w:left w:w="108" w:type="dxa"/>
            <w:bottom w:w="0" w:type="dxa"/>
            <w:right w:w="108" w:type="dxa"/>
          </w:tblCellMar>
        </w:tblPrEx>
        <w:trPr>
          <w:trHeight w:val="1688" w:hRule="atLeast"/>
          <w:jc w:val="center"/>
        </w:trPr>
        <w:tc>
          <w:tcPr>
            <w:tcW w:w="709"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方正仿宋_GBK"/>
                <w:kern w:val="0"/>
                <w:szCs w:val="21"/>
              </w:rPr>
            </w:pPr>
            <w:r>
              <w:rPr>
                <w:rFonts w:eastAsia="方正仿宋_GBK"/>
                <w:kern w:val="0"/>
                <w:szCs w:val="21"/>
              </w:rPr>
              <w:t>3</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基层政务公开标准化规范化栏目信息发布数量</w:t>
            </w:r>
          </w:p>
        </w:tc>
        <w:tc>
          <w:tcPr>
            <w:tcW w:w="709"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方正仿宋_GBK"/>
                <w:kern w:val="0"/>
                <w:szCs w:val="21"/>
              </w:rPr>
            </w:pPr>
            <w:r>
              <w:rPr>
                <w:rFonts w:hint="eastAsia" w:eastAsia="方正仿宋_GBK"/>
                <w:kern w:val="0"/>
                <w:szCs w:val="21"/>
              </w:rPr>
              <w:t>10</w:t>
            </w:r>
          </w:p>
        </w:tc>
        <w:tc>
          <w:tcPr>
            <w:tcW w:w="5670" w:type="dxa"/>
            <w:tcBorders>
              <w:top w:val="nil"/>
              <w:left w:val="nil"/>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基层政务公开标准化规范化栏目发布相关内容信息数量达30条及以上的10分，大于等于20条小于30条的7分，大于等于10条小于20条的4分，小于10条的2分，未发布信息0分。发布的信息内容与基层政务公开标准化规范化工作无关的0分。统计时间为：2021年01月01日—2021年12月31日（此项仅考核涉及26个领域基层政务公开的单位）。</w:t>
            </w:r>
          </w:p>
        </w:tc>
        <w:tc>
          <w:tcPr>
            <w:tcW w:w="1276" w:type="dxa"/>
            <w:tcBorders>
              <w:left w:val="nil"/>
              <w:bottom w:val="single" w:color="auto" w:sz="4" w:space="0"/>
              <w:right w:val="single" w:color="auto" w:sz="4" w:space="0"/>
            </w:tcBorders>
            <w:noWrap w:val="0"/>
            <w:vAlign w:val="center"/>
          </w:tcPr>
          <w:p>
            <w:pPr>
              <w:spacing w:line="260" w:lineRule="exact"/>
              <w:rPr>
                <w:rFonts w:hint="eastAsia" w:eastAsia="方正仿宋_GBK"/>
                <w:kern w:val="0"/>
                <w:szCs w:val="21"/>
              </w:rPr>
            </w:pPr>
            <w:r>
              <w:rPr>
                <w:rFonts w:hint="eastAsia" w:eastAsia="方正仿宋_GBK"/>
                <w:kern w:val="0"/>
                <w:szCs w:val="21"/>
              </w:rPr>
              <w:t>第三方数据</w:t>
            </w:r>
          </w:p>
        </w:tc>
      </w:tr>
      <w:tr>
        <w:tblPrEx>
          <w:tblCellMar>
            <w:top w:w="0" w:type="dxa"/>
            <w:left w:w="108" w:type="dxa"/>
            <w:bottom w:w="0" w:type="dxa"/>
            <w:right w:w="108" w:type="dxa"/>
          </w:tblCellMar>
        </w:tblPrEx>
        <w:trPr>
          <w:trHeight w:val="1687" w:hRule="atLeast"/>
          <w:jc w:val="center"/>
        </w:trPr>
        <w:tc>
          <w:tcPr>
            <w:tcW w:w="709"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方正仿宋_GBK"/>
                <w:kern w:val="0"/>
                <w:szCs w:val="21"/>
              </w:rPr>
            </w:pPr>
            <w:r>
              <w:rPr>
                <w:rFonts w:eastAsia="方正仿宋_GBK"/>
                <w:kern w:val="0"/>
                <w:szCs w:val="21"/>
              </w:rPr>
              <w:t>4</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政策解读</w:t>
            </w:r>
          </w:p>
        </w:tc>
        <w:tc>
          <w:tcPr>
            <w:tcW w:w="709"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方正仿宋_GBK"/>
                <w:kern w:val="0"/>
                <w:szCs w:val="21"/>
              </w:rPr>
            </w:pPr>
            <w:r>
              <w:rPr>
                <w:rFonts w:hint="eastAsia" w:eastAsia="方正仿宋_GBK"/>
                <w:kern w:val="0"/>
                <w:szCs w:val="21"/>
              </w:rPr>
              <w:t>10</w:t>
            </w:r>
          </w:p>
        </w:tc>
        <w:tc>
          <w:tcPr>
            <w:tcW w:w="5670" w:type="dxa"/>
            <w:tcBorders>
              <w:top w:val="nil"/>
              <w:left w:val="nil"/>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查看网站“文件及解读”栏目2021年的政策解读内容，宏观经济单位按时解读1次同时提供原文网址链接3分，按时解读2次同时提供原文网址链接6分，按时解读3次同时提供原文网址链接10分。非宏观经济单位解读1次同时提供原文网址链接10分，未解读0分。</w:t>
            </w:r>
          </w:p>
        </w:tc>
        <w:tc>
          <w:tcPr>
            <w:tcW w:w="1276" w:type="dxa"/>
            <w:tcBorders>
              <w:left w:val="nil"/>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第三方数据</w:t>
            </w:r>
          </w:p>
        </w:tc>
      </w:tr>
      <w:tr>
        <w:tblPrEx>
          <w:tblCellMar>
            <w:top w:w="0" w:type="dxa"/>
            <w:left w:w="108" w:type="dxa"/>
            <w:bottom w:w="0" w:type="dxa"/>
            <w:right w:w="108" w:type="dxa"/>
          </w:tblCellMar>
        </w:tblPrEx>
        <w:trPr>
          <w:trHeight w:val="1837" w:hRule="atLeast"/>
          <w:jc w:val="center"/>
        </w:trPr>
        <w:tc>
          <w:tcPr>
            <w:tcW w:w="709"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方正仿宋_GBK"/>
                <w:kern w:val="0"/>
                <w:szCs w:val="21"/>
              </w:rPr>
            </w:pPr>
            <w:r>
              <w:rPr>
                <w:rFonts w:hint="eastAsia" w:eastAsia="方正仿宋_GBK"/>
                <w:kern w:val="0"/>
                <w:szCs w:val="21"/>
              </w:rPr>
              <w:t>5</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eastAsia="方正仿宋_GBK"/>
                <w:kern w:val="0"/>
                <w:szCs w:val="21"/>
              </w:rPr>
            </w:pPr>
            <w:r>
              <w:rPr>
                <w:rFonts w:hint="eastAsia" w:eastAsia="方正仿宋_GBK"/>
                <w:kern w:val="0"/>
                <w:szCs w:val="21"/>
              </w:rPr>
              <w:t>网站和政务新媒体季度通报</w:t>
            </w:r>
          </w:p>
        </w:tc>
        <w:tc>
          <w:tcPr>
            <w:tcW w:w="709" w:type="dxa"/>
            <w:tcBorders>
              <w:top w:val="nil"/>
              <w:left w:val="nil"/>
              <w:bottom w:val="single" w:color="auto" w:sz="4" w:space="0"/>
              <w:right w:val="single" w:color="auto" w:sz="4" w:space="0"/>
            </w:tcBorders>
            <w:noWrap w:val="0"/>
            <w:vAlign w:val="center"/>
          </w:tcPr>
          <w:p>
            <w:pPr>
              <w:widowControl/>
              <w:spacing w:line="260" w:lineRule="exact"/>
              <w:jc w:val="center"/>
              <w:rPr>
                <w:rFonts w:eastAsia="方正仿宋_GBK"/>
                <w:kern w:val="0"/>
                <w:szCs w:val="21"/>
              </w:rPr>
            </w:pPr>
            <w:r>
              <w:rPr>
                <w:rFonts w:hint="eastAsia" w:eastAsia="方正仿宋_GBK"/>
                <w:kern w:val="0"/>
                <w:szCs w:val="21"/>
              </w:rPr>
              <w:t>10</w:t>
            </w:r>
          </w:p>
        </w:tc>
        <w:tc>
          <w:tcPr>
            <w:tcW w:w="5670" w:type="dxa"/>
            <w:tcBorders>
              <w:top w:val="nil"/>
              <w:left w:val="nil"/>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网站和政务新媒体未被国务院办公厅、省政府办公厅、州政府办公室通报为不合格网站的10分。被国务院办公厅通报1次及以上的0分；被省政府办公厅通报1次的3分，被省政府办公厅通报2次及以上的0分；被州政府办公室通报1次的5分，被州政府办公室通报2次及以上的0分。</w:t>
            </w:r>
          </w:p>
        </w:tc>
        <w:tc>
          <w:tcPr>
            <w:tcW w:w="1276" w:type="dxa"/>
            <w:tcBorders>
              <w:left w:val="nil"/>
              <w:bottom w:val="single" w:color="auto" w:sz="4" w:space="0"/>
              <w:right w:val="single" w:color="auto" w:sz="4" w:space="0"/>
            </w:tcBorders>
            <w:noWrap w:val="0"/>
            <w:vAlign w:val="center"/>
          </w:tcPr>
          <w:p>
            <w:pPr>
              <w:spacing w:line="260" w:lineRule="exact"/>
              <w:rPr>
                <w:rFonts w:eastAsia="方正仿宋_GBK"/>
                <w:kern w:val="0"/>
                <w:szCs w:val="21"/>
              </w:rPr>
            </w:pPr>
            <w:r>
              <w:rPr>
                <w:rFonts w:hint="eastAsia" w:eastAsia="方正仿宋_GBK"/>
                <w:kern w:val="0"/>
                <w:szCs w:val="21"/>
              </w:rPr>
              <w:t>每季度网站和政务新媒体通报数据</w:t>
            </w:r>
          </w:p>
        </w:tc>
      </w:tr>
      <w:tr>
        <w:tblPrEx>
          <w:tblCellMar>
            <w:top w:w="0" w:type="dxa"/>
            <w:left w:w="108" w:type="dxa"/>
            <w:bottom w:w="0" w:type="dxa"/>
            <w:right w:w="108" w:type="dxa"/>
          </w:tblCellMar>
        </w:tblPrEx>
        <w:trPr>
          <w:trHeight w:val="800" w:hRule="atLeast"/>
          <w:jc w:val="center"/>
        </w:trPr>
        <w:tc>
          <w:tcPr>
            <w:tcW w:w="709"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方正黑体_GBK"/>
                <w:kern w:val="0"/>
                <w:szCs w:val="21"/>
              </w:rPr>
            </w:pPr>
            <w:r>
              <w:rPr>
                <w:rFonts w:hint="eastAsia" w:eastAsia="方正黑体_GBK"/>
                <w:kern w:val="0"/>
                <w:szCs w:val="21"/>
              </w:rPr>
              <w:t>6</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2021年度政务公开</w:t>
            </w:r>
            <w:r>
              <w:rPr>
                <w:rFonts w:eastAsia="方正仿宋_GBK"/>
                <w:kern w:val="0"/>
                <w:szCs w:val="21"/>
              </w:rPr>
              <w:t>工作要点落实情况</w:t>
            </w:r>
            <w:r>
              <w:rPr>
                <w:rFonts w:hint="eastAsia" w:eastAsia="方正仿宋_GBK"/>
                <w:kern w:val="0"/>
                <w:szCs w:val="21"/>
              </w:rPr>
              <w:t>报告</w:t>
            </w:r>
          </w:p>
        </w:tc>
        <w:tc>
          <w:tcPr>
            <w:tcW w:w="709" w:type="dxa"/>
            <w:tcBorders>
              <w:top w:val="nil"/>
              <w:left w:val="nil"/>
              <w:bottom w:val="single" w:color="auto" w:sz="4" w:space="0"/>
              <w:right w:val="single" w:color="auto" w:sz="4" w:space="0"/>
            </w:tcBorders>
            <w:noWrap w:val="0"/>
            <w:vAlign w:val="center"/>
          </w:tcPr>
          <w:p>
            <w:pPr>
              <w:widowControl/>
              <w:spacing w:line="260" w:lineRule="exact"/>
              <w:jc w:val="center"/>
              <w:rPr>
                <w:rFonts w:eastAsia="方正仿宋_GBK"/>
                <w:kern w:val="0"/>
                <w:szCs w:val="21"/>
              </w:rPr>
            </w:pPr>
            <w:r>
              <w:rPr>
                <w:rFonts w:hint="eastAsia" w:eastAsia="方正仿宋_GBK"/>
                <w:kern w:val="0"/>
                <w:szCs w:val="21"/>
              </w:rPr>
              <w:t>5</w:t>
            </w:r>
          </w:p>
        </w:tc>
        <w:tc>
          <w:tcPr>
            <w:tcW w:w="5670" w:type="dxa"/>
            <w:tcBorders>
              <w:top w:val="nil"/>
              <w:left w:val="nil"/>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按时提交并公开2021年度政务公开</w:t>
            </w:r>
            <w:r>
              <w:rPr>
                <w:rFonts w:eastAsia="方正仿宋_GBK"/>
                <w:kern w:val="0"/>
                <w:szCs w:val="21"/>
              </w:rPr>
              <w:t>工作要点落实情况</w:t>
            </w:r>
            <w:r>
              <w:rPr>
                <w:rFonts w:hint="eastAsia" w:eastAsia="方正仿宋_GBK"/>
                <w:kern w:val="0"/>
                <w:szCs w:val="21"/>
              </w:rPr>
              <w:t>报告5分，按时提交但未按时公开2分，未按时提交但按时公开2分，未提交未公开0分。</w:t>
            </w:r>
          </w:p>
        </w:tc>
        <w:tc>
          <w:tcPr>
            <w:tcW w:w="1276" w:type="dxa"/>
            <w:tcBorders>
              <w:left w:val="nil"/>
              <w:bottom w:val="single" w:color="auto" w:sz="4" w:space="0"/>
              <w:right w:val="single" w:color="auto" w:sz="4" w:space="0"/>
            </w:tcBorders>
            <w:noWrap w:val="0"/>
            <w:vAlign w:val="center"/>
          </w:tcPr>
          <w:p>
            <w:pPr>
              <w:widowControl/>
              <w:spacing w:line="260" w:lineRule="exact"/>
              <w:rPr>
                <w:rFonts w:eastAsia="方正仿宋_GBK"/>
                <w:kern w:val="0"/>
                <w:szCs w:val="21"/>
              </w:rPr>
            </w:pPr>
            <w:r>
              <w:rPr>
                <w:rFonts w:hint="eastAsia" w:eastAsia="方正仿宋_GBK"/>
                <w:kern w:val="0"/>
                <w:szCs w:val="21"/>
              </w:rPr>
              <w:t>日常数据</w:t>
            </w:r>
          </w:p>
        </w:tc>
      </w:tr>
      <w:tr>
        <w:tblPrEx>
          <w:tblCellMar>
            <w:top w:w="0" w:type="dxa"/>
            <w:left w:w="108" w:type="dxa"/>
            <w:bottom w:w="0" w:type="dxa"/>
            <w:right w:w="108" w:type="dxa"/>
          </w:tblCellMar>
        </w:tblPrEx>
        <w:trPr>
          <w:trHeight w:val="70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方正黑体_GBK"/>
                <w:kern w:val="0"/>
                <w:szCs w:val="21"/>
              </w:rPr>
            </w:pPr>
            <w:r>
              <w:rPr>
                <w:rFonts w:hint="eastAsia" w:eastAsia="方正黑体_GBK"/>
                <w:kern w:val="0"/>
                <w:szCs w:val="21"/>
              </w:rPr>
              <w:t>7</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2021年度政府信息公开工作年度报告及统计表</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方正仿宋_GBK"/>
                <w:kern w:val="0"/>
                <w:szCs w:val="21"/>
              </w:rPr>
            </w:pPr>
            <w:r>
              <w:rPr>
                <w:rFonts w:hint="eastAsia" w:eastAsia="方正仿宋_GBK"/>
                <w:kern w:val="0"/>
                <w:szCs w:val="21"/>
              </w:rPr>
              <w:t>5</w:t>
            </w:r>
          </w:p>
        </w:tc>
        <w:tc>
          <w:tcPr>
            <w:tcW w:w="5670"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按时提交并公开2021年度政府信息公开工作年度报告及统计表5分，按时提交但未按时公开2分，未按时提交但按时公开2分，未提交未公开0分。</w:t>
            </w:r>
          </w:p>
        </w:tc>
        <w:tc>
          <w:tcPr>
            <w:tcW w:w="1276" w:type="dxa"/>
            <w:tcBorders>
              <w:top w:val="single" w:color="auto" w:sz="4" w:space="0"/>
              <w:left w:val="nil"/>
              <w:bottom w:val="single" w:color="auto" w:sz="4" w:space="0"/>
              <w:right w:val="single" w:color="auto" w:sz="4" w:space="0"/>
            </w:tcBorders>
            <w:noWrap w:val="0"/>
            <w:vAlign w:val="center"/>
          </w:tcPr>
          <w:p>
            <w:pPr>
              <w:spacing w:line="260" w:lineRule="exact"/>
              <w:rPr>
                <w:szCs w:val="21"/>
              </w:rPr>
            </w:pPr>
            <w:r>
              <w:rPr>
                <w:rFonts w:hint="eastAsia" w:eastAsia="方正仿宋_GBK"/>
                <w:kern w:val="0"/>
                <w:szCs w:val="21"/>
              </w:rPr>
              <w:t>日常数据</w:t>
            </w:r>
          </w:p>
        </w:tc>
      </w:tr>
      <w:tr>
        <w:tblPrEx>
          <w:tblCellMar>
            <w:top w:w="0" w:type="dxa"/>
            <w:left w:w="108" w:type="dxa"/>
            <w:bottom w:w="0" w:type="dxa"/>
            <w:right w:w="108" w:type="dxa"/>
          </w:tblCellMar>
        </w:tblPrEx>
        <w:trPr>
          <w:trHeight w:val="70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方正黑体_GBK"/>
                <w:kern w:val="0"/>
                <w:szCs w:val="21"/>
              </w:rPr>
            </w:pPr>
            <w:r>
              <w:rPr>
                <w:rFonts w:hint="eastAsia" w:eastAsia="方正黑体_GBK"/>
                <w:kern w:val="0"/>
                <w:szCs w:val="21"/>
              </w:rPr>
              <w:t>8</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eastAsia="方正仿宋_GBK"/>
                <w:kern w:val="0"/>
                <w:szCs w:val="21"/>
              </w:rPr>
            </w:pPr>
            <w:r>
              <w:rPr>
                <w:rFonts w:hint="eastAsia" w:eastAsia="方正仿宋_GBK"/>
                <w:kern w:val="0"/>
                <w:szCs w:val="21"/>
              </w:rPr>
              <w:t>日常工作</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方正仿宋_GBK"/>
                <w:kern w:val="0"/>
                <w:szCs w:val="21"/>
              </w:rPr>
            </w:pPr>
            <w:r>
              <w:rPr>
                <w:rFonts w:hint="eastAsia" w:eastAsia="方正仿宋_GBK"/>
                <w:kern w:val="0"/>
                <w:szCs w:val="21"/>
              </w:rPr>
              <w:t>10</w:t>
            </w:r>
          </w:p>
        </w:tc>
        <w:tc>
          <w:tcPr>
            <w:tcW w:w="5670"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按要求按时限完成有关工作10分，未按时完成1次的7分，未按时完成2次的4分，未按时完成3次及以上的0分。</w:t>
            </w:r>
          </w:p>
        </w:tc>
        <w:tc>
          <w:tcPr>
            <w:tcW w:w="1276" w:type="dxa"/>
            <w:tcBorders>
              <w:top w:val="single" w:color="auto" w:sz="4" w:space="0"/>
              <w:left w:val="nil"/>
              <w:bottom w:val="single" w:color="auto" w:sz="4" w:space="0"/>
              <w:right w:val="single" w:color="auto" w:sz="4" w:space="0"/>
            </w:tcBorders>
            <w:noWrap w:val="0"/>
            <w:vAlign w:val="center"/>
          </w:tcPr>
          <w:p>
            <w:pPr>
              <w:spacing w:line="260" w:lineRule="exact"/>
              <w:rPr>
                <w:szCs w:val="21"/>
              </w:rPr>
            </w:pPr>
            <w:r>
              <w:rPr>
                <w:rFonts w:hint="eastAsia" w:eastAsia="方正仿宋_GBK"/>
                <w:kern w:val="0"/>
                <w:szCs w:val="21"/>
              </w:rPr>
              <w:t>日常数据</w:t>
            </w:r>
          </w:p>
        </w:tc>
      </w:tr>
      <w:tr>
        <w:tblPrEx>
          <w:tblCellMar>
            <w:top w:w="0" w:type="dxa"/>
            <w:left w:w="108" w:type="dxa"/>
            <w:bottom w:w="0" w:type="dxa"/>
            <w:right w:w="108" w:type="dxa"/>
          </w:tblCellMar>
        </w:tblPrEx>
        <w:trPr>
          <w:trHeight w:val="51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方正黑体_GBK"/>
                <w:kern w:val="0"/>
                <w:szCs w:val="21"/>
              </w:rPr>
            </w:pPr>
            <w:r>
              <w:rPr>
                <w:rFonts w:hint="eastAsia" w:eastAsia="方正黑体_GBK"/>
                <w:kern w:val="0"/>
                <w:szCs w:val="21"/>
              </w:rPr>
              <w:t>9</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hint="eastAsia" w:ascii="方正仿宋_GBK" w:eastAsia="方正仿宋_GBK"/>
                <w:kern w:val="0"/>
                <w:szCs w:val="21"/>
              </w:rPr>
            </w:pPr>
            <w:r>
              <w:rPr>
                <w:rFonts w:hint="eastAsia" w:eastAsia="方正仿宋_GBK"/>
                <w:kern w:val="0"/>
                <w:szCs w:val="21"/>
              </w:rPr>
              <w:t xml:space="preserve">政务信息报送工作 </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方正仿宋_GBK"/>
                <w:kern w:val="0"/>
                <w:szCs w:val="21"/>
              </w:rPr>
            </w:pPr>
            <w:r>
              <w:rPr>
                <w:rFonts w:hint="eastAsia" w:eastAsia="方正仿宋_GBK"/>
                <w:kern w:val="0"/>
                <w:szCs w:val="21"/>
              </w:rPr>
              <w:t>20</w:t>
            </w:r>
          </w:p>
        </w:tc>
        <w:tc>
          <w:tcPr>
            <w:tcW w:w="5670" w:type="dxa"/>
            <w:tcBorders>
              <w:top w:val="single" w:color="auto" w:sz="4" w:space="0"/>
              <w:left w:val="nil"/>
              <w:bottom w:val="single" w:color="auto" w:sz="4" w:space="0"/>
              <w:right w:val="single" w:color="auto" w:sz="4" w:space="0"/>
            </w:tcBorders>
            <w:noWrap w:val="0"/>
            <w:vAlign w:val="center"/>
          </w:tcPr>
          <w:p>
            <w:pPr>
              <w:widowControl/>
              <w:spacing w:line="260" w:lineRule="exact"/>
              <w:rPr>
                <w:rFonts w:hint="eastAsia" w:eastAsia="方正仿宋_GBK"/>
                <w:kern w:val="0"/>
                <w:szCs w:val="21"/>
              </w:rPr>
            </w:pPr>
            <w:r>
              <w:rPr>
                <w:rFonts w:hint="eastAsia" w:eastAsia="方正仿宋_GBK"/>
                <w:kern w:val="0"/>
                <w:szCs w:val="21"/>
              </w:rPr>
              <w:t>按照政务信息报送工作考评办法执行</w:t>
            </w:r>
          </w:p>
        </w:tc>
        <w:tc>
          <w:tcPr>
            <w:tcW w:w="1276" w:type="dxa"/>
            <w:tcBorders>
              <w:top w:val="single" w:color="auto" w:sz="4" w:space="0"/>
              <w:left w:val="nil"/>
              <w:bottom w:val="single" w:color="auto" w:sz="4" w:space="0"/>
              <w:right w:val="single" w:color="auto" w:sz="4" w:space="0"/>
            </w:tcBorders>
            <w:noWrap w:val="0"/>
            <w:vAlign w:val="center"/>
          </w:tcPr>
          <w:p>
            <w:pPr>
              <w:widowControl/>
              <w:spacing w:line="260" w:lineRule="exact"/>
              <w:rPr>
                <w:rFonts w:eastAsia="方正仿宋_GBK"/>
                <w:kern w:val="0"/>
                <w:szCs w:val="21"/>
              </w:rPr>
            </w:pPr>
            <w:r>
              <w:rPr>
                <w:rFonts w:hint="eastAsia" w:eastAsia="方正仿宋_GBK"/>
                <w:kern w:val="0"/>
                <w:szCs w:val="21"/>
              </w:rPr>
              <w:t>第三方数据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473E9"/>
    <w:rsid w:val="78847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spacing w:before="100" w:beforeLines="0" w:beforeAutospacing="1" w:after="100" w:afterLines="0" w:afterAutospacing="1"/>
      <w:ind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ascii="Calibri" w:hAnsi="Calibri" w:eastAsia="宋体"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2022-01-26T07:23:00Z</dcterms:created>
  <dc:creator>糖糖</dc:creator>
  <cp:lastModifiedBy>糖糖</cp:lastModifiedBy>
  <dcterms:modified xsi:type="dcterms:W3CDTF">2022-01-26T07:25:36Z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